
<file path=[Content_Types].xml><?xml version="1.0" encoding="utf-8"?>
<Types xmlns="http://schemas.openxmlformats.org/package/2006/content-types">
  <Default Extension="bin" ContentType="application/vnd.openxmlformats-officedocument.oleObject"/>
  <Default Extension="gif" ContentType="image/gif"/>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1.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2.xml" ContentType="application/vnd.openxmlformats-officedocument.drawingml.chartshapes+xml"/>
  <Override PartName="/word/header6.xml" ContentType="application/vnd.openxmlformats-officedocument.wordprocessingml.header+xml"/>
  <Override PartName="/word/header7.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drawings/drawing3.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3.xml" ContentType="application/vnd.openxmlformats-officedocument.themeOverride+xml"/>
  <Override PartName="/word/drawings/drawing4.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4.xml" ContentType="application/vnd.openxmlformats-officedocument.themeOverride+xml"/>
  <Override PartName="/word/drawings/drawing5.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5.xml" ContentType="application/vnd.openxmlformats-officedocument.themeOverride+xml"/>
  <Override PartName="/word/drawings/drawing6.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6.xml" ContentType="application/vnd.openxmlformats-officedocument.themeOverride+xml"/>
  <Override PartName="/word/drawings/drawing7.xml" ContentType="application/vnd.openxmlformats-officedocument.drawingml.chartshapes+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7.xml" ContentType="application/vnd.openxmlformats-officedocument.themeOverride+xml"/>
  <Override PartName="/word/drawings/drawing8.xml" ContentType="application/vnd.openxmlformats-officedocument.drawingml.chartshapes+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8.xml" ContentType="application/vnd.openxmlformats-officedocument.themeOverride+xml"/>
  <Override PartName="/word/drawings/drawing9.xml" ContentType="application/vnd.openxmlformats-officedocument.drawingml.chartshapes+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9.xml" ContentType="application/vnd.openxmlformats-officedocument.themeOverride+xml"/>
  <Override PartName="/word/drawings/drawing10.xml" ContentType="application/vnd.openxmlformats-officedocument.drawingml.chartshapes+xml"/>
  <Override PartName="/word/charts/chart12.xml" ContentType="application/vnd.openxmlformats-officedocument.drawingml.chart+xml"/>
  <Override PartName="/word/theme/themeOverride10.xml" ContentType="application/vnd.openxmlformats-officedocument.themeOverride+xml"/>
  <Override PartName="/word/drawings/drawing11.xml" ContentType="application/vnd.openxmlformats-officedocument.drawingml.chartshapes+xml"/>
  <Override PartName="/word/charts/chart13.xml" ContentType="application/vnd.openxmlformats-officedocument.drawingml.chart+xml"/>
  <Override PartName="/word/theme/themeOverride11.xml" ContentType="application/vnd.openxmlformats-officedocument.themeOverride+xml"/>
  <Override PartName="/word/drawings/drawing12.xml" ContentType="application/vnd.openxmlformats-officedocument.drawingml.chartshapes+xml"/>
  <Override PartName="/word/charts/chart14.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charts/chart15.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3.xml" ContentType="application/vnd.openxmlformats-officedocument.themeOverride+xml"/>
  <Override PartName="/word/charts/chart16.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4.xml" ContentType="application/vnd.openxmlformats-officedocument.themeOverride+xml"/>
  <Override PartName="/word/charts/chart17.xml" ContentType="application/vnd.openxmlformats-officedocument.drawingml.chart+xml"/>
  <Override PartName="/word/theme/themeOverride15.xml" ContentType="application/vnd.openxmlformats-officedocument.themeOverride+xml"/>
  <Override PartName="/word/charts/chart18.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6.xml" ContentType="application/vnd.openxmlformats-officedocument.themeOverride+xml"/>
  <Override PartName="/word/charts/chart19.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7.xml" ContentType="application/vnd.openxmlformats-officedocument.themeOverride+xml"/>
  <Override PartName="/word/charts/chart20.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8.xml" ContentType="application/vnd.openxmlformats-officedocument.themeOverride+xml"/>
  <Override PartName="/word/charts/chart21.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9.xml" ContentType="application/vnd.openxmlformats-officedocument.themeOverride+xml"/>
  <Override PartName="/word/charts/chart22.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20.xml" ContentType="application/vnd.openxmlformats-officedocument.themeOverride+xml"/>
  <Override PartName="/word/charts/chart23.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1.xml" ContentType="application/vnd.openxmlformats-officedocument.themeOverride+xml"/>
  <Override PartName="/word/charts/chart24.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2.xml" ContentType="application/vnd.openxmlformats-officedocument.themeOverride+xml"/>
  <Override PartName="/word/charts/chart25.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3.xml" ContentType="application/vnd.openxmlformats-officedocument.themeOverride+xml"/>
  <Override PartName="/word/charts/chart26.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4.xml" ContentType="application/vnd.openxmlformats-officedocument.themeOverride+xml"/>
  <Override PartName="/word/charts/chart27.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5.xml" ContentType="application/vnd.openxmlformats-officedocument.themeOverride+xml"/>
  <Override PartName="/word/charts/chart28.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26.xml" ContentType="application/vnd.openxmlformats-officedocument.themeOverride+xml"/>
  <Override PartName="/word/charts/chart29.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7.xml" ContentType="application/vnd.openxmlformats-officedocument.themeOverride+xml"/>
  <Override PartName="/word/drawings/drawing13.xml" ContentType="application/vnd.openxmlformats-officedocument.drawingml.chartshapes+xml"/>
  <Override PartName="/word/charts/chart30.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28.xml" ContentType="application/vnd.openxmlformats-officedocument.themeOverride+xml"/>
  <Override PartName="/word/charts/chart31.xml" ContentType="application/vnd.openxmlformats-officedocument.drawingml.chart+xml"/>
  <Override PartName="/word/charts/style28.xml" ContentType="application/vnd.ms-office.chartstyle+xml"/>
  <Override PartName="/word/charts/colors28.xml" ContentType="application/vnd.ms-office.chartcolorstyle+xml"/>
  <Override PartName="/word/theme/themeOverride29.xml" ContentType="application/vnd.openxmlformats-officedocument.themeOverride+xml"/>
  <Override PartName="/word/charts/chart32.xml" ContentType="application/vnd.openxmlformats-officedocument.drawingml.chart+xml"/>
  <Override PartName="/word/charts/style29.xml" ContentType="application/vnd.ms-office.chartstyle+xml"/>
  <Override PartName="/word/charts/colors29.xml" ContentType="application/vnd.ms-office.chartcolorstyle+xml"/>
  <Override PartName="/word/theme/themeOverride30.xml" ContentType="application/vnd.openxmlformats-officedocument.themeOverride+xml"/>
  <Override PartName="/word/charts/chart33.xml" ContentType="application/vnd.openxmlformats-officedocument.drawingml.chart+xml"/>
  <Override PartName="/word/charts/style30.xml" ContentType="application/vnd.ms-office.chartstyle+xml"/>
  <Override PartName="/word/charts/colors30.xml" ContentType="application/vnd.ms-office.chartcolorstyle+xml"/>
  <Override PartName="/word/theme/themeOverride31.xml" ContentType="application/vnd.openxmlformats-officedocument.themeOverride+xml"/>
  <Override PartName="/word/charts/chart34.xml" ContentType="application/vnd.openxmlformats-officedocument.drawingml.chart+xml"/>
  <Override PartName="/word/charts/style31.xml" ContentType="application/vnd.ms-office.chartstyle+xml"/>
  <Override PartName="/word/charts/colors31.xml" ContentType="application/vnd.ms-office.chartcolorstyle+xml"/>
  <Override PartName="/word/theme/themeOverride32.xml" ContentType="application/vnd.openxmlformats-officedocument.themeOverride+xml"/>
  <Override PartName="/word/charts/chart35.xml" ContentType="application/vnd.openxmlformats-officedocument.drawingml.chart+xml"/>
  <Override PartName="/word/charts/style32.xml" ContentType="application/vnd.ms-office.chartstyle+xml"/>
  <Override PartName="/word/charts/colors32.xml" ContentType="application/vnd.ms-office.chartcolorstyle+xml"/>
  <Override PartName="/word/theme/themeOverride33.xml" ContentType="application/vnd.openxmlformats-officedocument.themeOverride+xml"/>
  <Override PartName="/word/charts/chart36.xml" ContentType="application/vnd.openxmlformats-officedocument.drawingml.chart+xml"/>
  <Override PartName="/word/charts/style33.xml" ContentType="application/vnd.ms-office.chartstyle+xml"/>
  <Override PartName="/word/charts/colors33.xml" ContentType="application/vnd.ms-office.chartcolorstyle+xml"/>
  <Override PartName="/word/theme/themeOverride34.xml" ContentType="application/vnd.openxmlformats-officedocument.themeOverride+xml"/>
  <Override PartName="/word/drawings/drawing14.xml" ContentType="application/vnd.openxmlformats-officedocument.drawingml.chartshapes+xml"/>
  <Override PartName="/word/header8.xml" ContentType="application/vnd.openxmlformats-officedocument.wordprocessingml.header+xml"/>
  <Override PartName="/word/header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0.xml" ContentType="application/vnd.openxmlformats-officedocument.wordprocessingml.header+xml"/>
  <Override PartName="/word/charts/chart37.xml" ContentType="application/vnd.openxmlformats-officedocument.drawingml.chart+xml"/>
  <Override PartName="/word/charts/style34.xml" ContentType="application/vnd.ms-office.chartstyle+xml"/>
  <Override PartName="/word/charts/colors34.xml" ContentType="application/vnd.ms-office.chartcolorstyle+xml"/>
  <Override PartName="/word/theme/themeOverride35.xml" ContentType="application/vnd.openxmlformats-officedocument.themeOverride+xml"/>
  <Override PartName="/word/drawings/drawing15.xml" ContentType="application/vnd.openxmlformats-officedocument.drawingml.chartshapes+xml"/>
  <Override PartName="/word/charts/chart38.xml" ContentType="application/vnd.openxmlformats-officedocument.drawingml.chart+xml"/>
  <Override PartName="/word/charts/style35.xml" ContentType="application/vnd.ms-office.chartstyle+xml"/>
  <Override PartName="/word/charts/colors35.xml" ContentType="application/vnd.ms-office.chartcolorstyle+xml"/>
  <Override PartName="/word/theme/themeOverride36.xml" ContentType="application/vnd.openxmlformats-officedocument.themeOverride+xml"/>
  <Override PartName="/word/drawings/drawing16.xml" ContentType="application/vnd.openxmlformats-officedocument.drawingml.chartshapes+xml"/>
  <Override PartName="/word/charts/chart39.xml" ContentType="application/vnd.openxmlformats-officedocument.drawingml.chart+xml"/>
  <Override PartName="/word/charts/style36.xml" ContentType="application/vnd.ms-office.chartstyle+xml"/>
  <Override PartName="/word/charts/colors36.xml" ContentType="application/vnd.ms-office.chartcolorstyle+xml"/>
  <Override PartName="/word/theme/themeOverride37.xml" ContentType="application/vnd.openxmlformats-officedocument.themeOverride+xml"/>
  <Override PartName="/word/charts/chart40.xml" ContentType="application/vnd.openxmlformats-officedocument.drawingml.chart+xml"/>
  <Override PartName="/word/charts/style37.xml" ContentType="application/vnd.ms-office.chartstyle+xml"/>
  <Override PartName="/word/charts/colors37.xml" ContentType="application/vnd.ms-office.chartcolorstyle+xml"/>
  <Override PartName="/word/theme/themeOverride38.xml" ContentType="application/vnd.openxmlformats-officedocument.themeOverride+xml"/>
  <Override PartName="/word/drawings/drawing17.xml" ContentType="application/vnd.openxmlformats-officedocument.drawingml.chartshapes+xml"/>
  <Override PartName="/word/footer12.xml" ContentType="application/vnd.openxmlformats-officedocument.wordprocessingml.footer+xml"/>
  <Override PartName="/word/charts/chart41.xml" ContentType="application/vnd.openxmlformats-officedocument.drawingml.chart+xml"/>
  <Override PartName="/word/theme/themeOverride39.xml" ContentType="application/vnd.openxmlformats-officedocument.themeOverride+xml"/>
  <Override PartName="/word/drawings/drawing18.xml" ContentType="application/vnd.openxmlformats-officedocument.drawingml.chartshapes+xml"/>
  <Override PartName="/word/charts/chart42.xml" ContentType="application/vnd.openxmlformats-officedocument.drawingml.chart+xml"/>
  <Override PartName="/word/charts/style38.xml" ContentType="application/vnd.ms-office.chartstyle+xml"/>
  <Override PartName="/word/charts/colors38.xml" ContentType="application/vnd.ms-office.chartcolorstyle+xml"/>
  <Override PartName="/word/theme/themeOverride40.xml" ContentType="application/vnd.openxmlformats-officedocument.themeOverride+xml"/>
  <Override PartName="/word/charts/chart43.xml" ContentType="application/vnd.openxmlformats-officedocument.drawingml.chart+xml"/>
  <Override PartName="/word/charts/style39.xml" ContentType="application/vnd.ms-office.chartstyle+xml"/>
  <Override PartName="/word/charts/colors39.xml" ContentType="application/vnd.ms-office.chartcolorstyle+xml"/>
  <Override PartName="/word/theme/themeOverride41.xml" ContentType="application/vnd.openxmlformats-officedocument.themeOverride+xml"/>
  <Override PartName="/word/charts/chart44.xml" ContentType="application/vnd.openxmlformats-officedocument.drawingml.chart+xml"/>
  <Override PartName="/word/charts/style40.xml" ContentType="application/vnd.ms-office.chartstyle+xml"/>
  <Override PartName="/word/charts/colors40.xml" ContentType="application/vnd.ms-office.chartcolorstyle+xml"/>
  <Override PartName="/word/theme/themeOverride42.xml" ContentType="application/vnd.openxmlformats-officedocument.themeOverride+xml"/>
  <Override PartName="/word/charts/chart45.xml" ContentType="application/vnd.openxmlformats-officedocument.drawingml.chart+xml"/>
  <Override PartName="/word/charts/style41.xml" ContentType="application/vnd.ms-office.chartstyle+xml"/>
  <Override PartName="/word/charts/colors41.xml" ContentType="application/vnd.ms-office.chartcolorstyle+xml"/>
  <Override PartName="/word/theme/themeOverride43.xml" ContentType="application/vnd.openxmlformats-officedocument.themeOverride+xml"/>
  <Override PartName="/word/drawings/drawing19.xml" ContentType="application/vnd.openxmlformats-officedocument.drawingml.chartshapes+xml"/>
  <Override PartName="/word/charts/chart46.xml" ContentType="application/vnd.openxmlformats-officedocument.drawingml.chart+xml"/>
  <Override PartName="/word/charts/style42.xml" ContentType="application/vnd.ms-office.chartstyle+xml"/>
  <Override PartName="/word/charts/colors42.xml" ContentType="application/vnd.ms-office.chartcolorstyle+xml"/>
  <Override PartName="/word/theme/themeOverride44.xml" ContentType="application/vnd.openxmlformats-officedocument.themeOverride+xml"/>
  <Override PartName="/word/drawings/drawing20.xml" ContentType="application/vnd.openxmlformats-officedocument.drawingml.chartshapes+xml"/>
  <Override PartName="/word/charts/chart47.xml" ContentType="application/vnd.openxmlformats-officedocument.drawingml.chart+xml"/>
  <Override PartName="/word/charts/style43.xml" ContentType="application/vnd.ms-office.chartstyle+xml"/>
  <Override PartName="/word/charts/colors43.xml" ContentType="application/vnd.ms-office.chartcolorstyle+xml"/>
  <Override PartName="/word/theme/themeOverride45.xml" ContentType="application/vnd.openxmlformats-officedocument.themeOverride+xml"/>
  <Override PartName="/word/charts/chart48.xml" ContentType="application/vnd.openxmlformats-officedocument.drawingml.chart+xml"/>
  <Override PartName="/word/theme/themeOverride46.xml" ContentType="application/vnd.openxmlformats-officedocument.themeOverride+xml"/>
  <Override PartName="/word/charts/chart49.xml" ContentType="application/vnd.openxmlformats-officedocument.drawingml.chart+xml"/>
  <Override PartName="/word/charts/style44.xml" ContentType="application/vnd.ms-office.chartstyle+xml"/>
  <Override PartName="/word/charts/colors44.xml" ContentType="application/vnd.ms-office.chartcolorstyle+xml"/>
  <Override PartName="/word/theme/themeOverride47.xml" ContentType="application/vnd.openxmlformats-officedocument.themeOverride+xml"/>
  <Override PartName="/word/drawings/drawing21.xml" ContentType="application/vnd.openxmlformats-officedocument.drawingml.chartshapes+xml"/>
  <Override PartName="/word/footer13.xml" ContentType="application/vnd.openxmlformats-officedocument.wordprocessingml.footer+xml"/>
  <Override PartName="/word/charts/chart50.xml" ContentType="application/vnd.openxmlformats-officedocument.drawingml.chart+xml"/>
  <Override PartName="/word/charts/style45.xml" ContentType="application/vnd.ms-office.chartstyle+xml"/>
  <Override PartName="/word/charts/colors45.xml" ContentType="application/vnd.ms-office.chartcolorstyle+xml"/>
  <Override PartName="/word/theme/themeOverride48.xml" ContentType="application/vnd.openxmlformats-officedocument.themeOverride+xml"/>
  <Override PartName="/word/drawings/drawing22.xml" ContentType="application/vnd.openxmlformats-officedocument.drawingml.chartshapes+xml"/>
  <Override PartName="/word/header11.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18.xml" ContentType="application/vnd.openxmlformats-officedocument.wordprocessingml.header+xml"/>
  <Override PartName="/word/charts/chart51.xml" ContentType="application/vnd.openxmlformats-officedocument.drawingml.chart+xml"/>
  <Override PartName="/word/charts/style46.xml" ContentType="application/vnd.ms-office.chartstyle+xml"/>
  <Override PartName="/word/charts/colors46.xml" ContentType="application/vnd.ms-office.chartcolorstyle+xml"/>
  <Override PartName="/word/header19.xml" ContentType="application/vnd.openxmlformats-officedocument.wordprocessingml.header+xml"/>
  <Override PartName="/word/header20.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6.xml" ContentType="application/vnd.openxmlformats-officedocument.wordprocessingml.header+xml"/>
  <Override PartName="/word/charts/chart52.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53.xml" ContentType="application/vnd.openxmlformats-officedocument.drawingml.chart+xml"/>
  <Override PartName="/word/charts/style48.xml" ContentType="application/vnd.ms-office.chartstyle+xml"/>
  <Override PartName="/word/charts/colors48.xml" ContentType="application/vnd.ms-office.chartcolorstyle+xml"/>
  <Override PartName="/word/drawings/drawing23.xml" ContentType="application/vnd.openxmlformats-officedocument.drawingml.chartshapes+xml"/>
  <Override PartName="/word/charts/chart54.xml" ContentType="application/vnd.openxmlformats-officedocument.drawingml.chart+xml"/>
  <Override PartName="/word/charts/style49.xml" ContentType="application/vnd.ms-office.chartstyle+xml"/>
  <Override PartName="/word/charts/colors49.xml" ContentType="application/vnd.ms-office.chartcolorstyle+xml"/>
  <Override PartName="/word/drawings/drawing24.xml" ContentType="application/vnd.openxmlformats-officedocument.drawingml.chartshapes+xml"/>
  <Override PartName="/word/header27.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30.xml" ContentType="application/vnd.openxmlformats-officedocument.wordprocessingml.header+xml"/>
  <Override PartName="/word/charts/chart55.xml" ContentType="application/vnd.openxmlformats-officedocument.drawingml.chart+xml"/>
  <Override PartName="/word/theme/themeOverride49.xml" ContentType="application/vnd.openxmlformats-officedocument.themeOverride+xml"/>
  <Override PartName="/word/drawings/drawing25.xml" ContentType="application/vnd.openxmlformats-officedocument.drawingml.chartshapes+xml"/>
  <Override PartName="/word/header31.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header40.xml" ContentType="application/vnd.openxmlformats-officedocument.wordprocessingml.header+xml"/>
  <Override PartName="/word/charts/chart56.xml" ContentType="application/vnd.openxmlformats-officedocument.drawingml.chart+xml"/>
  <Override PartName="/word/charts/style50.xml" ContentType="application/vnd.ms-office.chartstyle+xml"/>
  <Override PartName="/word/charts/colors50.xml" ContentType="application/vnd.ms-office.chartcolorstyle+xml"/>
  <Override PartName="/word/drawings/drawing26.xml" ContentType="application/vnd.openxmlformats-officedocument.drawingml.chartshapes+xml"/>
  <Override PartName="/word/charts/chart57.xml" ContentType="application/vnd.openxmlformats-officedocument.drawingml.chart+xml"/>
  <Override PartName="/word/charts/style51.xml" ContentType="application/vnd.ms-office.chartstyle+xml"/>
  <Override PartName="/word/charts/colors51.xml" ContentType="application/vnd.ms-office.chartcolorstyle+xml"/>
  <Override PartName="/word/theme/themeOverride50.xml" ContentType="application/vnd.openxmlformats-officedocument.themeOverride+xml"/>
  <Override PartName="/word/drawings/drawing27.xml" ContentType="application/vnd.openxmlformats-officedocument.drawingml.chartshapes+xml"/>
  <Override PartName="/word/charts/chart58.xml" ContentType="application/vnd.openxmlformats-officedocument.drawingml.chart+xml"/>
  <Override PartName="/word/charts/style52.xml" ContentType="application/vnd.ms-office.chartstyle+xml"/>
  <Override PartName="/word/charts/colors52.xml" ContentType="application/vnd.ms-office.chartcolorstyle+xml"/>
  <Override PartName="/word/theme/themeOverride51.xml" ContentType="application/vnd.openxmlformats-officedocument.themeOverride+xml"/>
  <Override PartName="/word/drawings/drawing28.xml" ContentType="application/vnd.openxmlformats-officedocument.drawingml.chartshapes+xml"/>
  <Override PartName="/word/charts/chart59.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60.xml" ContentType="application/vnd.openxmlformats-officedocument.drawingml.chart+xml"/>
  <Override PartName="/word/charts/style54.xml" ContentType="application/vnd.ms-office.chartstyle+xml"/>
  <Override PartName="/word/charts/colors54.xml" ContentType="application/vnd.ms-office.chartcolorstyle+xml"/>
  <Override PartName="/word/charts/chart61.xml" ContentType="application/vnd.openxmlformats-officedocument.drawingml.chart+xml"/>
  <Override PartName="/word/charts/style55.xml" ContentType="application/vnd.ms-office.chartstyle+xml"/>
  <Override PartName="/word/charts/colors55.xml" ContentType="application/vnd.ms-office.chartcolorstyle+xml"/>
  <Override PartName="/word/drawings/drawing29.xml" ContentType="application/vnd.openxmlformats-officedocument.drawingml.chartshapes+xml"/>
  <Override PartName="/word/header41.xml" ContentType="application/vnd.openxmlformats-officedocument.wordprocessingml.header+xml"/>
  <Override PartName="/word/header42.xml" ContentType="application/vnd.openxmlformats-officedocument.wordprocessingml.header+xml"/>
  <Override PartName="/word/footer38.xml" ContentType="application/vnd.openxmlformats-officedocument.wordprocessingml.footer+xml"/>
  <Override PartName="/word/footer39.xml" ContentType="application/vnd.openxmlformats-officedocument.wordprocessingml.footer+xml"/>
  <Override PartName="/word/header43.xml" ContentType="application/vnd.openxmlformats-officedocument.wordprocessingml.header+xml"/>
  <Override PartName="/word/charts/chart62.xml" ContentType="application/vnd.openxmlformats-officedocument.drawingml.chart+xml"/>
  <Override PartName="/word/theme/themeOverride52.xml" ContentType="application/vnd.openxmlformats-officedocument.themeOverride+xml"/>
  <Override PartName="/word/charts/chart63.xml" ContentType="application/vnd.openxmlformats-officedocument.drawingml.chart+xml"/>
  <Override PartName="/word/theme/themeOverride53.xml" ContentType="application/vnd.openxmlformats-officedocument.themeOverride+xml"/>
  <Override PartName="/word/charts/chart64.xml" ContentType="application/vnd.openxmlformats-officedocument.drawingml.chart+xml"/>
  <Override PartName="/word/theme/themeOverride54.xml" ContentType="application/vnd.openxmlformats-officedocument.themeOverride+xml"/>
  <Override PartName="/word/charts/chart65.xml" ContentType="application/vnd.openxmlformats-officedocument.drawingml.chart+xml"/>
  <Override PartName="/word/charts/chart66.xml" ContentType="application/vnd.openxmlformats-officedocument.drawingml.chart+xml"/>
  <Override PartName="/word/charts/chart67.xml" ContentType="application/vnd.openxmlformats-officedocument.drawingml.chart+xml"/>
  <Override PartName="/word/charts/style56.xml" ContentType="application/vnd.ms-office.chartstyle+xml"/>
  <Override PartName="/word/charts/colors56.xml" ContentType="application/vnd.ms-office.chartcolorstyle+xml"/>
  <Override PartName="/word/theme/themeOverride55.xml" ContentType="application/vnd.openxmlformats-officedocument.themeOverride+xml"/>
  <Override PartName="/word/charts/chart68.xml" ContentType="application/vnd.openxmlformats-officedocument.drawingml.chart+xml"/>
  <Override PartName="/word/theme/themeOverride56.xml" ContentType="application/vnd.openxmlformats-officedocument.themeOverride+xml"/>
  <Override PartName="/word/charts/chart69.xml" ContentType="application/vnd.openxmlformats-officedocument.drawingml.chart+xml"/>
  <Override PartName="/word/theme/themeOverride57.xml" ContentType="application/vnd.openxmlformats-officedocument.themeOverride+xml"/>
  <Override PartName="/word/charts/chart70.xml" ContentType="application/vnd.openxmlformats-officedocument.drawingml.chart+xml"/>
  <Override PartName="/word/theme/themeOverride58.xml" ContentType="application/vnd.openxmlformats-officedocument.themeOverride+xml"/>
  <Override PartName="/word/charts/chart71.xml" ContentType="application/vnd.openxmlformats-officedocument.drawingml.chart+xml"/>
  <Override PartName="/word/theme/themeOverride59.xml" ContentType="application/vnd.openxmlformats-officedocument.themeOverride+xml"/>
  <Override PartName="/word/charts/chart72.xml" ContentType="application/vnd.openxmlformats-officedocument.drawingml.chart+xml"/>
  <Override PartName="/word/theme/themeOverride60.xml" ContentType="application/vnd.openxmlformats-officedocument.themeOverride+xml"/>
  <Override PartName="/word/charts/chart73.xml" ContentType="application/vnd.openxmlformats-officedocument.drawingml.chart+xml"/>
  <Override PartName="/word/theme/themeOverride61.xml" ContentType="application/vnd.openxmlformats-officedocument.themeOverride+xml"/>
  <Override PartName="/word/charts/chart74.xml" ContentType="application/vnd.openxmlformats-officedocument.drawingml.chart+xml"/>
  <Override PartName="/word/charts/chart75.xml" ContentType="application/vnd.openxmlformats-officedocument.drawingml.chart+xml"/>
  <Override PartName="/word/charts/style57.xml" ContentType="application/vnd.ms-office.chartstyle+xml"/>
  <Override PartName="/word/charts/colors57.xml" ContentType="application/vnd.ms-office.chartcolorstyle+xml"/>
  <Override PartName="/word/charts/chart76.xml" ContentType="application/vnd.openxmlformats-officedocument.drawingml.chart+xml"/>
  <Override PartName="/word/theme/themeOverride62.xml" ContentType="application/vnd.openxmlformats-officedocument.themeOverride+xml"/>
  <Override PartName="/word/charts/chart77.xml" ContentType="application/vnd.openxmlformats-officedocument.drawingml.chart+xml"/>
  <Override PartName="/word/charts/style58.xml" ContentType="application/vnd.ms-office.chartstyle+xml"/>
  <Override PartName="/word/charts/colors58.xml" ContentType="application/vnd.ms-office.chartcolorstyle+xml"/>
  <Override PartName="/word/header44.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header45.xml" ContentType="application/vnd.openxmlformats-officedocument.wordprocessingml.header+xml"/>
  <Override PartName="/word/footer4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cstheme="minorHAnsi"/>
          <w:color w:val="FFFFFF" w:themeColor="background1"/>
          <w:sz w:val="48"/>
          <w:szCs w:val="64"/>
          <w:lang w:val="sr-Cyrl-CS"/>
        </w:rPr>
        <w:id w:val="226964475"/>
        <w:docPartObj>
          <w:docPartGallery w:val="Cover Pages"/>
          <w:docPartUnique/>
        </w:docPartObj>
      </w:sdtPr>
      <w:sdtEndPr/>
      <w:sdtContent>
        <w:p w14:paraId="00E1828F" w14:textId="1E096EB1" w:rsidR="00853EDC" w:rsidRPr="00DE058F" w:rsidRDefault="00853EDC" w:rsidP="00853EDC">
          <w:pPr>
            <w:spacing w:before="80" w:after="80"/>
            <w:jc w:val="center"/>
            <w:rPr>
              <w:rFonts w:cstheme="minorHAnsi"/>
              <w:color w:val="FFFFFF" w:themeColor="background1"/>
              <w:sz w:val="40"/>
              <w:szCs w:val="64"/>
              <w:lang w:val="sr-Cyrl-CS"/>
            </w:rPr>
          </w:pPr>
          <w:r w:rsidRPr="00DE058F">
            <w:rPr>
              <w:rFonts w:cstheme="minorHAnsi"/>
              <w:noProof/>
              <w:color w:val="FFFFFF" w:themeColor="background1"/>
              <w:sz w:val="40"/>
              <w:szCs w:val="64"/>
            </w:rPr>
            <mc:AlternateContent>
              <mc:Choice Requires="wps">
                <w:drawing>
                  <wp:anchor distT="0" distB="0" distL="114300" distR="114300" simplePos="0" relativeHeight="251666944" behindDoc="1" locked="0" layoutInCell="1" allowOverlap="1" wp14:anchorId="58F990E9" wp14:editId="13A14485">
                    <wp:simplePos x="0" y="0"/>
                    <wp:positionH relativeFrom="margin">
                      <wp:posOffset>-1304925</wp:posOffset>
                    </wp:positionH>
                    <wp:positionV relativeFrom="paragraph">
                      <wp:posOffset>-1030079</wp:posOffset>
                    </wp:positionV>
                    <wp:extent cx="8477250" cy="6186805"/>
                    <wp:effectExtent l="0" t="0" r="0" b="4445"/>
                    <wp:wrapNone/>
                    <wp:docPr id="77" name="Rectangle 77"/>
                    <wp:cNvGraphicFramePr/>
                    <a:graphic xmlns:a="http://schemas.openxmlformats.org/drawingml/2006/main">
                      <a:graphicData uri="http://schemas.microsoft.com/office/word/2010/wordprocessingShape">
                        <wps:wsp>
                          <wps:cNvSpPr/>
                          <wps:spPr>
                            <a:xfrm>
                              <a:off x="0" y="0"/>
                              <a:ext cx="8477250" cy="6186805"/>
                            </a:xfrm>
                            <a:prstGeom prst="rect">
                              <a:avLst/>
                            </a:prstGeom>
                            <a:solidFill>
                              <a:srgbClr val="00206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37A8C7" id="Rectangle 77" o:spid="_x0000_s1026" style="position:absolute;margin-left:-102.75pt;margin-top:-81.1pt;width:667.5pt;height:487.15pt;z-index:-251649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" fillcolor="#002060" stroked="f" strokeweight="1pt">
                    <w10:wrap anchorx="margin"/>
                  </v:rect>
                </w:pict>
              </mc:Fallback>
            </mc:AlternateContent>
          </w:r>
          <w:r w:rsidRPr="00DE058F">
            <w:rPr>
              <w:rFonts w:cstheme="minorHAnsi"/>
              <w:color w:val="FFFFFF" w:themeColor="background1"/>
              <w:sz w:val="40"/>
              <w:szCs w:val="64"/>
              <w:lang w:val="sr-Cyrl-CS"/>
            </w:rPr>
            <w:t>Републик</w:t>
          </w:r>
          <w:r w:rsidRPr="00DE058F">
            <w:rPr>
              <w:rFonts w:cstheme="minorHAnsi"/>
              <w:color w:val="FFFFFF" w:themeColor="background1"/>
              <w:sz w:val="40"/>
              <w:szCs w:val="40"/>
              <w:lang w:val="sr-Cyrl-CS"/>
            </w:rPr>
            <w:t>а</w:t>
          </w:r>
          <w:r w:rsidRPr="00DE058F">
            <w:rPr>
              <w:rFonts w:cstheme="minorHAnsi"/>
              <w:color w:val="FFFFFF" w:themeColor="background1"/>
              <w:sz w:val="40"/>
              <w:szCs w:val="64"/>
              <w:lang w:val="sr-Cyrl-CS"/>
            </w:rPr>
            <w:t xml:space="preserve"> Србиј</w:t>
          </w:r>
          <w:r w:rsidRPr="00DE058F">
            <w:rPr>
              <w:rFonts w:cstheme="minorHAnsi"/>
              <w:color w:val="FFFFFF" w:themeColor="background1"/>
              <w:sz w:val="40"/>
              <w:szCs w:val="40"/>
              <w:lang w:val="sr-Cyrl-CS"/>
            </w:rPr>
            <w:t>а</w:t>
          </w:r>
        </w:p>
        <w:p w14:paraId="783A9578" w14:textId="1A591EA8" w:rsidR="00853EDC" w:rsidRPr="00DE058F" w:rsidRDefault="00853EDC" w:rsidP="00853EDC">
          <w:pPr>
            <w:spacing w:before="160"/>
            <w:jc w:val="center"/>
            <w:rPr>
              <w:rFonts w:cstheme="minorHAnsi"/>
              <w:color w:val="FFFFFF" w:themeColor="background1"/>
              <w:sz w:val="70"/>
              <w:szCs w:val="70"/>
              <w:lang w:val="sr-Cyrl-CS"/>
            </w:rPr>
          </w:pPr>
          <w:r w:rsidRPr="00DE058F">
            <w:rPr>
              <w:rFonts w:cstheme="minorHAnsi"/>
              <w:noProof/>
              <w:color w:val="FFFFFF" w:themeColor="background1"/>
              <w:sz w:val="10"/>
            </w:rPr>
            <mc:AlternateContent>
              <mc:Choice Requires="wps">
                <w:drawing>
                  <wp:anchor distT="0" distB="0" distL="114300" distR="114300" simplePos="0" relativeHeight="251670016" behindDoc="0" locked="0" layoutInCell="1" allowOverlap="1" wp14:anchorId="1DBF8BA0" wp14:editId="2C82272D">
                    <wp:simplePos x="0" y="0"/>
                    <wp:positionH relativeFrom="column">
                      <wp:posOffset>137160</wp:posOffset>
                    </wp:positionH>
                    <wp:positionV relativeFrom="paragraph">
                      <wp:posOffset>1026795</wp:posOffset>
                    </wp:positionV>
                    <wp:extent cx="5636260" cy="0"/>
                    <wp:effectExtent l="0" t="38100" r="40640" b="38100"/>
                    <wp:wrapNone/>
                    <wp:docPr id="85" name="Straight Connector 85"/>
                    <wp:cNvGraphicFramePr/>
                    <a:graphic xmlns:a="http://schemas.openxmlformats.org/drawingml/2006/main">
                      <a:graphicData uri="http://schemas.microsoft.com/office/word/2010/wordprocessingShape">
                        <wps:wsp>
                          <wps:cNvCnPr/>
                          <wps:spPr>
                            <a:xfrm>
                              <a:off x="0" y="0"/>
                              <a:ext cx="5636260" cy="0"/>
                            </a:xfrm>
                            <a:prstGeom prst="line">
                              <a:avLst/>
                            </a:prstGeom>
                            <a:ln w="698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C00E37" id="Straight Connector 85" o:spid="_x0000_s1026" style="position:absolute;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8pt,80.85pt" to="454.6pt,8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" strokecolor="red" strokeweight="5.5pt">
                    <v:stroke joinstyle="miter"/>
                  </v:line>
                </w:pict>
              </mc:Fallback>
            </mc:AlternateContent>
          </w:r>
          <w:bookmarkStart w:id="0" w:name="_Hlk528689761"/>
          <w:bookmarkEnd w:id="0"/>
          <w:r w:rsidRPr="00DE058F">
            <w:rPr>
              <w:rFonts w:cstheme="minorHAnsi"/>
              <w:color w:val="FFFFFF" w:themeColor="background1"/>
              <w:sz w:val="40"/>
              <w:szCs w:val="64"/>
              <w:lang w:val="sr-Cyrl-CS"/>
            </w:rPr>
            <w:t>Влада</w:t>
          </w:r>
          <w:r w:rsidRPr="00DE058F">
            <w:rPr>
              <w:rFonts w:cstheme="minorHAnsi"/>
              <w:color w:val="FFFFFF" w:themeColor="background1"/>
              <w:sz w:val="48"/>
              <w:szCs w:val="64"/>
              <w:lang w:val="sr-Cyrl-CS"/>
            </w:rPr>
            <w:br/>
          </w:r>
        </w:p>
        <w:p w14:paraId="7A850BAC" w14:textId="77777777" w:rsidR="00853EDC" w:rsidRPr="00DE058F" w:rsidRDefault="00853EDC" w:rsidP="00BA7E4B">
          <w:pPr>
            <w:pStyle w:val="Default"/>
            <w:spacing w:after="240"/>
            <w:jc w:val="center"/>
            <w:rPr>
              <w:rFonts w:asciiTheme="minorHAnsi" w:hAnsiTheme="minorHAnsi" w:cstheme="minorHAnsi"/>
              <w:b/>
              <w:color w:val="FFFFFF" w:themeColor="background1"/>
              <w:sz w:val="96"/>
              <w:szCs w:val="72"/>
              <w:lang w:val="sr-Cyrl-CS"/>
            </w:rPr>
          </w:pPr>
          <w:r w:rsidRPr="00DE058F">
            <w:rPr>
              <w:rFonts w:asciiTheme="minorHAnsi" w:hAnsiTheme="minorHAnsi" w:cstheme="minorHAnsi"/>
              <w:b/>
              <w:color w:val="FFFFFF" w:themeColor="background1"/>
              <w:sz w:val="96"/>
              <w:szCs w:val="72"/>
              <w:lang w:val="sr-Cyrl-CS"/>
            </w:rPr>
            <w:t>ФИСКАЛНА СТРАТЕГИЈА</w:t>
          </w:r>
        </w:p>
        <w:p w14:paraId="5D1DBD71" w14:textId="3666A78A" w:rsidR="00853EDC" w:rsidRPr="00DE058F" w:rsidRDefault="00853EDC" w:rsidP="002C5CC6">
          <w:pPr>
            <w:jc w:val="center"/>
            <w:rPr>
              <w:rFonts w:cstheme="minorHAnsi"/>
              <w:b/>
              <w:bCs/>
              <w:color w:val="FFFFFF" w:themeColor="background1"/>
              <w:sz w:val="40"/>
              <w:szCs w:val="72"/>
              <w:lang w:val="sr-Cyrl-CS"/>
            </w:rPr>
            <w:sectPr w:rsidR="00853EDC" w:rsidRPr="00DE058F" w:rsidSect="00853EDC">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pgNumType w:start="0"/>
              <w:cols w:space="720"/>
              <w:titlePg/>
              <w:docGrid w:linePitch="360"/>
            </w:sectPr>
          </w:pPr>
          <w:r w:rsidRPr="00DE058F">
            <w:rPr>
              <w:rFonts w:cstheme="minorHAnsi"/>
              <w:noProof/>
              <w:color w:val="FFFFFF" w:themeColor="background1"/>
              <w:sz w:val="14"/>
            </w:rPr>
            <mc:AlternateContent>
              <mc:Choice Requires="wps">
                <w:drawing>
                  <wp:anchor distT="0" distB="0" distL="114300" distR="114300" simplePos="0" relativeHeight="251668992" behindDoc="0" locked="0" layoutInCell="1" allowOverlap="1" wp14:anchorId="730777A8" wp14:editId="1825BE3F">
                    <wp:simplePos x="0" y="0"/>
                    <wp:positionH relativeFrom="column">
                      <wp:posOffset>136525</wp:posOffset>
                    </wp:positionH>
                    <wp:positionV relativeFrom="paragraph">
                      <wp:posOffset>805815</wp:posOffset>
                    </wp:positionV>
                    <wp:extent cx="5636260" cy="0"/>
                    <wp:effectExtent l="0" t="38100" r="40640" b="38100"/>
                    <wp:wrapNone/>
                    <wp:docPr id="86" name="Straight Connector 86"/>
                    <wp:cNvGraphicFramePr/>
                    <a:graphic xmlns:a="http://schemas.openxmlformats.org/drawingml/2006/main">
                      <a:graphicData uri="http://schemas.microsoft.com/office/word/2010/wordprocessingShape">
                        <wps:wsp>
                          <wps:cNvCnPr/>
                          <wps:spPr>
                            <a:xfrm>
                              <a:off x="0" y="0"/>
                              <a:ext cx="5636260" cy="0"/>
                            </a:xfrm>
                            <a:prstGeom prst="line">
                              <a:avLst/>
                            </a:prstGeom>
                            <a:ln w="698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7E5C77" id="Straight Connector 86" o:spid="_x0000_s1026" style="position:absolute;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75pt,63.45pt" to="454.55pt,6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" strokecolor="red" strokeweight="5.5pt">
                    <v:stroke joinstyle="miter"/>
                  </v:line>
                </w:pict>
              </mc:Fallback>
            </mc:AlternateContent>
          </w:r>
          <w:r w:rsidRPr="00DE058F">
            <w:rPr>
              <w:rFonts w:cstheme="minorHAnsi"/>
              <w:b/>
              <w:bCs/>
              <w:color w:val="FFFFFF" w:themeColor="background1"/>
              <w:sz w:val="40"/>
              <w:szCs w:val="72"/>
              <w:lang w:val="sr-Cyrl-CS"/>
            </w:rPr>
            <w:t>ЗА 20</w:t>
          </w:r>
          <w:r w:rsidR="003C3685" w:rsidRPr="00DE058F">
            <w:rPr>
              <w:rFonts w:cstheme="minorHAnsi"/>
              <w:b/>
              <w:bCs/>
              <w:color w:val="FFFFFF" w:themeColor="background1"/>
              <w:sz w:val="40"/>
              <w:szCs w:val="72"/>
              <w:lang w:val="sr-Cyrl-CS"/>
            </w:rPr>
            <w:t>23</w:t>
          </w:r>
          <w:r w:rsidRPr="00DE058F">
            <w:rPr>
              <w:rFonts w:cstheme="minorHAnsi"/>
              <w:b/>
              <w:bCs/>
              <w:color w:val="FFFFFF" w:themeColor="background1"/>
              <w:sz w:val="40"/>
              <w:szCs w:val="72"/>
              <w:lang w:val="sr-Cyrl-CS"/>
            </w:rPr>
            <w:t xml:space="preserve">. ГОДИНУ СА ПРОЈЕКЦИЈАМА </w:t>
          </w:r>
          <w:r w:rsidRPr="00DE058F">
            <w:rPr>
              <w:rFonts w:cstheme="minorHAnsi"/>
              <w:b/>
              <w:bCs/>
              <w:color w:val="FFFFFF" w:themeColor="background1"/>
              <w:sz w:val="40"/>
              <w:szCs w:val="72"/>
              <w:lang w:val="sr-Cyrl-CS"/>
            </w:rPr>
            <w:br/>
            <w:t>ЗА 202</w:t>
          </w:r>
          <w:r w:rsidR="003C3685" w:rsidRPr="00DE058F">
            <w:rPr>
              <w:rFonts w:cstheme="minorHAnsi"/>
              <w:b/>
              <w:bCs/>
              <w:color w:val="FFFFFF" w:themeColor="background1"/>
              <w:sz w:val="40"/>
              <w:szCs w:val="72"/>
              <w:lang w:val="sr-Cyrl-CS"/>
            </w:rPr>
            <w:t>4</w:t>
          </w:r>
          <w:r w:rsidRPr="00DE058F">
            <w:rPr>
              <w:rFonts w:cstheme="minorHAnsi"/>
              <w:b/>
              <w:bCs/>
              <w:color w:val="FFFFFF" w:themeColor="background1"/>
              <w:sz w:val="40"/>
              <w:szCs w:val="72"/>
              <w:lang w:val="sr-Cyrl-CS"/>
            </w:rPr>
            <w:t>. И 202</w:t>
          </w:r>
          <w:r w:rsidR="003C3685" w:rsidRPr="00DE058F">
            <w:rPr>
              <w:rFonts w:cstheme="minorHAnsi"/>
              <w:b/>
              <w:bCs/>
              <w:color w:val="FFFFFF" w:themeColor="background1"/>
              <w:sz w:val="40"/>
              <w:szCs w:val="72"/>
              <w:lang w:val="sr-Cyrl-CS"/>
            </w:rPr>
            <w:t>5</w:t>
          </w:r>
          <w:r w:rsidRPr="00DE058F">
            <w:rPr>
              <w:rFonts w:cstheme="minorHAnsi"/>
              <w:b/>
              <w:bCs/>
              <w:color w:val="FFFFFF" w:themeColor="background1"/>
              <w:sz w:val="40"/>
              <w:szCs w:val="72"/>
              <w:lang w:val="sr-Cyrl-CS"/>
            </w:rPr>
            <w:t>. ГОДИНУ</w:t>
          </w:r>
        </w:p>
        <w:p w14:paraId="7B6990AB" w14:textId="34777E79" w:rsidR="00853EDC" w:rsidRPr="00DE058F" w:rsidRDefault="00853EDC">
          <w:pPr>
            <w:jc w:val="left"/>
            <w:rPr>
              <w:rFonts w:cstheme="minorHAnsi"/>
              <w:color w:val="FFFFFF" w:themeColor="background1"/>
              <w:sz w:val="48"/>
              <w:szCs w:val="64"/>
              <w:lang w:val="sr-Cyrl-CS"/>
            </w:rPr>
          </w:pPr>
          <w:r w:rsidRPr="00DE058F">
            <w:rPr>
              <w:rFonts w:cstheme="minorHAnsi"/>
              <w:noProof/>
              <w:color w:val="FFFFFF" w:themeColor="background1"/>
              <w:sz w:val="52"/>
              <w:szCs w:val="64"/>
            </w:rPr>
            <w:drawing>
              <wp:anchor distT="0" distB="0" distL="114300" distR="114300" simplePos="0" relativeHeight="251667968" behindDoc="1" locked="0" layoutInCell="1" allowOverlap="1" wp14:anchorId="676C3079" wp14:editId="43D69D5B">
                <wp:simplePos x="0" y="0"/>
                <wp:positionH relativeFrom="margin">
                  <wp:posOffset>-1005205</wp:posOffset>
                </wp:positionH>
                <wp:positionV relativeFrom="paragraph">
                  <wp:posOffset>805071</wp:posOffset>
                </wp:positionV>
                <wp:extent cx="8410575" cy="4838065"/>
                <wp:effectExtent l="0" t="0" r="9525" b="635"/>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11666779.jpg"/>
                        <pic:cNvPicPr/>
                      </pic:nvPicPr>
                      <pic:blipFill>
                        <a:blip r:embed="rId14">
                          <a:extLst>
                            <a:ext uri="{BEBA8EAE-BF5A-486C-A8C5-ECC9F3942E4B}">
                              <a14:imgProps xmlns:a14="http://schemas.microsoft.com/office/drawing/2010/main">
                                <a14:imgLayer r:embed="rId15">
                                  <a14:imgEffect>
                                    <a14:colorTemperature colorTemp="6409"/>
                                  </a14:imgEffect>
                                  <a14:imgEffect>
                                    <a14:saturation sat="40000"/>
                                  </a14:imgEffect>
                                </a14:imgLayer>
                              </a14:imgProps>
                            </a:ext>
                            <a:ext uri="{28A0092B-C50C-407E-A947-70E740481C1C}">
                              <a14:useLocalDpi xmlns:a14="http://schemas.microsoft.com/office/drawing/2010/main" val="0"/>
                            </a:ext>
                          </a:extLst>
                        </a:blip>
                        <a:stretch>
                          <a:fillRect/>
                        </a:stretch>
                      </pic:blipFill>
                      <pic:spPr>
                        <a:xfrm>
                          <a:off x="0" y="0"/>
                          <a:ext cx="8410575" cy="4838065"/>
                        </a:xfrm>
                        <a:prstGeom prst="rect">
                          <a:avLst/>
                        </a:prstGeom>
                      </pic:spPr>
                    </pic:pic>
                  </a:graphicData>
                </a:graphic>
                <wp14:sizeRelH relativeFrom="margin">
                  <wp14:pctWidth>0</wp14:pctWidth>
                </wp14:sizeRelH>
                <wp14:sizeRelV relativeFrom="margin">
                  <wp14:pctHeight>0</wp14:pctHeight>
                </wp14:sizeRelV>
              </wp:anchor>
            </w:drawing>
          </w:r>
          <w:r w:rsidRPr="00DE058F">
            <w:rPr>
              <w:rFonts w:cstheme="minorHAnsi"/>
              <w:color w:val="FFFFFF" w:themeColor="background1"/>
              <w:sz w:val="48"/>
              <w:szCs w:val="64"/>
              <w:lang w:val="sr-Cyrl-CS"/>
            </w:rPr>
            <w:br w:type="page"/>
          </w:r>
        </w:p>
      </w:sdtContent>
    </w:sdt>
    <w:p w14:paraId="17677D32" w14:textId="77777777" w:rsidR="00F272DD" w:rsidRPr="00DE058F" w:rsidRDefault="00F272DD" w:rsidP="00AD6DF6">
      <w:pPr>
        <w:rPr>
          <w:lang w:val="sr-Cyrl-CS"/>
        </w:rPr>
      </w:pPr>
    </w:p>
    <w:sdt>
      <w:sdtPr>
        <w:rPr>
          <w:rFonts w:asciiTheme="minorHAnsi" w:eastAsiaTheme="minorHAnsi" w:hAnsiTheme="minorHAnsi" w:cstheme="minorHAnsi"/>
          <w:b/>
          <w:color w:val="002060"/>
          <w:sz w:val="20"/>
          <w:szCs w:val="20"/>
          <w:lang w:val="sr-Cyrl-CS"/>
        </w:rPr>
        <w:id w:val="1630590661"/>
        <w:docPartObj>
          <w:docPartGallery w:val="Table of Contents"/>
          <w:docPartUnique/>
        </w:docPartObj>
      </w:sdtPr>
      <w:sdtEndPr>
        <w:rPr>
          <w:rFonts w:cstheme="minorBidi"/>
          <w:bCs/>
          <w:color w:val="44546A" w:themeColor="text2"/>
          <w:szCs w:val="22"/>
        </w:rPr>
      </w:sdtEndPr>
      <w:sdtContent>
        <w:p w14:paraId="1BDFF86B" w14:textId="77777777" w:rsidR="00F272DD" w:rsidRPr="00DE058F" w:rsidRDefault="00F272DD" w:rsidP="00CA7442">
          <w:pPr>
            <w:pStyle w:val="TOCHeading"/>
            <w:spacing w:after="160"/>
            <w:jc w:val="center"/>
            <w:rPr>
              <w:rFonts w:asciiTheme="minorHAnsi" w:hAnsiTheme="minorHAnsi" w:cstheme="minorHAnsi"/>
              <w:b/>
              <w:color w:val="002060"/>
              <w:sz w:val="20"/>
              <w:szCs w:val="20"/>
              <w:lang w:val="sr-Cyrl-CS"/>
            </w:rPr>
          </w:pPr>
          <w:r w:rsidRPr="00DE058F">
            <w:rPr>
              <w:rFonts w:asciiTheme="minorHAnsi" w:hAnsiTheme="minorHAnsi" w:cstheme="minorHAnsi"/>
              <w:b/>
              <w:color w:val="002060"/>
              <w:sz w:val="20"/>
              <w:szCs w:val="20"/>
              <w:lang w:val="sr-Cyrl-CS"/>
            </w:rPr>
            <w:t>САДРЖАЈ</w:t>
          </w:r>
        </w:p>
        <w:p w14:paraId="7A49E3EE" w14:textId="77777777" w:rsidR="00F272DD" w:rsidRPr="00DE058F" w:rsidRDefault="00F272DD" w:rsidP="00CA7442">
          <w:pPr>
            <w:rPr>
              <w:lang w:val="sr-Cyrl-CS"/>
            </w:rPr>
          </w:pPr>
        </w:p>
        <w:p w14:paraId="0F876E3A" w14:textId="408D7332" w:rsidR="000C4E9D" w:rsidRPr="00DE058F" w:rsidRDefault="00F272DD">
          <w:pPr>
            <w:pStyle w:val="TOC1"/>
            <w:rPr>
              <w:rFonts w:eastAsiaTheme="minorEastAsia" w:cstheme="minorBidi"/>
              <w:b w:val="0"/>
              <w:bCs w:val="0"/>
              <w:color w:val="auto"/>
              <w:sz w:val="22"/>
              <w:szCs w:val="22"/>
              <w:lang w:val="sr-Cyrl-CS" w:eastAsia="en-GB"/>
            </w:rPr>
          </w:pPr>
          <w:r w:rsidRPr="00DE058F">
            <w:rPr>
              <w:b w:val="0"/>
              <w:noProof w:val="0"/>
              <w:lang w:val="sr-Cyrl-CS"/>
            </w:rPr>
            <w:fldChar w:fldCharType="begin"/>
          </w:r>
          <w:r w:rsidRPr="00DE058F">
            <w:rPr>
              <w:b w:val="0"/>
              <w:noProof w:val="0"/>
              <w:lang w:val="sr-Cyrl-CS"/>
            </w:rPr>
            <w:instrText xml:space="preserve"> TOC \o "1-3" \h \z \u </w:instrText>
          </w:r>
          <w:r w:rsidRPr="00DE058F">
            <w:rPr>
              <w:b w:val="0"/>
              <w:noProof w:val="0"/>
              <w:lang w:val="sr-Cyrl-CS"/>
            </w:rPr>
            <w:fldChar w:fldCharType="separate"/>
          </w:r>
          <w:hyperlink w:anchor="_Toc104899600" w:history="1">
            <w:r w:rsidR="000C4E9D" w:rsidRPr="00DE058F">
              <w:rPr>
                <w:rStyle w:val="Hyperlink"/>
                <w:lang w:val="sr-Cyrl-CS"/>
              </w:rPr>
              <w:t>I. МАКРОЕКОНОМСКИ ОКВИР ЗА ПЕРИОД ОД 2023. ДО 2025. ГОДИНЕ</w:t>
            </w:r>
            <w:r w:rsidR="000C4E9D" w:rsidRPr="00DE058F">
              <w:rPr>
                <w:webHidden/>
                <w:lang w:val="sr-Cyrl-CS"/>
              </w:rPr>
              <w:tab/>
            </w:r>
            <w:r w:rsidR="000C4E9D" w:rsidRPr="00DE058F">
              <w:rPr>
                <w:webHidden/>
                <w:lang w:val="sr-Cyrl-CS"/>
              </w:rPr>
              <w:fldChar w:fldCharType="begin"/>
            </w:r>
            <w:r w:rsidR="000C4E9D" w:rsidRPr="00DE058F">
              <w:rPr>
                <w:webHidden/>
                <w:lang w:val="sr-Cyrl-CS"/>
              </w:rPr>
              <w:instrText xml:space="preserve"> PAGEREF _Toc104899600 \h </w:instrText>
            </w:r>
            <w:r w:rsidR="000C4E9D" w:rsidRPr="00DE058F">
              <w:rPr>
                <w:webHidden/>
                <w:lang w:val="sr-Cyrl-CS"/>
              </w:rPr>
            </w:r>
            <w:r w:rsidR="000C4E9D" w:rsidRPr="00DE058F">
              <w:rPr>
                <w:webHidden/>
                <w:lang w:val="sr-Cyrl-CS"/>
              </w:rPr>
              <w:fldChar w:fldCharType="separate"/>
            </w:r>
            <w:r w:rsidR="000C4E9D" w:rsidRPr="00DE058F">
              <w:rPr>
                <w:webHidden/>
                <w:lang w:val="sr-Cyrl-CS"/>
              </w:rPr>
              <w:t>1</w:t>
            </w:r>
            <w:r w:rsidR="000C4E9D" w:rsidRPr="00DE058F">
              <w:rPr>
                <w:webHidden/>
                <w:lang w:val="sr-Cyrl-CS"/>
              </w:rPr>
              <w:fldChar w:fldCharType="end"/>
            </w:r>
          </w:hyperlink>
        </w:p>
        <w:p w14:paraId="599C626A" w14:textId="61934F1E" w:rsidR="000C4E9D" w:rsidRPr="00DE058F" w:rsidRDefault="00FC0A8C">
          <w:pPr>
            <w:pStyle w:val="TOC2"/>
            <w:rPr>
              <w:rFonts w:eastAsiaTheme="minorEastAsia" w:cstheme="minorBidi"/>
              <w:b w:val="0"/>
              <w:color w:val="auto"/>
              <w:sz w:val="22"/>
              <w:lang w:val="sr-Cyrl-CS" w:eastAsia="en-GB"/>
            </w:rPr>
          </w:pPr>
          <w:hyperlink w:anchor="_Toc104899601" w:history="1">
            <w:r w:rsidR="000C4E9D" w:rsidRPr="00DE058F">
              <w:rPr>
                <w:rStyle w:val="Hyperlink"/>
                <w:b w:val="0"/>
                <w:lang w:val="sr-Cyrl-CS"/>
              </w:rPr>
              <w:t>1. Општи оквир и главни циљеви и смернице економске политике</w:t>
            </w:r>
            <w:r w:rsidR="000C4E9D" w:rsidRPr="00DE058F">
              <w:rPr>
                <w:b w:val="0"/>
                <w:webHidden/>
                <w:lang w:val="sr-Cyrl-CS"/>
              </w:rPr>
              <w:tab/>
            </w:r>
            <w:r w:rsidR="000C4E9D" w:rsidRPr="00DE058F">
              <w:rPr>
                <w:b w:val="0"/>
                <w:webHidden/>
                <w:lang w:val="sr-Cyrl-CS"/>
              </w:rPr>
              <w:fldChar w:fldCharType="begin"/>
            </w:r>
            <w:r w:rsidR="000C4E9D" w:rsidRPr="00DE058F">
              <w:rPr>
                <w:b w:val="0"/>
                <w:webHidden/>
                <w:lang w:val="sr-Cyrl-CS"/>
              </w:rPr>
              <w:instrText xml:space="preserve"> PAGEREF _Toc104899601 \h </w:instrText>
            </w:r>
            <w:r w:rsidR="000C4E9D" w:rsidRPr="00DE058F">
              <w:rPr>
                <w:b w:val="0"/>
                <w:webHidden/>
                <w:lang w:val="sr-Cyrl-CS"/>
              </w:rPr>
            </w:r>
            <w:r w:rsidR="000C4E9D" w:rsidRPr="00DE058F">
              <w:rPr>
                <w:b w:val="0"/>
                <w:webHidden/>
                <w:lang w:val="sr-Cyrl-CS"/>
              </w:rPr>
              <w:fldChar w:fldCharType="separate"/>
            </w:r>
            <w:r w:rsidR="000C4E9D" w:rsidRPr="00DE058F">
              <w:rPr>
                <w:b w:val="0"/>
                <w:webHidden/>
                <w:lang w:val="sr-Cyrl-CS"/>
              </w:rPr>
              <w:t>1</w:t>
            </w:r>
            <w:r w:rsidR="000C4E9D" w:rsidRPr="00DE058F">
              <w:rPr>
                <w:b w:val="0"/>
                <w:webHidden/>
                <w:lang w:val="sr-Cyrl-CS"/>
              </w:rPr>
              <w:fldChar w:fldCharType="end"/>
            </w:r>
          </w:hyperlink>
        </w:p>
        <w:p w14:paraId="5F7850F3" w14:textId="17F2D008" w:rsidR="000C4E9D" w:rsidRPr="00DE058F" w:rsidRDefault="00FC0A8C">
          <w:pPr>
            <w:pStyle w:val="TOC2"/>
            <w:rPr>
              <w:rFonts w:eastAsiaTheme="minorEastAsia" w:cstheme="minorBidi"/>
              <w:b w:val="0"/>
              <w:color w:val="auto"/>
              <w:sz w:val="22"/>
              <w:lang w:val="sr-Cyrl-CS" w:eastAsia="en-GB"/>
            </w:rPr>
          </w:pPr>
          <w:hyperlink w:anchor="_Toc104899602" w:history="1">
            <w:r w:rsidR="000C4E9D" w:rsidRPr="00DE058F">
              <w:rPr>
                <w:rStyle w:val="Hyperlink"/>
                <w:b w:val="0"/>
                <w:lang w:val="sr-Cyrl-CS"/>
              </w:rPr>
              <w:t>2. Процене међународног економског окружења</w:t>
            </w:r>
            <w:r w:rsidR="000C4E9D" w:rsidRPr="00DE058F">
              <w:rPr>
                <w:b w:val="0"/>
                <w:webHidden/>
                <w:lang w:val="sr-Cyrl-CS"/>
              </w:rPr>
              <w:tab/>
            </w:r>
            <w:r w:rsidR="000C4E9D" w:rsidRPr="00DE058F">
              <w:rPr>
                <w:b w:val="0"/>
                <w:webHidden/>
                <w:lang w:val="sr-Cyrl-CS"/>
              </w:rPr>
              <w:fldChar w:fldCharType="begin"/>
            </w:r>
            <w:r w:rsidR="000C4E9D" w:rsidRPr="00DE058F">
              <w:rPr>
                <w:b w:val="0"/>
                <w:webHidden/>
                <w:lang w:val="sr-Cyrl-CS"/>
              </w:rPr>
              <w:instrText xml:space="preserve"> PAGEREF _Toc104899602 \h </w:instrText>
            </w:r>
            <w:r w:rsidR="000C4E9D" w:rsidRPr="00DE058F">
              <w:rPr>
                <w:b w:val="0"/>
                <w:webHidden/>
                <w:lang w:val="sr-Cyrl-CS"/>
              </w:rPr>
            </w:r>
            <w:r w:rsidR="000C4E9D" w:rsidRPr="00DE058F">
              <w:rPr>
                <w:b w:val="0"/>
                <w:webHidden/>
                <w:lang w:val="sr-Cyrl-CS"/>
              </w:rPr>
              <w:fldChar w:fldCharType="separate"/>
            </w:r>
            <w:r w:rsidR="000C4E9D" w:rsidRPr="00DE058F">
              <w:rPr>
                <w:b w:val="0"/>
                <w:webHidden/>
                <w:lang w:val="sr-Cyrl-CS"/>
              </w:rPr>
              <w:t>3</w:t>
            </w:r>
            <w:r w:rsidR="000C4E9D" w:rsidRPr="00DE058F">
              <w:rPr>
                <w:b w:val="0"/>
                <w:webHidden/>
                <w:lang w:val="sr-Cyrl-CS"/>
              </w:rPr>
              <w:fldChar w:fldCharType="end"/>
            </w:r>
          </w:hyperlink>
        </w:p>
        <w:p w14:paraId="25C66F51" w14:textId="15702D9E" w:rsidR="000C4E9D" w:rsidRPr="00DE058F" w:rsidRDefault="00FC0A8C">
          <w:pPr>
            <w:pStyle w:val="TOC2"/>
            <w:rPr>
              <w:rFonts w:eastAsiaTheme="minorEastAsia" w:cstheme="minorBidi"/>
              <w:b w:val="0"/>
              <w:color w:val="auto"/>
              <w:sz w:val="22"/>
              <w:lang w:val="sr-Cyrl-CS" w:eastAsia="en-GB"/>
            </w:rPr>
          </w:pPr>
          <w:hyperlink w:anchor="_Toc104899603" w:history="1">
            <w:r w:rsidR="000C4E9D" w:rsidRPr="00DE058F">
              <w:rPr>
                <w:rStyle w:val="Hyperlink"/>
                <w:b w:val="0"/>
                <w:lang w:val="sr-Cyrl-CS"/>
              </w:rPr>
              <w:t>3. Текућа макроекономска кретања у Републици Србији и изгледи за период 2023–2025. године</w:t>
            </w:r>
            <w:r w:rsidR="000C4E9D" w:rsidRPr="00DE058F">
              <w:rPr>
                <w:b w:val="0"/>
                <w:webHidden/>
                <w:lang w:val="sr-Cyrl-CS"/>
              </w:rPr>
              <w:tab/>
            </w:r>
            <w:r w:rsidR="000C4E9D" w:rsidRPr="00DE058F">
              <w:rPr>
                <w:b w:val="0"/>
                <w:webHidden/>
                <w:lang w:val="sr-Cyrl-CS"/>
              </w:rPr>
              <w:fldChar w:fldCharType="begin"/>
            </w:r>
            <w:r w:rsidR="000C4E9D" w:rsidRPr="00DE058F">
              <w:rPr>
                <w:b w:val="0"/>
                <w:webHidden/>
                <w:lang w:val="sr-Cyrl-CS"/>
              </w:rPr>
              <w:instrText xml:space="preserve"> PAGEREF _Toc104899603 \h </w:instrText>
            </w:r>
            <w:r w:rsidR="000C4E9D" w:rsidRPr="00DE058F">
              <w:rPr>
                <w:b w:val="0"/>
                <w:webHidden/>
                <w:lang w:val="sr-Cyrl-CS"/>
              </w:rPr>
            </w:r>
            <w:r w:rsidR="000C4E9D" w:rsidRPr="00DE058F">
              <w:rPr>
                <w:b w:val="0"/>
                <w:webHidden/>
                <w:lang w:val="sr-Cyrl-CS"/>
              </w:rPr>
              <w:fldChar w:fldCharType="separate"/>
            </w:r>
            <w:r w:rsidR="000C4E9D" w:rsidRPr="00DE058F">
              <w:rPr>
                <w:b w:val="0"/>
                <w:webHidden/>
                <w:lang w:val="sr-Cyrl-CS"/>
              </w:rPr>
              <w:t>8</w:t>
            </w:r>
            <w:r w:rsidR="000C4E9D" w:rsidRPr="00DE058F">
              <w:rPr>
                <w:b w:val="0"/>
                <w:webHidden/>
                <w:lang w:val="sr-Cyrl-CS"/>
              </w:rPr>
              <w:fldChar w:fldCharType="end"/>
            </w:r>
          </w:hyperlink>
        </w:p>
        <w:p w14:paraId="48A945A0" w14:textId="6E0D0232" w:rsidR="000C4E9D" w:rsidRPr="00DE058F" w:rsidRDefault="00FC0A8C">
          <w:pPr>
            <w:pStyle w:val="TOC1"/>
            <w:rPr>
              <w:rFonts w:eastAsiaTheme="minorEastAsia" w:cstheme="minorBidi"/>
              <w:b w:val="0"/>
              <w:bCs w:val="0"/>
              <w:color w:val="auto"/>
              <w:sz w:val="22"/>
              <w:szCs w:val="22"/>
              <w:lang w:val="sr-Cyrl-CS" w:eastAsia="en-GB"/>
            </w:rPr>
          </w:pPr>
          <w:hyperlink w:anchor="_Toc104899604" w:history="1">
            <w:r w:rsidR="000C4E9D" w:rsidRPr="00DE058F">
              <w:rPr>
                <w:rStyle w:val="Hyperlink"/>
                <w:rFonts w:eastAsiaTheme="majorEastAsia"/>
                <w:lang w:val="sr-Cyrl-CS"/>
              </w:rPr>
              <w:t>II. ФИСКАЛНИ ОКВИР ЗА ПЕРИОД ОД 2023. ДО 2025. ГОДИНЕ</w:t>
            </w:r>
            <w:r w:rsidR="000C4E9D" w:rsidRPr="00DE058F">
              <w:rPr>
                <w:webHidden/>
                <w:lang w:val="sr-Cyrl-CS"/>
              </w:rPr>
              <w:tab/>
            </w:r>
            <w:r w:rsidR="000C4E9D" w:rsidRPr="00DE058F">
              <w:rPr>
                <w:webHidden/>
                <w:lang w:val="sr-Cyrl-CS"/>
              </w:rPr>
              <w:fldChar w:fldCharType="begin"/>
            </w:r>
            <w:r w:rsidR="000C4E9D" w:rsidRPr="00DE058F">
              <w:rPr>
                <w:webHidden/>
                <w:lang w:val="sr-Cyrl-CS"/>
              </w:rPr>
              <w:instrText xml:space="preserve"> PAGEREF _Toc104899604 \h </w:instrText>
            </w:r>
            <w:r w:rsidR="000C4E9D" w:rsidRPr="00DE058F">
              <w:rPr>
                <w:webHidden/>
                <w:lang w:val="sr-Cyrl-CS"/>
              </w:rPr>
            </w:r>
            <w:r w:rsidR="000C4E9D" w:rsidRPr="00DE058F">
              <w:rPr>
                <w:webHidden/>
                <w:lang w:val="sr-Cyrl-CS"/>
              </w:rPr>
              <w:fldChar w:fldCharType="separate"/>
            </w:r>
            <w:r w:rsidR="000C4E9D" w:rsidRPr="00DE058F">
              <w:rPr>
                <w:webHidden/>
                <w:lang w:val="sr-Cyrl-CS"/>
              </w:rPr>
              <w:t>28</w:t>
            </w:r>
            <w:r w:rsidR="000C4E9D" w:rsidRPr="00DE058F">
              <w:rPr>
                <w:webHidden/>
                <w:lang w:val="sr-Cyrl-CS"/>
              </w:rPr>
              <w:fldChar w:fldCharType="end"/>
            </w:r>
          </w:hyperlink>
        </w:p>
        <w:p w14:paraId="20E0E4BE" w14:textId="68972131" w:rsidR="000C4E9D" w:rsidRPr="00DE058F" w:rsidRDefault="00FC0A8C">
          <w:pPr>
            <w:pStyle w:val="TOC2"/>
            <w:rPr>
              <w:rFonts w:eastAsiaTheme="minorEastAsia" w:cstheme="minorBidi"/>
              <w:b w:val="0"/>
              <w:color w:val="auto"/>
              <w:sz w:val="22"/>
              <w:lang w:val="sr-Cyrl-CS" w:eastAsia="en-GB"/>
            </w:rPr>
          </w:pPr>
          <w:hyperlink w:anchor="_Toc104899605" w:history="1">
            <w:r w:rsidR="000C4E9D" w:rsidRPr="00DE058F">
              <w:rPr>
                <w:rStyle w:val="Hyperlink"/>
                <w:rFonts w:eastAsiaTheme="majorEastAsia"/>
                <w:b w:val="0"/>
                <w:lang w:val="sr-Cyrl-CS"/>
              </w:rPr>
              <w:t>1. Средњорочни циљеви фискалне политике</w:t>
            </w:r>
            <w:r w:rsidR="000C4E9D" w:rsidRPr="00DE058F">
              <w:rPr>
                <w:b w:val="0"/>
                <w:webHidden/>
                <w:lang w:val="sr-Cyrl-CS"/>
              </w:rPr>
              <w:tab/>
            </w:r>
            <w:r w:rsidR="000C4E9D" w:rsidRPr="00DE058F">
              <w:rPr>
                <w:b w:val="0"/>
                <w:webHidden/>
                <w:lang w:val="sr-Cyrl-CS"/>
              </w:rPr>
              <w:fldChar w:fldCharType="begin"/>
            </w:r>
            <w:r w:rsidR="000C4E9D" w:rsidRPr="00DE058F">
              <w:rPr>
                <w:b w:val="0"/>
                <w:webHidden/>
                <w:lang w:val="sr-Cyrl-CS"/>
              </w:rPr>
              <w:instrText xml:space="preserve"> PAGEREF _Toc104899605 \h </w:instrText>
            </w:r>
            <w:r w:rsidR="000C4E9D" w:rsidRPr="00DE058F">
              <w:rPr>
                <w:b w:val="0"/>
                <w:webHidden/>
                <w:lang w:val="sr-Cyrl-CS"/>
              </w:rPr>
            </w:r>
            <w:r w:rsidR="000C4E9D" w:rsidRPr="00DE058F">
              <w:rPr>
                <w:b w:val="0"/>
                <w:webHidden/>
                <w:lang w:val="sr-Cyrl-CS"/>
              </w:rPr>
              <w:fldChar w:fldCharType="separate"/>
            </w:r>
            <w:r w:rsidR="000C4E9D" w:rsidRPr="00DE058F">
              <w:rPr>
                <w:b w:val="0"/>
                <w:webHidden/>
                <w:lang w:val="sr-Cyrl-CS"/>
              </w:rPr>
              <w:t>28</w:t>
            </w:r>
            <w:r w:rsidR="000C4E9D" w:rsidRPr="00DE058F">
              <w:rPr>
                <w:b w:val="0"/>
                <w:webHidden/>
                <w:lang w:val="sr-Cyrl-CS"/>
              </w:rPr>
              <w:fldChar w:fldCharType="end"/>
            </w:r>
          </w:hyperlink>
        </w:p>
        <w:p w14:paraId="6EB409CA" w14:textId="6AEDA00B" w:rsidR="000C4E9D" w:rsidRPr="00DE058F" w:rsidRDefault="00FC0A8C">
          <w:pPr>
            <w:pStyle w:val="TOC2"/>
            <w:rPr>
              <w:rFonts w:eastAsiaTheme="minorEastAsia" w:cstheme="minorBidi"/>
              <w:b w:val="0"/>
              <w:color w:val="auto"/>
              <w:sz w:val="22"/>
              <w:lang w:val="sr-Cyrl-CS" w:eastAsia="en-GB"/>
            </w:rPr>
          </w:pPr>
          <w:hyperlink w:anchor="_Toc104899606" w:history="1">
            <w:r w:rsidR="000C4E9D" w:rsidRPr="00DE058F">
              <w:rPr>
                <w:rStyle w:val="Hyperlink"/>
                <w:b w:val="0"/>
                <w:lang w:val="sr-Cyrl-CS"/>
              </w:rPr>
              <w:t>2. Фискална кретања у 2021. години</w:t>
            </w:r>
            <w:r w:rsidR="000C4E9D" w:rsidRPr="00DE058F">
              <w:rPr>
                <w:b w:val="0"/>
                <w:webHidden/>
                <w:lang w:val="sr-Cyrl-CS"/>
              </w:rPr>
              <w:tab/>
            </w:r>
            <w:r w:rsidR="000C4E9D" w:rsidRPr="00DE058F">
              <w:rPr>
                <w:b w:val="0"/>
                <w:webHidden/>
                <w:lang w:val="sr-Cyrl-CS"/>
              </w:rPr>
              <w:fldChar w:fldCharType="begin"/>
            </w:r>
            <w:r w:rsidR="000C4E9D" w:rsidRPr="00DE058F">
              <w:rPr>
                <w:b w:val="0"/>
                <w:webHidden/>
                <w:lang w:val="sr-Cyrl-CS"/>
              </w:rPr>
              <w:instrText xml:space="preserve"> PAGEREF _Toc104899606 \h </w:instrText>
            </w:r>
            <w:r w:rsidR="000C4E9D" w:rsidRPr="00DE058F">
              <w:rPr>
                <w:b w:val="0"/>
                <w:webHidden/>
                <w:lang w:val="sr-Cyrl-CS"/>
              </w:rPr>
            </w:r>
            <w:r w:rsidR="000C4E9D" w:rsidRPr="00DE058F">
              <w:rPr>
                <w:b w:val="0"/>
                <w:webHidden/>
                <w:lang w:val="sr-Cyrl-CS"/>
              </w:rPr>
              <w:fldChar w:fldCharType="separate"/>
            </w:r>
            <w:r w:rsidR="000C4E9D" w:rsidRPr="00DE058F">
              <w:rPr>
                <w:b w:val="0"/>
                <w:webHidden/>
                <w:lang w:val="sr-Cyrl-CS"/>
              </w:rPr>
              <w:t>29</w:t>
            </w:r>
            <w:r w:rsidR="000C4E9D" w:rsidRPr="00DE058F">
              <w:rPr>
                <w:b w:val="0"/>
                <w:webHidden/>
                <w:lang w:val="sr-Cyrl-CS"/>
              </w:rPr>
              <w:fldChar w:fldCharType="end"/>
            </w:r>
          </w:hyperlink>
        </w:p>
        <w:p w14:paraId="0BE87024" w14:textId="2CBDBC27" w:rsidR="000C4E9D" w:rsidRPr="00DE058F" w:rsidRDefault="00FC0A8C">
          <w:pPr>
            <w:pStyle w:val="TOC2"/>
            <w:rPr>
              <w:rFonts w:eastAsiaTheme="minorEastAsia" w:cstheme="minorBidi"/>
              <w:b w:val="0"/>
              <w:color w:val="auto"/>
              <w:sz w:val="22"/>
              <w:lang w:val="sr-Cyrl-CS" w:eastAsia="en-GB"/>
            </w:rPr>
          </w:pPr>
          <w:hyperlink w:anchor="_Toc104899607" w:history="1">
            <w:r w:rsidR="000C4E9D" w:rsidRPr="00DE058F">
              <w:rPr>
                <w:rStyle w:val="Hyperlink"/>
                <w:b w:val="0"/>
                <w:lang w:val="sr-Cyrl-CS"/>
              </w:rPr>
              <w:t>3. Текућа фискална кретања и изгледи за 2022. годину</w:t>
            </w:r>
            <w:r w:rsidR="000C4E9D" w:rsidRPr="00DE058F">
              <w:rPr>
                <w:b w:val="0"/>
                <w:webHidden/>
                <w:lang w:val="sr-Cyrl-CS"/>
              </w:rPr>
              <w:tab/>
            </w:r>
            <w:r w:rsidR="000C4E9D" w:rsidRPr="00DE058F">
              <w:rPr>
                <w:b w:val="0"/>
                <w:webHidden/>
                <w:lang w:val="sr-Cyrl-CS"/>
              </w:rPr>
              <w:fldChar w:fldCharType="begin"/>
            </w:r>
            <w:r w:rsidR="000C4E9D" w:rsidRPr="00DE058F">
              <w:rPr>
                <w:b w:val="0"/>
                <w:webHidden/>
                <w:lang w:val="sr-Cyrl-CS"/>
              </w:rPr>
              <w:instrText xml:space="preserve"> PAGEREF _Toc104899607 \h </w:instrText>
            </w:r>
            <w:r w:rsidR="000C4E9D" w:rsidRPr="00DE058F">
              <w:rPr>
                <w:b w:val="0"/>
                <w:webHidden/>
                <w:lang w:val="sr-Cyrl-CS"/>
              </w:rPr>
            </w:r>
            <w:r w:rsidR="000C4E9D" w:rsidRPr="00DE058F">
              <w:rPr>
                <w:b w:val="0"/>
                <w:webHidden/>
                <w:lang w:val="sr-Cyrl-CS"/>
              </w:rPr>
              <w:fldChar w:fldCharType="separate"/>
            </w:r>
            <w:r w:rsidR="000C4E9D" w:rsidRPr="00DE058F">
              <w:rPr>
                <w:b w:val="0"/>
                <w:webHidden/>
                <w:lang w:val="sr-Cyrl-CS"/>
              </w:rPr>
              <w:t>32</w:t>
            </w:r>
            <w:r w:rsidR="000C4E9D" w:rsidRPr="00DE058F">
              <w:rPr>
                <w:b w:val="0"/>
                <w:webHidden/>
                <w:lang w:val="sr-Cyrl-CS"/>
              </w:rPr>
              <w:fldChar w:fldCharType="end"/>
            </w:r>
          </w:hyperlink>
        </w:p>
        <w:p w14:paraId="6F22BBF7" w14:textId="7955DE0A" w:rsidR="000C4E9D" w:rsidRPr="00DE058F" w:rsidRDefault="00FC0A8C">
          <w:pPr>
            <w:pStyle w:val="TOC2"/>
            <w:rPr>
              <w:rFonts w:eastAsiaTheme="minorEastAsia" w:cstheme="minorBidi"/>
              <w:b w:val="0"/>
              <w:color w:val="auto"/>
              <w:sz w:val="22"/>
              <w:lang w:val="sr-Cyrl-CS" w:eastAsia="en-GB"/>
            </w:rPr>
          </w:pPr>
          <w:hyperlink w:anchor="_Toc104899608" w:history="1">
            <w:r w:rsidR="000C4E9D" w:rsidRPr="00DE058F">
              <w:rPr>
                <w:rStyle w:val="Hyperlink"/>
                <w:rFonts w:eastAsia="Calibri"/>
                <w:b w:val="0"/>
                <w:lang w:val="sr-Cyrl-CS"/>
              </w:rPr>
              <w:t>4. Фискалне пројекције у периоду 2023–2025. године</w:t>
            </w:r>
            <w:r w:rsidR="000C4E9D" w:rsidRPr="00DE058F">
              <w:rPr>
                <w:b w:val="0"/>
                <w:webHidden/>
                <w:lang w:val="sr-Cyrl-CS"/>
              </w:rPr>
              <w:tab/>
            </w:r>
            <w:r w:rsidR="000C4E9D" w:rsidRPr="00DE058F">
              <w:rPr>
                <w:b w:val="0"/>
                <w:webHidden/>
                <w:lang w:val="sr-Cyrl-CS"/>
              </w:rPr>
              <w:fldChar w:fldCharType="begin"/>
            </w:r>
            <w:r w:rsidR="000C4E9D" w:rsidRPr="00DE058F">
              <w:rPr>
                <w:b w:val="0"/>
                <w:webHidden/>
                <w:lang w:val="sr-Cyrl-CS"/>
              </w:rPr>
              <w:instrText xml:space="preserve"> PAGEREF _Toc104899608 \h </w:instrText>
            </w:r>
            <w:r w:rsidR="000C4E9D" w:rsidRPr="00DE058F">
              <w:rPr>
                <w:b w:val="0"/>
                <w:webHidden/>
                <w:lang w:val="sr-Cyrl-CS"/>
              </w:rPr>
            </w:r>
            <w:r w:rsidR="000C4E9D" w:rsidRPr="00DE058F">
              <w:rPr>
                <w:b w:val="0"/>
                <w:webHidden/>
                <w:lang w:val="sr-Cyrl-CS"/>
              </w:rPr>
              <w:fldChar w:fldCharType="separate"/>
            </w:r>
            <w:r w:rsidR="000C4E9D" w:rsidRPr="00DE058F">
              <w:rPr>
                <w:b w:val="0"/>
                <w:webHidden/>
                <w:lang w:val="sr-Cyrl-CS"/>
              </w:rPr>
              <w:t>39</w:t>
            </w:r>
            <w:r w:rsidR="000C4E9D" w:rsidRPr="00DE058F">
              <w:rPr>
                <w:b w:val="0"/>
                <w:webHidden/>
                <w:lang w:val="sr-Cyrl-CS"/>
              </w:rPr>
              <w:fldChar w:fldCharType="end"/>
            </w:r>
          </w:hyperlink>
        </w:p>
        <w:p w14:paraId="2291D6FD" w14:textId="5AE1ECC4" w:rsidR="000C4E9D" w:rsidRPr="00DE058F" w:rsidRDefault="00FC0A8C">
          <w:pPr>
            <w:pStyle w:val="TOC2"/>
            <w:rPr>
              <w:rFonts w:eastAsiaTheme="minorEastAsia" w:cstheme="minorBidi"/>
              <w:b w:val="0"/>
              <w:color w:val="auto"/>
              <w:sz w:val="22"/>
              <w:lang w:val="sr-Cyrl-CS" w:eastAsia="en-GB"/>
            </w:rPr>
          </w:pPr>
          <w:hyperlink w:anchor="_Toc104899609" w:history="1">
            <w:r w:rsidR="000C4E9D" w:rsidRPr="00DE058F">
              <w:rPr>
                <w:rStyle w:val="Hyperlink"/>
                <w:b w:val="0"/>
                <w:lang w:val="sr-Cyrl-CS"/>
              </w:rPr>
              <w:t>5. Фискални ризици</w:t>
            </w:r>
            <w:r w:rsidR="000C4E9D" w:rsidRPr="00DE058F">
              <w:rPr>
                <w:b w:val="0"/>
                <w:webHidden/>
                <w:lang w:val="sr-Cyrl-CS"/>
              </w:rPr>
              <w:tab/>
            </w:r>
            <w:r w:rsidR="000C4E9D" w:rsidRPr="00DE058F">
              <w:rPr>
                <w:b w:val="0"/>
                <w:webHidden/>
                <w:lang w:val="sr-Cyrl-CS"/>
              </w:rPr>
              <w:fldChar w:fldCharType="begin"/>
            </w:r>
            <w:r w:rsidR="000C4E9D" w:rsidRPr="00DE058F">
              <w:rPr>
                <w:b w:val="0"/>
                <w:webHidden/>
                <w:lang w:val="sr-Cyrl-CS"/>
              </w:rPr>
              <w:instrText xml:space="preserve"> PAGEREF _Toc104899609 \h </w:instrText>
            </w:r>
            <w:r w:rsidR="000C4E9D" w:rsidRPr="00DE058F">
              <w:rPr>
                <w:b w:val="0"/>
                <w:webHidden/>
                <w:lang w:val="sr-Cyrl-CS"/>
              </w:rPr>
            </w:r>
            <w:r w:rsidR="000C4E9D" w:rsidRPr="00DE058F">
              <w:rPr>
                <w:b w:val="0"/>
                <w:webHidden/>
                <w:lang w:val="sr-Cyrl-CS"/>
              </w:rPr>
              <w:fldChar w:fldCharType="separate"/>
            </w:r>
            <w:r w:rsidR="000C4E9D" w:rsidRPr="00DE058F">
              <w:rPr>
                <w:b w:val="0"/>
                <w:webHidden/>
                <w:lang w:val="sr-Cyrl-CS"/>
              </w:rPr>
              <w:t>49</w:t>
            </w:r>
            <w:r w:rsidR="000C4E9D" w:rsidRPr="00DE058F">
              <w:rPr>
                <w:b w:val="0"/>
                <w:webHidden/>
                <w:lang w:val="sr-Cyrl-CS"/>
              </w:rPr>
              <w:fldChar w:fldCharType="end"/>
            </w:r>
          </w:hyperlink>
        </w:p>
        <w:p w14:paraId="4FF15CE2" w14:textId="5CDFC7B9" w:rsidR="000C4E9D" w:rsidRPr="00DE058F" w:rsidRDefault="00FC0A8C">
          <w:pPr>
            <w:pStyle w:val="TOC2"/>
            <w:rPr>
              <w:rFonts w:eastAsiaTheme="minorEastAsia" w:cstheme="minorBidi"/>
              <w:b w:val="0"/>
              <w:color w:val="auto"/>
              <w:sz w:val="22"/>
              <w:lang w:val="sr-Cyrl-CS" w:eastAsia="en-GB"/>
            </w:rPr>
          </w:pPr>
          <w:hyperlink w:anchor="_Toc104899610" w:history="1">
            <w:r w:rsidR="000C4E9D" w:rsidRPr="00DE058F">
              <w:rPr>
                <w:rStyle w:val="Hyperlink"/>
                <w:rFonts w:eastAsia="Times New Roman"/>
                <w:b w:val="0"/>
                <w:lang w:val="sr-Cyrl-CS"/>
              </w:rPr>
              <w:t xml:space="preserve">6. </w:t>
            </w:r>
            <w:r w:rsidR="000C4E9D" w:rsidRPr="00DE058F">
              <w:rPr>
                <w:rStyle w:val="Hyperlink"/>
                <w:b w:val="0"/>
                <w:lang w:val="sr-Cyrl-CS"/>
              </w:rPr>
              <w:t>Циклично прилагођени и структурни фискални биланс</w:t>
            </w:r>
            <w:r w:rsidR="000C4E9D" w:rsidRPr="00DE058F">
              <w:rPr>
                <w:b w:val="0"/>
                <w:webHidden/>
                <w:lang w:val="sr-Cyrl-CS"/>
              </w:rPr>
              <w:tab/>
            </w:r>
            <w:r w:rsidR="000C4E9D" w:rsidRPr="00DE058F">
              <w:rPr>
                <w:b w:val="0"/>
                <w:webHidden/>
                <w:lang w:val="sr-Cyrl-CS"/>
              </w:rPr>
              <w:fldChar w:fldCharType="begin"/>
            </w:r>
            <w:r w:rsidR="000C4E9D" w:rsidRPr="00DE058F">
              <w:rPr>
                <w:b w:val="0"/>
                <w:webHidden/>
                <w:lang w:val="sr-Cyrl-CS"/>
              </w:rPr>
              <w:instrText xml:space="preserve"> PAGEREF _Toc104899610 \h </w:instrText>
            </w:r>
            <w:r w:rsidR="000C4E9D" w:rsidRPr="00DE058F">
              <w:rPr>
                <w:b w:val="0"/>
                <w:webHidden/>
                <w:lang w:val="sr-Cyrl-CS"/>
              </w:rPr>
            </w:r>
            <w:r w:rsidR="000C4E9D" w:rsidRPr="00DE058F">
              <w:rPr>
                <w:b w:val="0"/>
                <w:webHidden/>
                <w:lang w:val="sr-Cyrl-CS"/>
              </w:rPr>
              <w:fldChar w:fldCharType="separate"/>
            </w:r>
            <w:r w:rsidR="000C4E9D" w:rsidRPr="00DE058F">
              <w:rPr>
                <w:b w:val="0"/>
                <w:webHidden/>
                <w:lang w:val="sr-Cyrl-CS"/>
              </w:rPr>
              <w:t>66</w:t>
            </w:r>
            <w:r w:rsidR="000C4E9D" w:rsidRPr="00DE058F">
              <w:rPr>
                <w:b w:val="0"/>
                <w:webHidden/>
                <w:lang w:val="sr-Cyrl-CS"/>
              </w:rPr>
              <w:fldChar w:fldCharType="end"/>
            </w:r>
          </w:hyperlink>
        </w:p>
        <w:p w14:paraId="7985340C" w14:textId="62A3421C" w:rsidR="000C4E9D" w:rsidRPr="00DE058F" w:rsidRDefault="00FC0A8C">
          <w:pPr>
            <w:pStyle w:val="TOC2"/>
            <w:rPr>
              <w:rFonts w:eastAsiaTheme="minorEastAsia" w:cstheme="minorBidi"/>
              <w:b w:val="0"/>
              <w:color w:val="auto"/>
              <w:sz w:val="22"/>
              <w:lang w:val="sr-Cyrl-CS" w:eastAsia="en-GB"/>
            </w:rPr>
          </w:pPr>
          <w:hyperlink w:anchor="_Toc104899611" w:history="1">
            <w:r w:rsidR="000C4E9D" w:rsidRPr="00DE058F">
              <w:rPr>
                <w:rStyle w:val="Hyperlink"/>
                <w:b w:val="0"/>
                <w:lang w:val="sr-Cyrl-CS"/>
              </w:rPr>
              <w:t>7. Програм за смањење дуга</w:t>
            </w:r>
            <w:r w:rsidR="000C4E9D" w:rsidRPr="00DE058F">
              <w:rPr>
                <w:b w:val="0"/>
                <w:webHidden/>
                <w:lang w:val="sr-Cyrl-CS"/>
              </w:rPr>
              <w:tab/>
            </w:r>
            <w:r w:rsidR="000C4E9D" w:rsidRPr="00DE058F">
              <w:rPr>
                <w:b w:val="0"/>
                <w:webHidden/>
                <w:lang w:val="sr-Cyrl-CS"/>
              </w:rPr>
              <w:fldChar w:fldCharType="begin"/>
            </w:r>
            <w:r w:rsidR="000C4E9D" w:rsidRPr="00DE058F">
              <w:rPr>
                <w:b w:val="0"/>
                <w:webHidden/>
                <w:lang w:val="sr-Cyrl-CS"/>
              </w:rPr>
              <w:instrText xml:space="preserve"> PAGEREF _Toc104899611 \h </w:instrText>
            </w:r>
            <w:r w:rsidR="000C4E9D" w:rsidRPr="00DE058F">
              <w:rPr>
                <w:b w:val="0"/>
                <w:webHidden/>
                <w:lang w:val="sr-Cyrl-CS"/>
              </w:rPr>
            </w:r>
            <w:r w:rsidR="000C4E9D" w:rsidRPr="00DE058F">
              <w:rPr>
                <w:b w:val="0"/>
                <w:webHidden/>
                <w:lang w:val="sr-Cyrl-CS"/>
              </w:rPr>
              <w:fldChar w:fldCharType="separate"/>
            </w:r>
            <w:r w:rsidR="000C4E9D" w:rsidRPr="00DE058F">
              <w:rPr>
                <w:b w:val="0"/>
                <w:webHidden/>
                <w:lang w:val="sr-Cyrl-CS"/>
              </w:rPr>
              <w:t>70</w:t>
            </w:r>
            <w:r w:rsidR="000C4E9D" w:rsidRPr="00DE058F">
              <w:rPr>
                <w:b w:val="0"/>
                <w:webHidden/>
                <w:lang w:val="sr-Cyrl-CS"/>
              </w:rPr>
              <w:fldChar w:fldCharType="end"/>
            </w:r>
          </w:hyperlink>
        </w:p>
        <w:p w14:paraId="062AAA6C" w14:textId="6F61FEF5" w:rsidR="000C4E9D" w:rsidRPr="00DE058F" w:rsidRDefault="00FC0A8C">
          <w:pPr>
            <w:pStyle w:val="TOC1"/>
            <w:rPr>
              <w:rFonts w:eastAsiaTheme="minorEastAsia" w:cstheme="minorBidi"/>
              <w:b w:val="0"/>
              <w:bCs w:val="0"/>
              <w:color w:val="auto"/>
              <w:sz w:val="22"/>
              <w:szCs w:val="22"/>
              <w:lang w:val="sr-Cyrl-CS" w:eastAsia="en-GB"/>
            </w:rPr>
          </w:pPr>
          <w:hyperlink w:anchor="_Toc104899612" w:history="1">
            <w:r w:rsidR="000C4E9D" w:rsidRPr="00DE058F">
              <w:rPr>
                <w:rStyle w:val="Hyperlink"/>
                <w:lang w:val="sr-Cyrl-CS"/>
              </w:rPr>
              <w:t>III. СТРАТЕГИЈА УПРАВЉАЊА ЈАВНИМ ДУГОМ ОД 2023. ДО 2025. ГОДИНЕ</w:t>
            </w:r>
            <w:r w:rsidR="000C4E9D" w:rsidRPr="00DE058F">
              <w:rPr>
                <w:webHidden/>
                <w:lang w:val="sr-Cyrl-CS"/>
              </w:rPr>
              <w:tab/>
            </w:r>
            <w:r w:rsidR="000C4E9D" w:rsidRPr="00DE058F">
              <w:rPr>
                <w:webHidden/>
                <w:lang w:val="sr-Cyrl-CS"/>
              </w:rPr>
              <w:fldChar w:fldCharType="begin"/>
            </w:r>
            <w:r w:rsidR="000C4E9D" w:rsidRPr="00DE058F">
              <w:rPr>
                <w:webHidden/>
                <w:lang w:val="sr-Cyrl-CS"/>
              </w:rPr>
              <w:instrText xml:space="preserve"> PAGEREF _Toc104899612 \h </w:instrText>
            </w:r>
            <w:r w:rsidR="000C4E9D" w:rsidRPr="00DE058F">
              <w:rPr>
                <w:webHidden/>
                <w:lang w:val="sr-Cyrl-CS"/>
              </w:rPr>
            </w:r>
            <w:r w:rsidR="000C4E9D" w:rsidRPr="00DE058F">
              <w:rPr>
                <w:webHidden/>
                <w:lang w:val="sr-Cyrl-CS"/>
              </w:rPr>
              <w:fldChar w:fldCharType="separate"/>
            </w:r>
            <w:r w:rsidR="000C4E9D" w:rsidRPr="00DE058F">
              <w:rPr>
                <w:webHidden/>
                <w:lang w:val="sr-Cyrl-CS"/>
              </w:rPr>
              <w:t>73</w:t>
            </w:r>
            <w:r w:rsidR="000C4E9D" w:rsidRPr="00DE058F">
              <w:rPr>
                <w:webHidden/>
                <w:lang w:val="sr-Cyrl-CS"/>
              </w:rPr>
              <w:fldChar w:fldCharType="end"/>
            </w:r>
          </w:hyperlink>
        </w:p>
        <w:p w14:paraId="2DD8A0AA" w14:textId="4C06DF56" w:rsidR="000C4E9D" w:rsidRPr="00DE058F" w:rsidRDefault="00FC0A8C">
          <w:pPr>
            <w:pStyle w:val="TOC1"/>
            <w:rPr>
              <w:rFonts w:eastAsiaTheme="minorEastAsia" w:cstheme="minorBidi"/>
              <w:b w:val="0"/>
              <w:bCs w:val="0"/>
              <w:color w:val="auto"/>
              <w:sz w:val="22"/>
              <w:szCs w:val="22"/>
              <w:lang w:val="sr-Cyrl-CS" w:eastAsia="en-GB"/>
            </w:rPr>
          </w:pPr>
          <w:hyperlink w:anchor="_Toc104899613" w:history="1">
            <w:r w:rsidR="000C4E9D" w:rsidRPr="00DE058F">
              <w:rPr>
                <w:rStyle w:val="Hyperlink"/>
                <w:rFonts w:eastAsiaTheme="majorEastAsia"/>
                <w:lang w:val="sr-Cyrl-CS"/>
              </w:rPr>
              <w:t>IV. ЗАВРШНЕ ОДРЕДБЕ</w:t>
            </w:r>
            <w:r w:rsidR="000C4E9D" w:rsidRPr="00DE058F">
              <w:rPr>
                <w:webHidden/>
                <w:lang w:val="sr-Cyrl-CS"/>
              </w:rPr>
              <w:tab/>
            </w:r>
            <w:r w:rsidR="000C4E9D" w:rsidRPr="00DE058F">
              <w:rPr>
                <w:webHidden/>
                <w:lang w:val="sr-Cyrl-CS"/>
              </w:rPr>
              <w:fldChar w:fldCharType="begin"/>
            </w:r>
            <w:r w:rsidR="000C4E9D" w:rsidRPr="00DE058F">
              <w:rPr>
                <w:webHidden/>
                <w:lang w:val="sr-Cyrl-CS"/>
              </w:rPr>
              <w:instrText xml:space="preserve"> PAGEREF _Toc104899613 \h </w:instrText>
            </w:r>
            <w:r w:rsidR="000C4E9D" w:rsidRPr="00DE058F">
              <w:rPr>
                <w:webHidden/>
                <w:lang w:val="sr-Cyrl-CS"/>
              </w:rPr>
            </w:r>
            <w:r w:rsidR="000C4E9D" w:rsidRPr="00DE058F">
              <w:rPr>
                <w:webHidden/>
                <w:lang w:val="sr-Cyrl-CS"/>
              </w:rPr>
              <w:fldChar w:fldCharType="separate"/>
            </w:r>
            <w:r w:rsidR="000C4E9D" w:rsidRPr="00DE058F">
              <w:rPr>
                <w:webHidden/>
                <w:lang w:val="sr-Cyrl-CS"/>
              </w:rPr>
              <w:t>90</w:t>
            </w:r>
            <w:r w:rsidR="000C4E9D" w:rsidRPr="00DE058F">
              <w:rPr>
                <w:webHidden/>
                <w:lang w:val="sr-Cyrl-CS"/>
              </w:rPr>
              <w:fldChar w:fldCharType="end"/>
            </w:r>
          </w:hyperlink>
        </w:p>
        <w:p w14:paraId="6A9872C5" w14:textId="78A9A866" w:rsidR="000C4E9D" w:rsidRPr="00DE058F" w:rsidRDefault="00FC0A8C">
          <w:pPr>
            <w:pStyle w:val="TOC1"/>
            <w:rPr>
              <w:rFonts w:eastAsiaTheme="minorEastAsia" w:cstheme="minorBidi"/>
              <w:b w:val="0"/>
              <w:bCs w:val="0"/>
              <w:color w:val="auto"/>
              <w:sz w:val="22"/>
              <w:szCs w:val="22"/>
              <w:lang w:val="sr-Cyrl-CS" w:eastAsia="en-GB"/>
            </w:rPr>
          </w:pPr>
          <w:hyperlink w:anchor="_Toc104899614" w:history="1">
            <w:r w:rsidR="000C4E9D" w:rsidRPr="00DE058F">
              <w:rPr>
                <w:rStyle w:val="Hyperlink"/>
                <w:lang w:val="sr-Cyrl-CS"/>
              </w:rPr>
              <w:t>Прилог 1 – Пројекција основних макроекономских индикатора</w:t>
            </w:r>
            <w:r w:rsidR="000C4E9D" w:rsidRPr="00DE058F">
              <w:rPr>
                <w:webHidden/>
                <w:lang w:val="sr-Cyrl-CS"/>
              </w:rPr>
              <w:tab/>
            </w:r>
            <w:r w:rsidR="000C4E9D" w:rsidRPr="00DE058F">
              <w:rPr>
                <w:webHidden/>
                <w:lang w:val="sr-Cyrl-CS"/>
              </w:rPr>
              <w:fldChar w:fldCharType="begin"/>
            </w:r>
            <w:r w:rsidR="000C4E9D" w:rsidRPr="00DE058F">
              <w:rPr>
                <w:webHidden/>
                <w:lang w:val="sr-Cyrl-CS"/>
              </w:rPr>
              <w:instrText xml:space="preserve"> PAGEREF _Toc104899614 \h </w:instrText>
            </w:r>
            <w:r w:rsidR="000C4E9D" w:rsidRPr="00DE058F">
              <w:rPr>
                <w:webHidden/>
                <w:lang w:val="sr-Cyrl-CS"/>
              </w:rPr>
            </w:r>
            <w:r w:rsidR="000C4E9D" w:rsidRPr="00DE058F">
              <w:rPr>
                <w:webHidden/>
                <w:lang w:val="sr-Cyrl-CS"/>
              </w:rPr>
              <w:fldChar w:fldCharType="separate"/>
            </w:r>
            <w:r w:rsidR="000C4E9D" w:rsidRPr="00DE058F">
              <w:rPr>
                <w:webHidden/>
                <w:lang w:val="sr-Cyrl-CS"/>
              </w:rPr>
              <w:t>91</w:t>
            </w:r>
            <w:r w:rsidR="000C4E9D" w:rsidRPr="00DE058F">
              <w:rPr>
                <w:webHidden/>
                <w:lang w:val="sr-Cyrl-CS"/>
              </w:rPr>
              <w:fldChar w:fldCharType="end"/>
            </w:r>
          </w:hyperlink>
        </w:p>
        <w:p w14:paraId="7577E7AC" w14:textId="656E9835" w:rsidR="000C4E9D" w:rsidRPr="00DE058F" w:rsidRDefault="00FC0A8C">
          <w:pPr>
            <w:pStyle w:val="TOC1"/>
            <w:rPr>
              <w:rFonts w:eastAsiaTheme="minorEastAsia" w:cstheme="minorBidi"/>
              <w:b w:val="0"/>
              <w:bCs w:val="0"/>
              <w:color w:val="auto"/>
              <w:sz w:val="22"/>
              <w:szCs w:val="22"/>
              <w:lang w:val="sr-Cyrl-CS" w:eastAsia="en-GB"/>
            </w:rPr>
          </w:pPr>
          <w:hyperlink w:anchor="_Toc104899615" w:history="1">
            <w:r w:rsidR="000C4E9D" w:rsidRPr="00DE058F">
              <w:rPr>
                <w:rStyle w:val="Hyperlink"/>
                <w:rFonts w:eastAsiaTheme="majorEastAsia"/>
                <w:lang w:val="sr-Cyrl-CS"/>
              </w:rPr>
              <w:t>Прилог 2 – Фискални оквир опште државе у 2023. години</w:t>
            </w:r>
            <w:r w:rsidR="000C4E9D" w:rsidRPr="00DE058F">
              <w:rPr>
                <w:webHidden/>
                <w:lang w:val="sr-Cyrl-CS"/>
              </w:rPr>
              <w:tab/>
            </w:r>
            <w:r w:rsidR="000C4E9D" w:rsidRPr="00DE058F">
              <w:rPr>
                <w:webHidden/>
                <w:lang w:val="sr-Cyrl-CS"/>
              </w:rPr>
              <w:fldChar w:fldCharType="begin"/>
            </w:r>
            <w:r w:rsidR="000C4E9D" w:rsidRPr="00DE058F">
              <w:rPr>
                <w:webHidden/>
                <w:lang w:val="sr-Cyrl-CS"/>
              </w:rPr>
              <w:instrText xml:space="preserve"> PAGEREF _Toc104899615 \h </w:instrText>
            </w:r>
            <w:r w:rsidR="000C4E9D" w:rsidRPr="00DE058F">
              <w:rPr>
                <w:webHidden/>
                <w:lang w:val="sr-Cyrl-CS"/>
              </w:rPr>
            </w:r>
            <w:r w:rsidR="000C4E9D" w:rsidRPr="00DE058F">
              <w:rPr>
                <w:webHidden/>
                <w:lang w:val="sr-Cyrl-CS"/>
              </w:rPr>
              <w:fldChar w:fldCharType="separate"/>
            </w:r>
            <w:r w:rsidR="000C4E9D" w:rsidRPr="00DE058F">
              <w:rPr>
                <w:webHidden/>
                <w:lang w:val="sr-Cyrl-CS"/>
              </w:rPr>
              <w:t>92</w:t>
            </w:r>
            <w:r w:rsidR="000C4E9D" w:rsidRPr="00DE058F">
              <w:rPr>
                <w:webHidden/>
                <w:lang w:val="sr-Cyrl-CS"/>
              </w:rPr>
              <w:fldChar w:fldCharType="end"/>
            </w:r>
          </w:hyperlink>
        </w:p>
        <w:p w14:paraId="40AEF6B8" w14:textId="609A038F" w:rsidR="00F272DD" w:rsidRPr="00DE058F" w:rsidRDefault="00F272DD">
          <w:pPr>
            <w:rPr>
              <w:b/>
              <w:bCs/>
              <w:lang w:val="sr-Cyrl-CS"/>
            </w:rPr>
          </w:pPr>
          <w:r w:rsidRPr="00DE058F">
            <w:rPr>
              <w:bCs/>
              <w:lang w:val="sr-Cyrl-CS"/>
            </w:rPr>
            <w:fldChar w:fldCharType="end"/>
          </w:r>
        </w:p>
      </w:sdtContent>
    </w:sdt>
    <w:p w14:paraId="6102C9F3" w14:textId="47650398" w:rsidR="00766A90" w:rsidRPr="00DE058F" w:rsidRDefault="00766A90" w:rsidP="00AD6DF6">
      <w:pPr>
        <w:rPr>
          <w:lang w:val="sr-Cyrl-CS"/>
        </w:rPr>
      </w:pPr>
    </w:p>
    <w:p w14:paraId="0947B66A" w14:textId="77777777" w:rsidR="00766A90" w:rsidRPr="00DE058F" w:rsidRDefault="00766A90" w:rsidP="00AD6DF6">
      <w:pPr>
        <w:rPr>
          <w:lang w:val="sr-Cyrl-CS"/>
        </w:rPr>
        <w:sectPr w:rsidR="00766A90" w:rsidRPr="00DE058F" w:rsidSect="007E6EA3">
          <w:footerReference w:type="default" r:id="rId16"/>
          <w:type w:val="continuous"/>
          <w:pgSz w:w="12240" w:h="15840" w:code="1"/>
          <w:pgMar w:top="1440" w:right="1440" w:bottom="1440" w:left="1440" w:header="720" w:footer="720" w:gutter="0"/>
          <w:cols w:space="720"/>
          <w:titlePg/>
          <w:docGrid w:linePitch="360"/>
        </w:sectPr>
      </w:pPr>
    </w:p>
    <w:p w14:paraId="558BC27D" w14:textId="4D4962A9" w:rsidR="003C3685" w:rsidRPr="00DE058F" w:rsidRDefault="00E85631" w:rsidP="003C3685">
      <w:pPr>
        <w:spacing w:before="240"/>
        <w:ind w:firstLine="720"/>
        <w:rPr>
          <w:rFonts w:cstheme="minorHAnsi"/>
          <w:sz w:val="48"/>
          <w:szCs w:val="64"/>
          <w:lang w:val="sr-Cyrl-CS"/>
        </w:rPr>
      </w:pPr>
      <w:r w:rsidRPr="00DE058F">
        <w:rPr>
          <w:rFonts w:ascii="Calibri" w:eastAsia="Calibri" w:hAnsi="Calibri" w:cs="Calibri"/>
          <w:bCs/>
          <w:color w:val="44546A"/>
          <w:szCs w:val="72"/>
          <w:lang w:val="sr-Cyrl-CS"/>
        </w:rPr>
        <w:lastRenderedPageBreak/>
        <w:t>На основу члана 27в став 1. и члана 31. став 1.</w:t>
      </w:r>
      <w:r w:rsidR="00EF60A0" w:rsidRPr="00DE058F">
        <w:rPr>
          <w:rFonts w:ascii="Calibri" w:eastAsia="Calibri" w:hAnsi="Calibri" w:cs="Calibri"/>
          <w:bCs/>
          <w:color w:val="44546A"/>
          <w:szCs w:val="72"/>
          <w:lang w:val="sr-Cyrl-CS"/>
        </w:rPr>
        <w:t xml:space="preserve"> тачка 1) подтачка (8)</w:t>
      </w:r>
      <w:r w:rsidRPr="00DE058F">
        <w:rPr>
          <w:rFonts w:ascii="Calibri" w:eastAsia="Calibri" w:hAnsi="Calibri" w:cs="Calibri"/>
          <w:bCs/>
          <w:color w:val="44546A"/>
          <w:szCs w:val="72"/>
          <w:lang w:val="sr-Cyrl-CS"/>
        </w:rPr>
        <w:t xml:space="preserve"> </w:t>
      </w:r>
      <w:r w:rsidR="0056783C" w:rsidRPr="00DE058F">
        <w:rPr>
          <w:rFonts w:eastAsia="Calibri" w:cs="Calibri"/>
          <w:bCs/>
          <w:color w:val="44546A"/>
          <w:szCs w:val="24"/>
          <w:lang w:val="sr-Cyrl-CS"/>
        </w:rPr>
        <w:t xml:space="preserve">Закона о буџетском систему („Службени гласник РС”, бр. 54/09, 73/10, 101/10, 101/11, 93/12, 62/13, 63/13 – исправка, 108/13, 142/14, 68/15 – др. закон, 103/15, 99/16, 113/17, </w:t>
      </w:r>
      <w:r w:rsidR="0056783C" w:rsidRPr="00DE058F">
        <w:rPr>
          <w:rFonts w:eastAsia="Calibri" w:cs="Calibri"/>
          <w:bCs/>
          <w:color w:val="44546A"/>
          <w:szCs w:val="72"/>
          <w:lang w:val="sr-Cyrl-CS"/>
        </w:rPr>
        <w:t>95/18, 31/19, 72/19, 149/20, 118/21 и 118/21 – др. закон</w:t>
      </w:r>
      <w:r w:rsidR="0056783C" w:rsidRPr="00DE058F">
        <w:rPr>
          <w:rFonts w:eastAsia="Calibri" w:cs="Calibri"/>
          <w:bCs/>
          <w:color w:val="44546A"/>
          <w:szCs w:val="24"/>
          <w:lang w:val="sr-Cyrl-CS"/>
        </w:rPr>
        <w:t>)</w:t>
      </w:r>
      <w:r w:rsidR="00EF60A0" w:rsidRPr="00DE058F">
        <w:rPr>
          <w:rFonts w:ascii="Calibri" w:eastAsia="Calibri" w:hAnsi="Calibri" w:cs="Calibri"/>
          <w:bCs/>
          <w:color w:val="44546A"/>
          <w:szCs w:val="72"/>
          <w:lang w:val="sr-Cyrl-CS"/>
        </w:rPr>
        <w:t xml:space="preserve"> и члана 17. став 1. Закона о Влади („Службени гласник РС”, бр. 55/05, 71/05</w:t>
      </w:r>
      <w:r w:rsidR="0056783C" w:rsidRPr="00DE058F">
        <w:rPr>
          <w:rFonts w:ascii="Calibri" w:eastAsia="Calibri" w:hAnsi="Calibri" w:cs="Calibri"/>
          <w:bCs/>
          <w:color w:val="44546A"/>
          <w:szCs w:val="72"/>
          <w:lang w:val="sr-Cyrl-CS"/>
        </w:rPr>
        <w:t xml:space="preserve"> – </w:t>
      </w:r>
      <w:r w:rsidR="00EF60A0" w:rsidRPr="00DE058F">
        <w:rPr>
          <w:rFonts w:ascii="Calibri" w:eastAsia="Calibri" w:hAnsi="Calibri" w:cs="Calibri"/>
          <w:bCs/>
          <w:color w:val="44546A"/>
          <w:szCs w:val="72"/>
          <w:lang w:val="sr-Cyrl-CS"/>
        </w:rPr>
        <w:t>исправка, 101/07, 65/08, 16/11, 68/12</w:t>
      </w:r>
      <w:r w:rsidR="0056783C" w:rsidRPr="00DE058F">
        <w:rPr>
          <w:rFonts w:ascii="Calibri" w:eastAsia="Calibri" w:hAnsi="Calibri" w:cs="Calibri"/>
          <w:bCs/>
          <w:color w:val="44546A"/>
          <w:szCs w:val="72"/>
          <w:lang w:val="sr-Cyrl-CS"/>
        </w:rPr>
        <w:t xml:space="preserve"> – </w:t>
      </w:r>
      <w:r w:rsidR="00EF60A0" w:rsidRPr="00DE058F">
        <w:rPr>
          <w:rFonts w:ascii="Calibri" w:eastAsia="Calibri" w:hAnsi="Calibri" w:cs="Calibri"/>
          <w:bCs/>
          <w:color w:val="44546A"/>
          <w:szCs w:val="72"/>
          <w:lang w:val="sr-Cyrl-CS"/>
        </w:rPr>
        <w:t>УС, 72/12, 7/14</w:t>
      </w:r>
      <w:r w:rsidR="0056783C" w:rsidRPr="00DE058F">
        <w:rPr>
          <w:rFonts w:ascii="Calibri" w:eastAsia="Calibri" w:hAnsi="Calibri" w:cs="Calibri"/>
          <w:bCs/>
          <w:color w:val="44546A"/>
          <w:szCs w:val="72"/>
          <w:lang w:val="sr-Cyrl-CS"/>
        </w:rPr>
        <w:t xml:space="preserve"> – </w:t>
      </w:r>
      <w:r w:rsidR="00EF60A0" w:rsidRPr="00DE058F">
        <w:rPr>
          <w:rFonts w:ascii="Calibri" w:eastAsia="Calibri" w:hAnsi="Calibri" w:cs="Calibri"/>
          <w:bCs/>
          <w:color w:val="44546A"/>
          <w:szCs w:val="72"/>
          <w:lang w:val="sr-Cyrl-CS"/>
        </w:rPr>
        <w:t>УС, 44/14 и 30/18</w:t>
      </w:r>
      <w:r w:rsidR="0056783C" w:rsidRPr="00DE058F">
        <w:rPr>
          <w:rFonts w:ascii="Calibri" w:eastAsia="Calibri" w:hAnsi="Calibri" w:cs="Calibri"/>
          <w:bCs/>
          <w:color w:val="44546A"/>
          <w:szCs w:val="72"/>
          <w:lang w:val="sr-Cyrl-CS"/>
        </w:rPr>
        <w:t xml:space="preserve"> – </w:t>
      </w:r>
      <w:r w:rsidR="00EF60A0" w:rsidRPr="00DE058F">
        <w:rPr>
          <w:rFonts w:ascii="Calibri" w:eastAsia="Calibri" w:hAnsi="Calibri" w:cs="Calibri"/>
          <w:bCs/>
          <w:color w:val="44546A"/>
          <w:szCs w:val="72"/>
          <w:lang w:val="sr-Cyrl-CS"/>
        </w:rPr>
        <w:t>др. закон)</w:t>
      </w:r>
      <w:r w:rsidR="003C3685" w:rsidRPr="00DE058F">
        <w:rPr>
          <w:rFonts w:cstheme="minorHAnsi"/>
          <w:bCs/>
          <w:szCs w:val="72"/>
          <w:lang w:val="sr-Cyrl-CS"/>
        </w:rPr>
        <w:t>,</w:t>
      </w:r>
    </w:p>
    <w:p w14:paraId="6DB1146B" w14:textId="77777777" w:rsidR="003C3685" w:rsidRPr="00DE058F" w:rsidRDefault="003C3685" w:rsidP="003C3685">
      <w:pPr>
        <w:ind w:firstLine="720"/>
        <w:rPr>
          <w:rFonts w:cstheme="minorHAnsi"/>
          <w:bCs/>
          <w:szCs w:val="72"/>
          <w:lang w:val="sr-Cyrl-CS"/>
        </w:rPr>
      </w:pPr>
      <w:r w:rsidRPr="00DE058F">
        <w:rPr>
          <w:rFonts w:cstheme="minorHAnsi"/>
          <w:bCs/>
          <w:szCs w:val="72"/>
          <w:lang w:val="sr-Cyrl-CS"/>
        </w:rPr>
        <w:t>Влада усваја</w:t>
      </w:r>
    </w:p>
    <w:p w14:paraId="6B2D1F8F" w14:textId="0A35E654" w:rsidR="00C55154" w:rsidRPr="00DE058F" w:rsidRDefault="00C55154" w:rsidP="008420D4">
      <w:pPr>
        <w:spacing w:after="0" w:line="240" w:lineRule="auto"/>
        <w:jc w:val="center"/>
        <w:rPr>
          <w:rFonts w:cstheme="minorHAnsi"/>
          <w:b/>
          <w:bCs/>
          <w:sz w:val="26"/>
          <w:szCs w:val="26"/>
          <w:lang w:val="sr-Cyrl-CS"/>
        </w:rPr>
      </w:pPr>
      <w:r w:rsidRPr="00DE058F">
        <w:rPr>
          <w:rFonts w:cstheme="minorHAnsi"/>
          <w:b/>
          <w:bCs/>
          <w:sz w:val="26"/>
          <w:szCs w:val="26"/>
          <w:lang w:val="sr-Cyrl-CS"/>
        </w:rPr>
        <w:t>ФИСКАЛНУ СТРАТЕГИЈУ</w:t>
      </w:r>
    </w:p>
    <w:p w14:paraId="3D209906" w14:textId="4DA81E8A" w:rsidR="00C55154" w:rsidRPr="00DE058F" w:rsidRDefault="00C55154" w:rsidP="008420D4">
      <w:pPr>
        <w:spacing w:after="0" w:line="240" w:lineRule="auto"/>
        <w:jc w:val="center"/>
        <w:rPr>
          <w:rFonts w:cstheme="minorHAnsi"/>
          <w:b/>
          <w:bCs/>
          <w:sz w:val="26"/>
          <w:szCs w:val="26"/>
          <w:lang w:val="sr-Cyrl-CS"/>
        </w:rPr>
      </w:pPr>
      <w:r w:rsidRPr="00DE058F">
        <w:rPr>
          <w:rFonts w:cstheme="minorHAnsi"/>
          <w:b/>
          <w:bCs/>
          <w:sz w:val="26"/>
          <w:szCs w:val="26"/>
          <w:lang w:val="sr-Cyrl-CS"/>
        </w:rPr>
        <w:t>ЗА 202</w:t>
      </w:r>
      <w:r w:rsidR="003C3685" w:rsidRPr="00DE058F">
        <w:rPr>
          <w:rFonts w:cstheme="minorHAnsi"/>
          <w:b/>
          <w:bCs/>
          <w:sz w:val="26"/>
          <w:szCs w:val="26"/>
          <w:lang w:val="sr-Cyrl-CS"/>
        </w:rPr>
        <w:t>3</w:t>
      </w:r>
      <w:r w:rsidRPr="00DE058F">
        <w:rPr>
          <w:rFonts w:cstheme="minorHAnsi"/>
          <w:b/>
          <w:bCs/>
          <w:sz w:val="26"/>
          <w:szCs w:val="26"/>
          <w:lang w:val="sr-Cyrl-CS"/>
        </w:rPr>
        <w:t>. ГОДИНУ СА ПРОЈЕКЦИЈАМА ЗА 202</w:t>
      </w:r>
      <w:r w:rsidR="003C3685" w:rsidRPr="00DE058F">
        <w:rPr>
          <w:rFonts w:cstheme="minorHAnsi"/>
          <w:b/>
          <w:bCs/>
          <w:sz w:val="26"/>
          <w:szCs w:val="26"/>
          <w:lang w:val="sr-Cyrl-CS"/>
        </w:rPr>
        <w:t>4</w:t>
      </w:r>
      <w:r w:rsidRPr="00DE058F">
        <w:rPr>
          <w:rFonts w:cstheme="minorHAnsi"/>
          <w:b/>
          <w:bCs/>
          <w:sz w:val="26"/>
          <w:szCs w:val="26"/>
          <w:lang w:val="sr-Cyrl-CS"/>
        </w:rPr>
        <w:t>. И 202</w:t>
      </w:r>
      <w:r w:rsidR="003C3685" w:rsidRPr="00DE058F">
        <w:rPr>
          <w:rFonts w:cstheme="minorHAnsi"/>
          <w:b/>
          <w:bCs/>
          <w:sz w:val="26"/>
          <w:szCs w:val="26"/>
          <w:lang w:val="sr-Cyrl-CS"/>
        </w:rPr>
        <w:t>5</w:t>
      </w:r>
      <w:r w:rsidRPr="00DE058F">
        <w:rPr>
          <w:rFonts w:cstheme="minorHAnsi"/>
          <w:b/>
          <w:bCs/>
          <w:sz w:val="26"/>
          <w:szCs w:val="26"/>
          <w:lang w:val="sr-Cyrl-CS"/>
        </w:rPr>
        <w:t>. ГОДИНУ</w:t>
      </w:r>
    </w:p>
    <w:p w14:paraId="269B608F" w14:textId="77777777" w:rsidR="00C55154" w:rsidRPr="00DE058F" w:rsidRDefault="00C55154" w:rsidP="008420D4">
      <w:pPr>
        <w:spacing w:after="0" w:line="240" w:lineRule="auto"/>
        <w:jc w:val="center"/>
        <w:rPr>
          <w:rFonts w:cstheme="minorHAnsi"/>
          <w:b/>
          <w:bCs/>
          <w:sz w:val="24"/>
          <w:szCs w:val="72"/>
          <w:lang w:val="sr-Cyrl-CS"/>
        </w:rPr>
      </w:pPr>
    </w:p>
    <w:p w14:paraId="31D41E93" w14:textId="0BC71267" w:rsidR="00C55154" w:rsidRPr="00DE058F" w:rsidRDefault="00C55154" w:rsidP="00D20C27">
      <w:pPr>
        <w:pStyle w:val="Heading1"/>
        <w:jc w:val="center"/>
        <w:rPr>
          <w:rFonts w:asciiTheme="minorHAnsi" w:hAnsiTheme="minorHAnsi" w:cstheme="minorHAnsi"/>
          <w:b/>
          <w:sz w:val="26"/>
          <w:szCs w:val="26"/>
          <w:lang w:val="sr-Cyrl-CS"/>
        </w:rPr>
      </w:pPr>
      <w:bookmarkStart w:id="1" w:name="_Toc104899600"/>
      <w:r w:rsidRPr="00DE058F">
        <w:rPr>
          <w:rFonts w:asciiTheme="minorHAnsi" w:hAnsiTheme="minorHAnsi" w:cstheme="minorHAnsi"/>
          <w:b/>
          <w:sz w:val="26"/>
          <w:szCs w:val="26"/>
          <w:lang w:val="sr-Cyrl-CS"/>
        </w:rPr>
        <w:t>I. МАКРОЕКОНОМСКИ ОКВИР ЗА ПЕРИОД ОД 202</w:t>
      </w:r>
      <w:r w:rsidR="003C3685" w:rsidRPr="00DE058F">
        <w:rPr>
          <w:rFonts w:asciiTheme="minorHAnsi" w:hAnsiTheme="minorHAnsi" w:cstheme="minorHAnsi"/>
          <w:b/>
          <w:sz w:val="26"/>
          <w:szCs w:val="26"/>
          <w:lang w:val="sr-Cyrl-CS"/>
        </w:rPr>
        <w:t>3</w:t>
      </w:r>
      <w:r w:rsidRPr="00DE058F">
        <w:rPr>
          <w:rFonts w:asciiTheme="minorHAnsi" w:hAnsiTheme="minorHAnsi" w:cstheme="minorHAnsi"/>
          <w:b/>
          <w:sz w:val="26"/>
          <w:szCs w:val="26"/>
          <w:lang w:val="sr-Cyrl-CS"/>
        </w:rPr>
        <w:t>. ДО 202</w:t>
      </w:r>
      <w:r w:rsidR="003C3685" w:rsidRPr="00DE058F">
        <w:rPr>
          <w:rFonts w:asciiTheme="minorHAnsi" w:hAnsiTheme="minorHAnsi" w:cstheme="minorHAnsi"/>
          <w:b/>
          <w:sz w:val="26"/>
          <w:szCs w:val="26"/>
          <w:lang w:val="sr-Cyrl-CS"/>
        </w:rPr>
        <w:t>5</w:t>
      </w:r>
      <w:r w:rsidRPr="00DE058F">
        <w:rPr>
          <w:rFonts w:asciiTheme="minorHAnsi" w:hAnsiTheme="minorHAnsi" w:cstheme="minorHAnsi"/>
          <w:b/>
          <w:sz w:val="26"/>
          <w:szCs w:val="26"/>
          <w:lang w:val="sr-Cyrl-CS"/>
        </w:rPr>
        <w:t>. ГОДИНЕ</w:t>
      </w:r>
      <w:bookmarkEnd w:id="1"/>
    </w:p>
    <w:p w14:paraId="31A5B1F7" w14:textId="77777777" w:rsidR="00C55154" w:rsidRPr="00DE058F" w:rsidRDefault="00C55154" w:rsidP="00087CD9">
      <w:pPr>
        <w:spacing w:after="120"/>
        <w:jc w:val="center"/>
        <w:rPr>
          <w:rFonts w:cstheme="minorHAnsi"/>
          <w:color w:val="2F5496" w:themeColor="accent1" w:themeShade="BF"/>
          <w:sz w:val="18"/>
          <w:lang w:val="sr-Cyrl-CS"/>
        </w:rPr>
      </w:pPr>
    </w:p>
    <w:p w14:paraId="3CA90BED" w14:textId="77777777" w:rsidR="00C55154" w:rsidRPr="00DE058F" w:rsidRDefault="00C55154" w:rsidP="00D20C27">
      <w:pPr>
        <w:pStyle w:val="Heading2"/>
        <w:jc w:val="center"/>
        <w:rPr>
          <w:rFonts w:asciiTheme="minorHAnsi" w:hAnsiTheme="minorHAnsi" w:cstheme="minorHAnsi"/>
          <w:b/>
          <w:sz w:val="24"/>
          <w:lang w:val="sr-Cyrl-CS"/>
        </w:rPr>
      </w:pPr>
      <w:bookmarkStart w:id="2" w:name="_Toc104899601"/>
      <w:r w:rsidRPr="00DE058F">
        <w:rPr>
          <w:rFonts w:asciiTheme="minorHAnsi" w:hAnsiTheme="minorHAnsi" w:cstheme="minorHAnsi"/>
          <w:b/>
          <w:sz w:val="22"/>
          <w:lang w:val="sr-Cyrl-CS"/>
        </w:rPr>
        <w:t xml:space="preserve">1. </w:t>
      </w:r>
      <w:r w:rsidRPr="00DE058F">
        <w:rPr>
          <w:rFonts w:asciiTheme="minorHAnsi" w:hAnsiTheme="minorHAnsi" w:cstheme="minorHAnsi"/>
          <w:b/>
          <w:sz w:val="24"/>
          <w:lang w:val="sr-Cyrl-CS"/>
        </w:rPr>
        <w:t>Општи оквир и главни циљеви и смернице економске политике</w:t>
      </w:r>
      <w:bookmarkEnd w:id="2"/>
    </w:p>
    <w:p w14:paraId="3C3B499B" w14:textId="77777777" w:rsidR="00C55154" w:rsidRPr="00DE058F" w:rsidRDefault="00C55154" w:rsidP="00AF2359">
      <w:pPr>
        <w:rPr>
          <w:rFonts w:cstheme="minorHAnsi"/>
          <w:color w:val="auto"/>
          <w:sz w:val="18"/>
          <w:lang w:val="sr-Cyrl-CS"/>
        </w:rPr>
      </w:pPr>
    </w:p>
    <w:p w14:paraId="4983963A" w14:textId="77777777" w:rsidR="00C55154" w:rsidRPr="00DE058F" w:rsidRDefault="00C55154" w:rsidP="00AF2359">
      <w:pPr>
        <w:rPr>
          <w:rFonts w:cstheme="minorHAnsi"/>
          <w:color w:val="auto"/>
          <w:lang w:val="sr-Cyrl-CS"/>
        </w:rPr>
        <w:sectPr w:rsidR="00C55154" w:rsidRPr="00DE058F" w:rsidSect="00766A90">
          <w:pgSz w:w="12240" w:h="15840" w:code="1"/>
          <w:pgMar w:top="1440" w:right="1440" w:bottom="1440" w:left="1440" w:header="720" w:footer="720" w:gutter="0"/>
          <w:pgNumType w:start="1"/>
          <w:cols w:space="720"/>
          <w:titlePg/>
          <w:docGrid w:linePitch="360"/>
        </w:sectPr>
      </w:pPr>
    </w:p>
    <w:p w14:paraId="00D0F91F" w14:textId="6E8DF7A2" w:rsidR="00C02FAA" w:rsidRPr="00DE058F" w:rsidRDefault="00C02FAA" w:rsidP="00C02FAA">
      <w:pPr>
        <w:rPr>
          <w:rFonts w:cstheme="minorHAnsi"/>
          <w:bCs/>
          <w:color w:val="0070C0"/>
          <w:szCs w:val="72"/>
          <w:lang w:val="sr-Cyrl-CS"/>
        </w:rPr>
      </w:pPr>
      <w:bookmarkStart w:id="3" w:name="_Toc57013542"/>
      <w:bookmarkStart w:id="4" w:name="_Toc23342461"/>
      <w:bookmarkStart w:id="5" w:name="_Toc530041993"/>
      <w:r w:rsidRPr="00DE058F">
        <w:rPr>
          <w:rFonts w:cstheme="minorHAnsi"/>
          <w:b/>
          <w:bCs/>
          <w:color w:val="0070C0"/>
          <w:szCs w:val="72"/>
          <w:lang w:val="sr-Cyrl-CS"/>
        </w:rPr>
        <w:t>Економска политика у наредном периоду обликована је изласком из једне, и уласком у нову кризу.</w:t>
      </w:r>
      <w:r w:rsidRPr="00DE058F">
        <w:rPr>
          <w:rFonts w:cstheme="minorHAnsi"/>
          <w:bCs/>
          <w:color w:val="0070C0"/>
          <w:szCs w:val="72"/>
          <w:lang w:val="sr-Cyrl-CS"/>
        </w:rPr>
        <w:t xml:space="preserve"> Изласком из двогодишње кризе, изазване пандемијом, очекивао се један мирнији период који би омогућио економској, пре свега фискалној политици, предах и довољно времена да се врати на одрживу путању. Међутим реалност је другачија. Сукоб у Украјини интензивирао је постојеће и донео нове ризике који у потпуности мењају и међународно окружење и економску политику у земљи. Глобална, растућа инфлација, интензивирана енергетска криза пред креаторе економске политике постављају велике изазове.</w:t>
      </w:r>
    </w:p>
    <w:p w14:paraId="6BF1D321" w14:textId="7DA7890F" w:rsidR="00C02FAA" w:rsidRPr="00DE058F" w:rsidRDefault="00C02FAA" w:rsidP="00C02FAA">
      <w:pPr>
        <w:rPr>
          <w:rFonts w:cstheme="minorHAnsi"/>
          <w:bCs/>
          <w:color w:val="0070C0"/>
          <w:szCs w:val="72"/>
          <w:lang w:val="sr-Cyrl-CS"/>
        </w:rPr>
      </w:pPr>
      <w:r w:rsidRPr="00DE058F">
        <w:rPr>
          <w:rFonts w:cstheme="minorHAnsi"/>
          <w:b/>
          <w:bCs/>
          <w:color w:val="0070C0"/>
          <w:szCs w:val="72"/>
          <w:lang w:val="sr-Cyrl-CS"/>
        </w:rPr>
        <w:t>Република Србије се успешно изборила са здравственом и економском кризом изазваном пандемијом.</w:t>
      </w:r>
      <w:r w:rsidRPr="00DE058F">
        <w:rPr>
          <w:rFonts w:cstheme="minorHAnsi"/>
          <w:bCs/>
          <w:color w:val="0070C0"/>
          <w:szCs w:val="72"/>
          <w:lang w:val="sr-Cyrl-CS"/>
        </w:rPr>
        <w:t xml:space="preserve"> Током две године глобалне кризе изазване пандемијом коронавируса остварен је кумулативни раст </w:t>
      </w:r>
      <w:r w:rsidR="00140BCF" w:rsidRPr="00DE058F">
        <w:rPr>
          <w:rFonts w:cstheme="minorHAnsi"/>
          <w:bCs/>
          <w:color w:val="0070C0"/>
          <w:szCs w:val="72"/>
          <w:lang w:val="sr-Cyrl-CS"/>
        </w:rPr>
        <w:t>бруто домаћег производа (у даљем тексту: БДП)</w:t>
      </w:r>
      <w:r w:rsidRPr="00DE058F">
        <w:rPr>
          <w:rFonts w:cstheme="minorHAnsi"/>
          <w:bCs/>
          <w:color w:val="0070C0"/>
          <w:szCs w:val="72"/>
          <w:lang w:val="sr-Cyrl-CS"/>
        </w:rPr>
        <w:t xml:space="preserve"> од 6,4%, што представља један од најбољих резултата у Европи. </w:t>
      </w:r>
      <w:r w:rsidR="00906895" w:rsidRPr="00DE058F">
        <w:rPr>
          <w:rFonts w:cstheme="minorHAnsi"/>
          <w:bCs/>
          <w:color w:val="0070C0"/>
          <w:szCs w:val="72"/>
          <w:lang w:val="sr-Cyrl-CS"/>
        </w:rPr>
        <w:t>Укупан п</w:t>
      </w:r>
      <w:r w:rsidRPr="00DE058F">
        <w:rPr>
          <w:rFonts w:cstheme="minorHAnsi"/>
          <w:bCs/>
          <w:color w:val="0070C0"/>
          <w:szCs w:val="72"/>
          <w:lang w:val="sr-Cyrl-CS"/>
        </w:rPr>
        <w:t xml:space="preserve">акет економских мера током две кризне године у висини од </w:t>
      </w:r>
      <w:r w:rsidR="00906895" w:rsidRPr="00DE058F">
        <w:rPr>
          <w:rFonts w:cstheme="minorHAnsi"/>
          <w:bCs/>
          <w:color w:val="0070C0"/>
          <w:szCs w:val="72"/>
          <w:lang w:val="sr-Cyrl-CS"/>
        </w:rPr>
        <w:t>17,3</w:t>
      </w:r>
      <w:r w:rsidRPr="00DE058F">
        <w:rPr>
          <w:rFonts w:cstheme="minorHAnsi"/>
          <w:bCs/>
          <w:color w:val="0070C0"/>
          <w:szCs w:val="72"/>
          <w:lang w:val="sr-Cyrl-CS"/>
        </w:rPr>
        <w:t xml:space="preserve">% БДП допринео је повећању ликвидности привредних субјеката и олакшању пословања, док је кроз давања становништву подстицао домаћу тражњу и на тај начин индиректно утицао на економску активност. Поред ових привремених фактора који су позитивно допринели расту БДП дошло је и до структурних побољшања. Она се пре свега огледају у активирању нових и проширењу постојећих извозно конкурентних производних </w:t>
      </w:r>
      <w:r w:rsidRPr="00DE058F">
        <w:rPr>
          <w:rFonts w:cstheme="minorHAnsi"/>
          <w:bCs/>
          <w:color w:val="0070C0"/>
          <w:szCs w:val="72"/>
          <w:lang w:val="sr-Cyrl-CS"/>
        </w:rPr>
        <w:t xml:space="preserve">капацитета, као и у даљем убрзаном развоју путне и железничке инфраструктуре којима се трајно повећао потенцијал домаће привреде. Раст економске активности и пакет економске подршке резултирали су стабилним кретањима на тржишту рада. Очувана су радна места и зараде, како у приватном тако и у јавном сектору, а стопа незапослености у 2021. години била је испод предпандемијског нивоа. Истовремено, није нарушена ни унутрашња нити спољна равнотежа уз стабилан прилив страних директних инвестиција </w:t>
      </w:r>
      <w:r w:rsidR="007E6465" w:rsidRPr="00DE058F">
        <w:rPr>
          <w:rFonts w:cstheme="minorHAnsi"/>
          <w:bCs/>
          <w:color w:val="0070C0"/>
          <w:szCs w:val="72"/>
          <w:lang w:val="sr-Cyrl-CS"/>
        </w:rPr>
        <w:t xml:space="preserve">(у даљем тексту: СДИ) </w:t>
      </w:r>
      <w:r w:rsidRPr="00DE058F">
        <w:rPr>
          <w:rFonts w:cstheme="minorHAnsi"/>
          <w:bCs/>
          <w:color w:val="0070C0"/>
          <w:szCs w:val="72"/>
          <w:lang w:val="sr-Cyrl-CS"/>
        </w:rPr>
        <w:t>које су обезбеђивале више него пуну покривеност дефицита текућег рачуна. Ограничења и поремећаји међународне трговине, уз снажан раст цена енергената, цена примарних пољопривредних производа и осталих сировина су утицали на појачане инфлаторне притиске и општи раст цена.</w:t>
      </w:r>
    </w:p>
    <w:p w14:paraId="373D9406" w14:textId="5F0B1392" w:rsidR="00C02FAA" w:rsidRPr="00DE058F" w:rsidRDefault="00C02FAA" w:rsidP="00C02FAA">
      <w:pPr>
        <w:rPr>
          <w:rFonts w:cstheme="minorHAnsi"/>
          <w:bCs/>
          <w:color w:val="0070C0"/>
          <w:szCs w:val="72"/>
          <w:lang w:val="sr-Cyrl-CS"/>
        </w:rPr>
      </w:pPr>
      <w:r w:rsidRPr="00DE058F">
        <w:rPr>
          <w:rFonts w:cstheme="minorHAnsi"/>
          <w:b/>
          <w:bCs/>
          <w:color w:val="0070C0"/>
          <w:szCs w:val="72"/>
          <w:lang w:val="sr-Cyrl-CS"/>
        </w:rPr>
        <w:t>Геополитичким тензијама и избијањем кризе у Украјини појачана је неизвесност</w:t>
      </w:r>
      <w:r w:rsidR="00E86D14" w:rsidRPr="00DE058F">
        <w:rPr>
          <w:rFonts w:cstheme="minorHAnsi"/>
          <w:b/>
          <w:bCs/>
          <w:color w:val="0070C0"/>
          <w:szCs w:val="72"/>
          <w:lang w:val="sr-Cyrl-CS"/>
        </w:rPr>
        <w:t>,</w:t>
      </w:r>
      <w:r w:rsidRPr="00DE058F">
        <w:rPr>
          <w:rFonts w:cstheme="minorHAnsi"/>
          <w:b/>
          <w:bCs/>
          <w:color w:val="0070C0"/>
          <w:szCs w:val="72"/>
          <w:lang w:val="sr-Cyrl-CS"/>
        </w:rPr>
        <w:t xml:space="preserve"> што је за последицу имало додатан раст цена енергената, светских цена примарних пољопривредних производа и метала, које су се приближиле историјски највишим нивоима.</w:t>
      </w:r>
      <w:r w:rsidRPr="00DE058F">
        <w:rPr>
          <w:rFonts w:cstheme="minorHAnsi"/>
          <w:bCs/>
          <w:color w:val="0070C0"/>
          <w:szCs w:val="72"/>
          <w:lang w:val="sr-Cyrl-CS"/>
        </w:rPr>
        <w:t xml:space="preserve"> Геополитичка криза је краткорочне инфлаторне притиске учинила перманентним уз велику вероватноћу њиховог дугорочног присуства у глобалној економији. Истовремено, очекује се да ће повећана неизвесност на глобалном нивоу утицати негативно на токове капитала према </w:t>
      </w:r>
      <w:r w:rsidRPr="00DE058F">
        <w:rPr>
          <w:rFonts w:cstheme="minorHAnsi"/>
          <w:bCs/>
          <w:color w:val="0070C0"/>
          <w:szCs w:val="72"/>
          <w:lang w:val="sr-Cyrl-CS"/>
        </w:rPr>
        <w:lastRenderedPageBreak/>
        <w:t>земљама у успону, посебно ако се има у виду започет циклус пооштравања монетарних политика водећих централних банака. Осим привремених фактора, економске трендове карактеришу и структурне промене геополитичког и економског окружења вођене процесима деглобализације, неповољних демографских кретања и убрзане зелене транзиције.</w:t>
      </w:r>
    </w:p>
    <w:p w14:paraId="506472EF" w14:textId="570B5546" w:rsidR="00C02FAA" w:rsidRPr="00DE058F" w:rsidRDefault="00E94CBF" w:rsidP="00C02FAA">
      <w:pPr>
        <w:rPr>
          <w:rFonts w:cstheme="minorHAnsi"/>
          <w:bCs/>
          <w:color w:val="0070C0"/>
          <w:szCs w:val="72"/>
          <w:lang w:val="sr-Cyrl-CS"/>
        </w:rPr>
      </w:pPr>
      <w:r w:rsidRPr="00DE058F">
        <w:rPr>
          <w:rFonts w:cstheme="minorHAnsi"/>
          <w:b/>
          <w:bCs/>
          <w:color w:val="0070C0"/>
          <w:szCs w:val="72"/>
          <w:lang w:val="sr-Cyrl-CS"/>
        </w:rPr>
        <w:t>Макроекономске пројекције су</w:t>
      </w:r>
      <w:r w:rsidR="00C02FAA" w:rsidRPr="00DE058F">
        <w:rPr>
          <w:rFonts w:cstheme="minorHAnsi"/>
          <w:b/>
          <w:bCs/>
          <w:color w:val="0070C0"/>
          <w:szCs w:val="72"/>
          <w:lang w:val="sr-Cyrl-CS"/>
        </w:rPr>
        <w:t xml:space="preserve"> у условима присутне неизвесности ревидиране, ипак рецесија се не очекује.</w:t>
      </w:r>
      <w:r w:rsidR="00C02FAA" w:rsidRPr="00DE058F">
        <w:rPr>
          <w:rFonts w:cstheme="minorHAnsi"/>
          <w:bCs/>
          <w:color w:val="0070C0"/>
          <w:szCs w:val="72"/>
          <w:lang w:val="sr-Cyrl-CS"/>
        </w:rPr>
        <w:t xml:space="preserve"> Текућа макроекономска кретања почетком 2022. године генерално су на нивоу плана, али су изгледи значајно погоршани. Иако је у првом кварталу 2022. године остварен раст БДП Србије од 4,3% мг</w:t>
      </w:r>
      <w:r w:rsidR="008D38D5" w:rsidRPr="00DE058F">
        <w:rPr>
          <w:rFonts w:cstheme="minorHAnsi"/>
          <w:bCs/>
          <w:color w:val="0070C0"/>
          <w:szCs w:val="72"/>
          <w:lang w:val="sr-Cyrl-CS"/>
        </w:rPr>
        <w:t>.</w:t>
      </w:r>
      <w:r w:rsidR="00C02FAA" w:rsidRPr="00DE058F">
        <w:rPr>
          <w:rFonts w:cstheme="minorHAnsi"/>
          <w:bCs/>
          <w:color w:val="0070C0"/>
          <w:szCs w:val="72"/>
          <w:lang w:val="sr-Cyrl-CS"/>
        </w:rPr>
        <w:t xml:space="preserve">, значајнији негативни ефекти геополитичких дешавања на динамику домаће привредне активности присутни су у енергетском сектору. У складу са тим, ревидирана је пројекција привредног раста за 2022. годину на 3,5% услед мањих од претходно очекиваних стопа раста у другој половини године, а за 1,0 п.п. смањена је и пројекција раста БДП у 2023. години. Рекордне цене енергената уз повећање увезених количина одразиће се на погоршање платнобилансних кретања, те се под утицајем ових фактора очекује већи дефицит текућег рачуна од претходно пројектованог и током ове и у наредној години. Раст цена током последњег квартала 2021. године, за који се очекивало да ће бити привременог карактера као последица постепеног ишчезавања ефеката пандемије, додатно је </w:t>
      </w:r>
      <w:r w:rsidR="00C02FAA" w:rsidRPr="00DE058F">
        <w:rPr>
          <w:rFonts w:cstheme="minorHAnsi"/>
          <w:bCs/>
          <w:color w:val="0070C0"/>
          <w:szCs w:val="72"/>
          <w:lang w:val="sr-Cyrl-CS"/>
        </w:rPr>
        <w:t>убрзан растом цена енергената и хране изазваних сукобом у Украјини. То је условило ревизију навише очекиване просечне инфлације током ове и наредне године на 9</w:t>
      </w:r>
      <w:r w:rsidR="00815CC2" w:rsidRPr="00DE058F">
        <w:rPr>
          <w:rFonts w:cstheme="minorHAnsi"/>
          <w:bCs/>
          <w:color w:val="0070C0"/>
          <w:szCs w:val="72"/>
          <w:lang w:val="sr-Cyrl-CS"/>
        </w:rPr>
        <w:t>,</w:t>
      </w:r>
      <w:r w:rsidR="00C02FAA" w:rsidRPr="00DE058F">
        <w:rPr>
          <w:rFonts w:cstheme="minorHAnsi"/>
          <w:bCs/>
          <w:color w:val="0070C0"/>
          <w:szCs w:val="72"/>
          <w:lang w:val="sr-Cyrl-CS"/>
        </w:rPr>
        <w:t>2% и 5</w:t>
      </w:r>
      <w:r w:rsidR="00815CC2" w:rsidRPr="00DE058F">
        <w:rPr>
          <w:rFonts w:cstheme="minorHAnsi"/>
          <w:bCs/>
          <w:color w:val="0070C0"/>
          <w:szCs w:val="72"/>
          <w:lang w:val="sr-Cyrl-CS"/>
        </w:rPr>
        <w:t>,</w:t>
      </w:r>
      <w:r w:rsidR="00C02FAA" w:rsidRPr="00DE058F">
        <w:rPr>
          <w:rFonts w:cstheme="minorHAnsi"/>
          <w:bCs/>
          <w:color w:val="0070C0"/>
          <w:szCs w:val="72"/>
          <w:lang w:val="sr-Cyrl-CS"/>
        </w:rPr>
        <w:t>3%, респективно.</w:t>
      </w:r>
    </w:p>
    <w:p w14:paraId="6D8C41BC" w14:textId="29C07F53" w:rsidR="009B1BE0" w:rsidRPr="00DE058F" w:rsidRDefault="00C02FAA" w:rsidP="00C02FAA">
      <w:pPr>
        <w:rPr>
          <w:rFonts w:cstheme="minorHAnsi"/>
          <w:bCs/>
          <w:color w:val="0070C0"/>
          <w:szCs w:val="72"/>
          <w:lang w:val="sr-Cyrl-CS"/>
        </w:rPr>
      </w:pPr>
      <w:r w:rsidRPr="00DE058F">
        <w:rPr>
          <w:rFonts w:cstheme="minorHAnsi"/>
          <w:b/>
          <w:bCs/>
          <w:color w:val="0070C0"/>
          <w:szCs w:val="72"/>
          <w:lang w:val="sr-Cyrl-CS"/>
        </w:rPr>
        <w:t>Фискална политика има посебну улогу у условима растуће неизвесности.</w:t>
      </w:r>
      <w:r w:rsidRPr="00DE058F">
        <w:rPr>
          <w:rFonts w:cstheme="minorHAnsi"/>
          <w:bCs/>
          <w:color w:val="0070C0"/>
          <w:szCs w:val="72"/>
          <w:lang w:val="sr-Cyrl-CS"/>
        </w:rPr>
        <w:t xml:space="preserve"> Улога фискалне политике била је кључна у протекле две пандемијске године. Н</w:t>
      </w:r>
      <w:r w:rsidR="00A1564C" w:rsidRPr="00DE058F">
        <w:rPr>
          <w:rFonts w:cstheme="minorHAnsi"/>
          <w:bCs/>
          <w:color w:val="0070C0"/>
          <w:szCs w:val="72"/>
          <w:lang w:val="sr-Cyrl-CS"/>
        </w:rPr>
        <w:t>акон борбе са пандемијом корона</w:t>
      </w:r>
      <w:r w:rsidRPr="00DE058F">
        <w:rPr>
          <w:rFonts w:cstheme="minorHAnsi"/>
          <w:bCs/>
          <w:color w:val="0070C0"/>
          <w:szCs w:val="72"/>
          <w:lang w:val="sr-Cyrl-CS"/>
        </w:rPr>
        <w:t>вируса</w:t>
      </w:r>
      <w:r w:rsidR="00815CC2" w:rsidRPr="00DE058F">
        <w:rPr>
          <w:rFonts w:cstheme="minorHAnsi"/>
          <w:bCs/>
          <w:color w:val="0070C0"/>
          <w:szCs w:val="72"/>
          <w:lang w:val="sr-Cyrl-CS"/>
        </w:rPr>
        <w:t>,</w:t>
      </w:r>
      <w:r w:rsidRPr="00DE058F">
        <w:rPr>
          <w:rFonts w:cstheme="minorHAnsi"/>
          <w:bCs/>
          <w:color w:val="0070C0"/>
          <w:szCs w:val="72"/>
          <w:lang w:val="sr-Cyrl-CS"/>
        </w:rPr>
        <w:t xml:space="preserve"> очекивања у погледу даљег тока пандемије, приликом израде планова за буџетску 2022. годину, те пројекција у средњем року, нису била песимистична. Очекује се слабљење утицаја пандемије и отвара </w:t>
      </w:r>
      <w:r w:rsidR="009946BC" w:rsidRPr="00DE058F">
        <w:rPr>
          <w:rFonts w:cstheme="minorHAnsi"/>
          <w:bCs/>
          <w:color w:val="0070C0"/>
          <w:szCs w:val="72"/>
          <w:lang w:val="sr-Cyrl-CS"/>
        </w:rPr>
        <w:t xml:space="preserve">се </w:t>
      </w:r>
      <w:r w:rsidRPr="00DE058F">
        <w:rPr>
          <w:rFonts w:cstheme="minorHAnsi"/>
          <w:bCs/>
          <w:color w:val="0070C0"/>
          <w:szCs w:val="72"/>
          <w:lang w:val="sr-Cyrl-CS"/>
        </w:rPr>
        <w:t>простор фискалној политици да се, након изузетно експанзивне политике у претходне две године, усмери на стабилизацију јавних финансија, не угрожавајући при томе перспективу за привредни опоравак и раст. Планирани фискални дефицит у текућој години износи 3% БДП, док се у наредној години очекује упола мањи дефицит (1,5% БДП). Избијањем сукоба у Украјини и повећањем глобалне неизвесности, околности у којима фискална политика може да делује су се у потпуности промениле. Државе се сада суочавају са условима високе и растућ</w:t>
      </w:r>
      <w:r w:rsidR="00B300AD" w:rsidRPr="00DE058F">
        <w:rPr>
          <w:rFonts w:cstheme="minorHAnsi"/>
          <w:bCs/>
          <w:color w:val="0070C0"/>
          <w:szCs w:val="72"/>
          <w:lang w:val="sr-Cyrl-CS"/>
        </w:rPr>
        <w:t xml:space="preserve">е инфлације, успоравањем раста </w:t>
      </w:r>
      <w:r w:rsidRPr="00DE058F">
        <w:rPr>
          <w:rFonts w:cstheme="minorHAnsi"/>
          <w:bCs/>
          <w:color w:val="0070C0"/>
          <w:szCs w:val="72"/>
          <w:lang w:val="sr-Cyrl-CS"/>
        </w:rPr>
        <w:t xml:space="preserve">и пооштравањем услова за финансирање дефицита. Фискални простор је сужен и фискална политика мора деловати таргетираним мерама како би помогла </w:t>
      </w:r>
      <w:r w:rsidR="00B300AD" w:rsidRPr="00DE058F">
        <w:rPr>
          <w:rFonts w:cstheme="minorHAnsi"/>
          <w:bCs/>
          <w:color w:val="0070C0"/>
          <w:szCs w:val="72"/>
          <w:lang w:val="sr-Cyrl-CS"/>
        </w:rPr>
        <w:t>привреди и становништву</w:t>
      </w:r>
      <w:r w:rsidRPr="00DE058F">
        <w:rPr>
          <w:rFonts w:cstheme="minorHAnsi"/>
          <w:bCs/>
          <w:color w:val="0070C0"/>
          <w:szCs w:val="72"/>
          <w:lang w:val="sr-Cyrl-CS"/>
        </w:rPr>
        <w:t xml:space="preserve"> највише погођеним растом цена хране и енергената.</w:t>
      </w:r>
    </w:p>
    <w:p w14:paraId="58F5517A" w14:textId="77777777" w:rsidR="003C3685" w:rsidRPr="00DE058F" w:rsidRDefault="003C3685" w:rsidP="003C3685">
      <w:pPr>
        <w:rPr>
          <w:rFonts w:cstheme="minorHAnsi"/>
          <w:bCs/>
          <w:color w:val="4472C4" w:themeColor="accent1"/>
          <w:szCs w:val="72"/>
          <w:lang w:val="sr-Cyrl-CS"/>
        </w:rPr>
        <w:sectPr w:rsidR="003C3685" w:rsidRPr="00DE058F" w:rsidSect="007E6EA3">
          <w:footerReference w:type="default" r:id="rId17"/>
          <w:type w:val="continuous"/>
          <w:pgSz w:w="12240" w:h="15840" w:code="1"/>
          <w:pgMar w:top="1440" w:right="1440" w:bottom="1440" w:left="1440" w:header="720" w:footer="720" w:gutter="0"/>
          <w:cols w:num="2" w:space="720"/>
          <w:titlePg/>
          <w:docGrid w:linePitch="360"/>
        </w:sectPr>
      </w:pPr>
    </w:p>
    <w:p w14:paraId="5643917B" w14:textId="77777777" w:rsidR="003C3685" w:rsidRPr="00DE058F" w:rsidRDefault="003C3685" w:rsidP="003C3685">
      <w:pPr>
        <w:jc w:val="left"/>
        <w:rPr>
          <w:rFonts w:eastAsiaTheme="majorEastAsia" w:cstheme="minorHAnsi"/>
          <w:b/>
          <w:color w:val="2E74B5" w:themeColor="accent5" w:themeShade="BF"/>
          <w:sz w:val="24"/>
          <w:szCs w:val="26"/>
          <w:lang w:val="sr-Cyrl-CS"/>
        </w:rPr>
      </w:pPr>
      <w:r w:rsidRPr="00DE058F">
        <w:rPr>
          <w:rFonts w:cstheme="minorHAnsi"/>
          <w:b/>
          <w:color w:val="2E74B5" w:themeColor="accent5" w:themeShade="BF"/>
          <w:sz w:val="24"/>
          <w:lang w:val="sr-Cyrl-CS"/>
        </w:rPr>
        <w:br w:type="page"/>
      </w:r>
    </w:p>
    <w:p w14:paraId="24A2FCEC" w14:textId="77777777" w:rsidR="00EB41E3" w:rsidRPr="00DE058F" w:rsidRDefault="00EB41E3" w:rsidP="00CE729E">
      <w:pPr>
        <w:pStyle w:val="Heading2"/>
        <w:jc w:val="center"/>
        <w:rPr>
          <w:rFonts w:asciiTheme="minorHAnsi" w:hAnsiTheme="minorHAnsi" w:cstheme="minorHAnsi"/>
          <w:b/>
          <w:sz w:val="24"/>
          <w:lang w:val="sr-Cyrl-CS"/>
        </w:rPr>
      </w:pPr>
      <w:bookmarkStart w:id="6" w:name="_Toc73364963"/>
      <w:bookmarkStart w:id="7" w:name="_Toc104899602"/>
      <w:r w:rsidRPr="00DE058F">
        <w:rPr>
          <w:rFonts w:asciiTheme="minorHAnsi" w:hAnsiTheme="minorHAnsi" w:cstheme="minorHAnsi"/>
          <w:b/>
          <w:sz w:val="24"/>
          <w:lang w:val="sr-Cyrl-CS"/>
        </w:rPr>
        <w:lastRenderedPageBreak/>
        <w:t>2. Процене међународног економског окружења</w:t>
      </w:r>
      <w:bookmarkEnd w:id="6"/>
      <w:bookmarkEnd w:id="7"/>
    </w:p>
    <w:p w14:paraId="1BCDA2C2" w14:textId="77777777" w:rsidR="00EB41E3" w:rsidRPr="00DE058F" w:rsidRDefault="00EB41E3" w:rsidP="008527D6">
      <w:pPr>
        <w:rPr>
          <w:lang w:val="sr-Cyrl-CS"/>
        </w:rPr>
      </w:pPr>
      <w:r w:rsidRPr="00DE058F">
        <w:rPr>
          <w:rFonts w:cstheme="minorHAnsi"/>
          <w:b/>
          <w:noProof/>
          <w:sz w:val="24"/>
        </w:rPr>
        <mc:AlternateContent>
          <mc:Choice Requires="wps">
            <w:drawing>
              <wp:anchor distT="0" distB="0" distL="114300" distR="114300" simplePos="0" relativeHeight="251672064" behindDoc="1" locked="0" layoutInCell="1" allowOverlap="1" wp14:anchorId="2E68DFD3" wp14:editId="693B95CE">
                <wp:simplePos x="0" y="0"/>
                <wp:positionH relativeFrom="margin">
                  <wp:posOffset>-115941</wp:posOffset>
                </wp:positionH>
                <wp:positionV relativeFrom="paragraph">
                  <wp:posOffset>198755</wp:posOffset>
                </wp:positionV>
                <wp:extent cx="6139815" cy="3508745"/>
                <wp:effectExtent l="0" t="0" r="0" b="0"/>
                <wp:wrapNone/>
                <wp:docPr id="63" name="Rectangle 63"/>
                <wp:cNvGraphicFramePr/>
                <a:graphic xmlns:a="http://schemas.openxmlformats.org/drawingml/2006/main">
                  <a:graphicData uri="http://schemas.microsoft.com/office/word/2010/wordprocessingShape">
                    <wps:wsp>
                      <wps:cNvSpPr/>
                      <wps:spPr>
                        <a:xfrm>
                          <a:off x="0" y="0"/>
                          <a:ext cx="6139815" cy="3508745"/>
                        </a:xfrm>
                        <a:prstGeom prst="rect">
                          <a:avLst/>
                        </a:prstGeom>
                        <a:pattFill prst="pct25">
                          <a:fgClr>
                            <a:schemeClr val="bg1">
                              <a:lumMod val="8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0C65D6" id="Rectangle 63" o:spid="_x0000_s1026" style="position:absolute;margin-left:-9.15pt;margin-top:15.65pt;width:483.45pt;height:276.3pt;z-index:-251644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" fillcolor="#d8d8d8 [2732]" stroked="f" strokeweight="1pt">
                <v:fill r:id="rId18" o:title="" color2="white [3212]" type="pattern"/>
                <w10:wrap anchorx="margin"/>
              </v:rect>
            </w:pict>
          </mc:Fallback>
        </mc:AlternateContent>
      </w:r>
    </w:p>
    <w:p w14:paraId="3AE9A8B8" w14:textId="77777777" w:rsidR="00EB41E3" w:rsidRPr="00DE058F" w:rsidRDefault="00EB41E3" w:rsidP="008527D6">
      <w:pPr>
        <w:spacing w:after="240"/>
        <w:rPr>
          <w:rFonts w:cstheme="minorHAnsi"/>
          <w:bCs/>
          <w:color w:val="0070C0"/>
          <w:szCs w:val="72"/>
          <w:lang w:val="sr-Cyrl-CS"/>
        </w:rPr>
        <w:sectPr w:rsidR="00EB41E3" w:rsidRPr="00DE058F" w:rsidSect="008527D6">
          <w:headerReference w:type="even" r:id="rId19"/>
          <w:headerReference w:type="default" r:id="rId20"/>
          <w:footerReference w:type="even" r:id="rId21"/>
          <w:footerReference w:type="default" r:id="rId22"/>
          <w:type w:val="continuous"/>
          <w:pgSz w:w="12240" w:h="15840" w:code="1"/>
          <w:pgMar w:top="1440" w:right="1440" w:bottom="1440" w:left="1440" w:header="720" w:footer="720" w:gutter="0"/>
          <w:cols w:space="720"/>
          <w:docGrid w:linePitch="360"/>
        </w:sectPr>
      </w:pPr>
    </w:p>
    <w:p w14:paraId="30FA762F" w14:textId="02B34E06" w:rsidR="00EB41E3" w:rsidRPr="00DE058F" w:rsidRDefault="00EB41E3" w:rsidP="008527D6">
      <w:pPr>
        <w:spacing w:after="480"/>
        <w:rPr>
          <w:rFonts w:cstheme="minorHAnsi"/>
          <w:bCs/>
          <w:color w:val="0070C0"/>
          <w:szCs w:val="72"/>
          <w:lang w:val="sr-Cyrl-CS"/>
        </w:rPr>
      </w:pPr>
      <w:r w:rsidRPr="00DE058F">
        <w:rPr>
          <w:rFonts w:cstheme="minorHAnsi"/>
          <w:bCs/>
          <w:color w:val="0070C0"/>
          <w:szCs w:val="72"/>
          <w:lang w:val="sr-Cyrl-CS"/>
        </w:rPr>
        <w:t>Економске последице пандемије још нису потпуно ишчезле, а свет се налази пред новим и великим неизвесностима. Сукоб у Украјини, уз већ неко време присутну енергетску кризу и високу инфлацију знатно ће погоршати макроекономске трендове у читавој Европи. Међународне финансијске институциј</w:t>
      </w:r>
      <w:r w:rsidR="001B5A30" w:rsidRPr="00DE058F">
        <w:rPr>
          <w:rFonts w:cstheme="minorHAnsi"/>
          <w:bCs/>
          <w:color w:val="0070C0"/>
          <w:szCs w:val="72"/>
          <w:lang w:val="sr-Cyrl-CS"/>
        </w:rPr>
        <w:t>е</w:t>
      </w:r>
      <w:r w:rsidRPr="00DE058F">
        <w:rPr>
          <w:rFonts w:cstheme="minorHAnsi"/>
          <w:bCs/>
          <w:color w:val="0070C0"/>
          <w:szCs w:val="72"/>
          <w:lang w:val="sr-Cyrl-CS"/>
        </w:rPr>
        <w:t xml:space="preserve"> ревидирале су очекивања о глобалном економском опоравку наниже у односу на своје јануарске процене. Војни конфликт у Украјини, увођење санкција Русији и додатно заоштравање међународних економских и политичких односа интензивирало је постојеће и донело нове ризике који у потпуности мењају и међународно окружење и глобалне економске токове</w:t>
      </w:r>
      <w:r w:rsidRPr="00DE058F">
        <w:rPr>
          <w:rFonts w:cstheme="minorHAnsi"/>
          <w:bCs/>
          <w:color w:val="auto"/>
          <w:szCs w:val="72"/>
          <w:lang w:val="sr-Cyrl-CS"/>
        </w:rPr>
        <w:t>.</w:t>
      </w:r>
      <w:r w:rsidRPr="00DE058F">
        <w:rPr>
          <w:rFonts w:cstheme="minorHAnsi"/>
          <w:bCs/>
          <w:color w:val="FF0000"/>
          <w:szCs w:val="72"/>
          <w:lang w:val="sr-Cyrl-CS"/>
        </w:rPr>
        <w:t xml:space="preserve"> </w:t>
      </w:r>
      <w:r w:rsidRPr="00DE058F">
        <w:rPr>
          <w:rFonts w:cstheme="minorHAnsi"/>
          <w:bCs/>
          <w:color w:val="0070C0"/>
          <w:szCs w:val="72"/>
          <w:lang w:val="sr-Cyrl-CS"/>
        </w:rPr>
        <w:t>Поред тога, поновна појава вируса у Кини довела је до честих и опсежних „закључавања</w:t>
      </w:r>
      <w:r w:rsidR="00B72AEE" w:rsidRPr="00DE058F">
        <w:rPr>
          <w:rFonts w:cstheme="minorHAnsi"/>
          <w:bCs/>
          <w:color w:val="0070C0"/>
          <w:szCs w:val="72"/>
          <w:lang w:val="sr-Cyrl-CS"/>
        </w:rPr>
        <w:t>”</w:t>
      </w:r>
      <w:r w:rsidRPr="00DE058F">
        <w:rPr>
          <w:rFonts w:cstheme="minorHAnsi"/>
          <w:bCs/>
          <w:color w:val="0070C0"/>
          <w:szCs w:val="72"/>
          <w:lang w:val="sr-Cyrl-CS"/>
        </w:rPr>
        <w:t xml:space="preserve"> градова и кључних производних чворишта, што је допринело успоравању економске активности и отворило могућности за стварање нових уских грла у глобалним ланцима снабдевања. Упорни </w:t>
      </w:r>
      <w:r w:rsidRPr="00DE058F">
        <w:rPr>
          <w:rFonts w:cstheme="minorHAnsi"/>
          <w:bCs/>
          <w:color w:val="0070C0"/>
          <w:szCs w:val="72"/>
          <w:lang w:val="sr-Cyrl-CS"/>
        </w:rPr>
        <w:t>инфлаторни притисци, присутни и пре конфликта у Украјини, због растуће тражње за робом и сировинама и поремећеног односа понуде и тражње, довели су до пооштравања монетарне политике у многим земљама. Инфлација је постала централни проблем за поједине државе, укључујући САД и Европу, где су стопе достигле своје највише нивое у последњих 40 година. Експанзивна фискална</w:t>
      </w:r>
      <w:r w:rsidR="004F3761" w:rsidRPr="00DE058F">
        <w:rPr>
          <w:rFonts w:cstheme="minorHAnsi"/>
          <w:bCs/>
          <w:color w:val="0070C0"/>
          <w:szCs w:val="72"/>
          <w:lang w:val="sr-Cyrl-CS"/>
        </w:rPr>
        <w:t xml:space="preserve"> политика у периоду пандемије з</w:t>
      </w:r>
      <w:r w:rsidRPr="00DE058F">
        <w:rPr>
          <w:rFonts w:cstheme="minorHAnsi"/>
          <w:bCs/>
          <w:color w:val="0070C0"/>
          <w:szCs w:val="72"/>
          <w:lang w:val="sr-Cyrl-CS"/>
        </w:rPr>
        <w:t>начајно ће утицати на сужен домет фискалних мера у наредном периоду. Због природе и обима шокова који су погодили глобалну економију неизвесност пројекције будућих привредних кретања је далеко већа од уобичајене. Како би се ублажила материјализациј</w:t>
      </w:r>
      <w:r w:rsidR="00E84443" w:rsidRPr="00DE058F">
        <w:rPr>
          <w:rFonts w:cstheme="minorHAnsi"/>
          <w:bCs/>
          <w:color w:val="0070C0"/>
          <w:szCs w:val="72"/>
          <w:lang w:val="sr-Cyrl-CS"/>
        </w:rPr>
        <w:t>а</w:t>
      </w:r>
      <w:r w:rsidRPr="00DE058F">
        <w:rPr>
          <w:rFonts w:cstheme="minorHAnsi"/>
          <w:bCs/>
          <w:color w:val="0070C0"/>
          <w:szCs w:val="72"/>
          <w:lang w:val="sr-Cyrl-CS"/>
        </w:rPr>
        <w:t xml:space="preserve"> већих ризика, неопходна је интензивна међународна сарадња, проналазак мирног решења </w:t>
      </w:r>
      <w:r w:rsidR="00815CC2" w:rsidRPr="00DE058F">
        <w:rPr>
          <w:rFonts w:cstheme="minorHAnsi"/>
          <w:bCs/>
          <w:color w:val="0070C0"/>
          <w:szCs w:val="72"/>
          <w:lang w:val="sr-Cyrl-CS"/>
        </w:rPr>
        <w:t>у</w:t>
      </w:r>
      <w:r w:rsidRPr="00DE058F">
        <w:rPr>
          <w:rFonts w:cstheme="minorHAnsi"/>
          <w:bCs/>
          <w:color w:val="0070C0"/>
          <w:szCs w:val="72"/>
          <w:lang w:val="sr-Cyrl-CS"/>
        </w:rPr>
        <w:t>крајинског конфликта, усклађивање монетарне и фискалне политике, као и дугорочно решавање климатских проблема.</w:t>
      </w:r>
    </w:p>
    <w:p w14:paraId="1394ACAA" w14:textId="77777777" w:rsidR="00EB41E3" w:rsidRPr="00DE058F" w:rsidRDefault="00EB41E3" w:rsidP="008527D6">
      <w:pPr>
        <w:jc w:val="left"/>
        <w:rPr>
          <w:rFonts w:cstheme="minorHAnsi"/>
          <w:b/>
          <w:color w:val="2F5496" w:themeColor="accent1" w:themeShade="BF"/>
          <w:sz w:val="22"/>
          <w:lang w:val="sr-Cyrl-CS"/>
        </w:rPr>
        <w:sectPr w:rsidR="00EB41E3" w:rsidRPr="00DE058F" w:rsidSect="008527D6">
          <w:type w:val="continuous"/>
          <w:pgSz w:w="12240" w:h="15840"/>
          <w:pgMar w:top="1440" w:right="1440" w:bottom="1440" w:left="1440" w:header="708" w:footer="708" w:gutter="0"/>
          <w:cols w:num="2" w:space="708"/>
          <w:docGrid w:linePitch="360"/>
        </w:sectPr>
      </w:pPr>
    </w:p>
    <w:p w14:paraId="49B0A317" w14:textId="77777777" w:rsidR="00EB41E3" w:rsidRPr="00DE058F" w:rsidRDefault="00EB41E3" w:rsidP="008527D6">
      <w:pPr>
        <w:jc w:val="left"/>
        <w:rPr>
          <w:rFonts w:cstheme="minorHAnsi"/>
          <w:b/>
          <w:color w:val="2F5496" w:themeColor="accent1" w:themeShade="BF"/>
          <w:sz w:val="22"/>
          <w:lang w:val="sr-Cyrl-CS"/>
        </w:rPr>
      </w:pPr>
      <w:r w:rsidRPr="00DE058F">
        <w:rPr>
          <w:rFonts w:cstheme="minorHAnsi"/>
          <w:b/>
          <w:color w:val="2F5496" w:themeColor="accent1" w:themeShade="BF"/>
          <w:sz w:val="22"/>
          <w:lang w:val="sr-Cyrl-CS"/>
        </w:rPr>
        <w:t>Макроекономске процене Међународног монетарног фонда</w:t>
      </w:r>
    </w:p>
    <w:p w14:paraId="186D7F14" w14:textId="1B4DFB6B" w:rsidR="00EB41E3" w:rsidRPr="00DE058F" w:rsidRDefault="00EB41E3" w:rsidP="008527D6">
      <w:pPr>
        <w:rPr>
          <w:rFonts w:cstheme="minorHAnsi"/>
          <w:b/>
          <w:sz w:val="22"/>
          <w:lang w:val="sr-Cyrl-CS"/>
        </w:rPr>
      </w:pPr>
      <w:r w:rsidRPr="00DE058F">
        <w:rPr>
          <w:rFonts w:cstheme="minorHAnsi"/>
          <w:bCs/>
          <w:szCs w:val="72"/>
          <w:lang w:val="sr-Cyrl-CS"/>
        </w:rPr>
        <w:t xml:space="preserve">У тренуцима када се чинило да </w:t>
      </w:r>
      <w:r w:rsidR="00815CC2" w:rsidRPr="00DE058F">
        <w:rPr>
          <w:rFonts w:cstheme="minorHAnsi"/>
          <w:bCs/>
          <w:szCs w:val="72"/>
          <w:lang w:val="sr-Cyrl-CS"/>
        </w:rPr>
        <w:t>о</w:t>
      </w:r>
      <w:r w:rsidRPr="00DE058F">
        <w:rPr>
          <w:rFonts w:cstheme="minorHAnsi"/>
          <w:bCs/>
          <w:szCs w:val="72"/>
          <w:lang w:val="sr-Cyrl-CS"/>
        </w:rPr>
        <w:t>микрон сој вируса јењава и да се коначно назире крај пандемије, дошло је до новог шока на глобалном нивоу. Сукоб Русије и Украјине је, поред велике хуманитарне кризе, врло брзо изазвао и раст цена добара и енергената, што је допринело ионако растућој инфлацији и повећало неизвесност и ризике. Према априлским пројекцијама</w:t>
      </w:r>
      <w:r w:rsidRPr="00DE058F">
        <w:rPr>
          <w:lang w:val="sr-Cyrl-CS"/>
        </w:rPr>
        <w:t xml:space="preserve"> </w:t>
      </w:r>
      <w:r w:rsidRPr="00DE058F">
        <w:rPr>
          <w:rFonts w:cstheme="minorHAnsi"/>
          <w:bCs/>
          <w:szCs w:val="72"/>
          <w:lang w:val="sr-Cyrl-CS"/>
        </w:rPr>
        <w:t xml:space="preserve">Међународног монетарног фонда (у даљем тексту: ММФ), глобални раст за 2022. и 2023. годину у односу на јануарску пројекцију је ревидиран наниже, са 4,4% и 3,8%, респективно на 3,6% за обе године. Главни разлози за ревизију пројектоване путање економског опоравка јесу војни конфликт у Украјини и последичне санкције Русији, али и ефекти преливања кризе на друге земље. Заоштравање монетарне политике и нестабилност финансијског тржишта такође су чиниоци који су </w:t>
      </w:r>
      <w:r w:rsidRPr="00DE058F">
        <w:rPr>
          <w:rFonts w:cstheme="minorHAnsi"/>
          <w:bCs/>
          <w:szCs w:val="72"/>
          <w:lang w:val="sr-Cyrl-CS"/>
        </w:rPr>
        <w:t>довели до слабијих економских изгледа. У многим земљама већ су укинуте мере подршке против пандемије попут нижих пореза и веће државне потрошње, што имплицира да се фискална политика усклађује са монетарном, чиме се додатно ограничавају могућности брзог опоравка.</w:t>
      </w:r>
    </w:p>
    <w:p w14:paraId="3BB0CDF3" w14:textId="156A63B7" w:rsidR="00EB41E3" w:rsidRPr="00DE058F" w:rsidRDefault="00EB41E3" w:rsidP="008527D6">
      <w:pPr>
        <w:spacing w:after="400"/>
        <w:rPr>
          <w:rFonts w:cstheme="minorHAnsi"/>
          <w:lang w:val="sr-Cyrl-CS"/>
        </w:rPr>
      </w:pPr>
      <w:r w:rsidRPr="00DE058F">
        <w:rPr>
          <w:rFonts w:cstheme="minorHAnsi"/>
          <w:lang w:val="sr-Cyrl-CS"/>
        </w:rPr>
        <w:t>Ризици за остваривање пројекција су значајни и негативно оријентисани, и дугорочно гледано могу бити ланчано повезани. Главни извор забринутости је могућност ескалације сукоба у Украјини, уз погоршање пратеће хуманитарне, економске и енергетске кризе</w:t>
      </w:r>
      <w:r w:rsidR="00815CC2" w:rsidRPr="00DE058F">
        <w:rPr>
          <w:rFonts w:cstheme="minorHAnsi"/>
          <w:lang w:val="sr-Cyrl-CS"/>
        </w:rPr>
        <w:t>,</w:t>
      </w:r>
      <w:r w:rsidRPr="00DE058F">
        <w:rPr>
          <w:rFonts w:cstheme="minorHAnsi"/>
          <w:lang w:val="sr-Cyrl-CS"/>
        </w:rPr>
        <w:t xml:space="preserve"> праћено даљом глобалном поларизацијом. Раст инфлације као последица скока цена сировина и енергената представља ризик, чија је материјализација извесна уколико не дође до решавања ситуације у Украјини и отклањања уских грла између понуде и тражње. Такође</w:t>
      </w:r>
      <w:r w:rsidR="00815CC2" w:rsidRPr="00DE058F">
        <w:rPr>
          <w:rFonts w:cstheme="minorHAnsi"/>
          <w:lang w:val="sr-Cyrl-CS"/>
        </w:rPr>
        <w:t>,</w:t>
      </w:r>
      <w:r w:rsidRPr="00DE058F">
        <w:rPr>
          <w:rFonts w:cstheme="minorHAnsi"/>
          <w:lang w:val="sr-Cyrl-CS"/>
        </w:rPr>
        <w:t xml:space="preserve"> и даље је присутан ризик од поновног избијања пандемије, успоравања Кине</w:t>
      </w:r>
      <w:r w:rsidR="00FC2EB6" w:rsidRPr="00DE058F">
        <w:rPr>
          <w:rFonts w:cstheme="minorHAnsi"/>
          <w:lang w:val="sr-Cyrl-CS"/>
        </w:rPr>
        <w:t>,</w:t>
      </w:r>
      <w:r w:rsidRPr="00DE058F">
        <w:rPr>
          <w:rFonts w:cstheme="minorHAnsi"/>
          <w:lang w:val="sr-Cyrl-CS"/>
        </w:rPr>
        <w:t xml:space="preserve"> као и климатских промена.</w:t>
      </w:r>
      <w:r w:rsidRPr="00DE058F">
        <w:rPr>
          <w:rFonts w:cstheme="minorHAnsi"/>
          <w:lang w:val="sr-Cyrl-CS"/>
        </w:rPr>
        <w:br w:type="page"/>
      </w:r>
    </w:p>
    <w:p w14:paraId="08D9B926" w14:textId="77777777" w:rsidR="00EB41E3" w:rsidRPr="00DE058F" w:rsidRDefault="00EB41E3" w:rsidP="008527D6">
      <w:pPr>
        <w:spacing w:after="400"/>
        <w:rPr>
          <w:rFonts w:cstheme="minorHAnsi"/>
          <w:lang w:val="sr-Cyrl-CS"/>
        </w:rPr>
        <w:sectPr w:rsidR="00EB41E3" w:rsidRPr="00DE058F" w:rsidSect="008527D6">
          <w:type w:val="continuous"/>
          <w:pgSz w:w="12240" w:h="15840"/>
          <w:pgMar w:top="1440" w:right="1440" w:bottom="1440" w:left="1440" w:header="708" w:footer="708" w:gutter="0"/>
          <w:cols w:num="2" w:space="708"/>
          <w:docGrid w:linePitch="360"/>
        </w:sectPr>
      </w:pPr>
    </w:p>
    <w:tbl>
      <w:tblPr>
        <w:tblStyle w:val="TableGrid"/>
        <w:tblW w:w="5006"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1"/>
        <w:gridCol w:w="1042"/>
        <w:gridCol w:w="1042"/>
        <w:gridCol w:w="1042"/>
        <w:gridCol w:w="1042"/>
        <w:gridCol w:w="1042"/>
      </w:tblGrid>
      <w:tr w:rsidR="002A5107" w:rsidRPr="00DE058F" w14:paraId="371AC271" w14:textId="77777777" w:rsidTr="002A5107">
        <w:trPr>
          <w:trHeight w:val="351"/>
        </w:trPr>
        <w:tc>
          <w:tcPr>
            <w:tcW w:w="5000" w:type="pct"/>
            <w:gridSpan w:val="6"/>
            <w:tcBorders>
              <w:bottom w:val="single" w:sz="4" w:space="0" w:color="002060"/>
            </w:tcBorders>
            <w:vAlign w:val="center"/>
          </w:tcPr>
          <w:p w14:paraId="64374339" w14:textId="08EAFF90" w:rsidR="002A5107" w:rsidRPr="00DE058F" w:rsidRDefault="002A5107" w:rsidP="00CE729E">
            <w:pPr>
              <w:jc w:val="center"/>
              <w:rPr>
                <w:rFonts w:cstheme="minorHAnsi"/>
                <w:b/>
                <w:color w:val="002060"/>
                <w:lang w:val="sr-Cyrl-CS"/>
              </w:rPr>
            </w:pPr>
            <w:r w:rsidRPr="00DE058F">
              <w:rPr>
                <w:rFonts w:cstheme="minorHAnsi"/>
                <w:b/>
                <w:color w:val="002060"/>
                <w:lang w:val="sr-Cyrl-CS"/>
              </w:rPr>
              <w:lastRenderedPageBreak/>
              <w:t>Табела 1. Међународно окружење – макроекономски показатељи</w:t>
            </w:r>
          </w:p>
        </w:tc>
      </w:tr>
      <w:tr w:rsidR="00EB41E3" w:rsidRPr="00DE058F" w14:paraId="4AA3E8D1" w14:textId="77777777" w:rsidTr="008E6687">
        <w:trPr>
          <w:trHeight w:val="180"/>
        </w:trPr>
        <w:tc>
          <w:tcPr>
            <w:tcW w:w="2220" w:type="pct"/>
            <w:tcBorders>
              <w:top w:val="single" w:sz="4" w:space="0" w:color="002060"/>
              <w:left w:val="single" w:sz="2" w:space="0" w:color="FFFFFF" w:themeColor="background1"/>
              <w:bottom w:val="single" w:sz="2" w:space="0" w:color="FFFFFF" w:themeColor="background1"/>
              <w:right w:val="single" w:sz="2" w:space="0" w:color="FFFFFF" w:themeColor="background1"/>
            </w:tcBorders>
          </w:tcPr>
          <w:p w14:paraId="18A22FA3" w14:textId="77777777" w:rsidR="00EB41E3" w:rsidRPr="00DE058F" w:rsidRDefault="00EB41E3" w:rsidP="00CE729E">
            <w:pPr>
              <w:rPr>
                <w:rFonts w:cstheme="minorHAnsi"/>
                <w:color w:val="002060"/>
                <w:sz w:val="18"/>
                <w:lang w:val="sr-Cyrl-CS"/>
              </w:rPr>
            </w:pPr>
          </w:p>
        </w:tc>
        <w:tc>
          <w:tcPr>
            <w:tcW w:w="556" w:type="pct"/>
            <w:tcBorders>
              <w:top w:val="single" w:sz="4" w:space="0" w:color="002060"/>
              <w:left w:val="single" w:sz="2" w:space="0" w:color="FFFFFF" w:themeColor="background1"/>
              <w:bottom w:val="single" w:sz="4" w:space="0" w:color="002060"/>
              <w:right w:val="single" w:sz="2" w:space="0" w:color="FFFFFF" w:themeColor="background1"/>
            </w:tcBorders>
          </w:tcPr>
          <w:p w14:paraId="210A37BD" w14:textId="77777777" w:rsidR="00EB41E3" w:rsidRPr="00DE058F" w:rsidRDefault="00EB41E3" w:rsidP="00CE729E">
            <w:pPr>
              <w:jc w:val="center"/>
              <w:rPr>
                <w:rFonts w:cstheme="minorHAnsi"/>
                <w:color w:val="002060"/>
                <w:sz w:val="18"/>
                <w:lang w:val="sr-Cyrl-CS"/>
              </w:rPr>
            </w:pPr>
            <w:r w:rsidRPr="00DE058F">
              <w:rPr>
                <w:rFonts w:cstheme="minorHAnsi"/>
                <w:color w:val="002060"/>
                <w:sz w:val="18"/>
                <w:lang w:val="sr-Cyrl-CS"/>
              </w:rPr>
              <w:t>2021</w:t>
            </w:r>
          </w:p>
        </w:tc>
        <w:tc>
          <w:tcPr>
            <w:tcW w:w="556" w:type="pct"/>
            <w:tcBorders>
              <w:top w:val="single" w:sz="4" w:space="0" w:color="002060"/>
              <w:left w:val="single" w:sz="2" w:space="0" w:color="FFFFFF" w:themeColor="background1"/>
              <w:bottom w:val="single" w:sz="4" w:space="0" w:color="002060"/>
              <w:right w:val="single" w:sz="2" w:space="0" w:color="FFFFFF" w:themeColor="background1"/>
            </w:tcBorders>
          </w:tcPr>
          <w:p w14:paraId="200917FE"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2022</w:t>
            </w:r>
          </w:p>
        </w:tc>
        <w:tc>
          <w:tcPr>
            <w:tcW w:w="556" w:type="pct"/>
            <w:tcBorders>
              <w:top w:val="single" w:sz="4" w:space="0" w:color="002060"/>
              <w:left w:val="single" w:sz="2" w:space="0" w:color="FFFFFF" w:themeColor="background1"/>
              <w:bottom w:val="single" w:sz="4" w:space="0" w:color="002060"/>
              <w:right w:val="single" w:sz="2" w:space="0" w:color="FFFFFF" w:themeColor="background1"/>
            </w:tcBorders>
          </w:tcPr>
          <w:p w14:paraId="17EA25F2"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2023</w:t>
            </w:r>
          </w:p>
        </w:tc>
        <w:tc>
          <w:tcPr>
            <w:tcW w:w="556" w:type="pct"/>
            <w:tcBorders>
              <w:top w:val="single" w:sz="4" w:space="0" w:color="002060"/>
              <w:left w:val="single" w:sz="2" w:space="0" w:color="FFFFFF" w:themeColor="background1"/>
              <w:bottom w:val="single" w:sz="4" w:space="0" w:color="002060"/>
              <w:right w:val="single" w:sz="2" w:space="0" w:color="FFFFFF" w:themeColor="background1"/>
            </w:tcBorders>
          </w:tcPr>
          <w:p w14:paraId="0CBE7103"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2024</w:t>
            </w:r>
          </w:p>
        </w:tc>
        <w:tc>
          <w:tcPr>
            <w:tcW w:w="557" w:type="pct"/>
            <w:tcBorders>
              <w:top w:val="single" w:sz="4" w:space="0" w:color="002060"/>
              <w:left w:val="single" w:sz="2" w:space="0" w:color="FFFFFF" w:themeColor="background1"/>
              <w:bottom w:val="single" w:sz="4" w:space="0" w:color="002060"/>
              <w:right w:val="single" w:sz="2" w:space="0" w:color="FFFFFF" w:themeColor="background1"/>
            </w:tcBorders>
          </w:tcPr>
          <w:p w14:paraId="01022722"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2025</w:t>
            </w:r>
          </w:p>
        </w:tc>
      </w:tr>
      <w:tr w:rsidR="00BA0A39" w:rsidRPr="00DE058F" w14:paraId="3C888F3D" w14:textId="77777777" w:rsidTr="008E6687">
        <w:trPr>
          <w:trHeight w:val="190"/>
        </w:trPr>
        <w:tc>
          <w:tcPr>
            <w:tcW w:w="2220" w:type="pct"/>
            <w:tcBorders>
              <w:top w:val="single" w:sz="2" w:space="0" w:color="FFFFFF" w:themeColor="background1"/>
              <w:left w:val="single" w:sz="2" w:space="0" w:color="FFFFFF" w:themeColor="background1"/>
              <w:bottom w:val="single" w:sz="2" w:space="0" w:color="FFFFFF" w:themeColor="background1"/>
            </w:tcBorders>
            <w:shd w:val="clear" w:color="auto" w:fill="E7E6E6" w:themeFill="background2"/>
          </w:tcPr>
          <w:p w14:paraId="59C70D69" w14:textId="77777777" w:rsidR="00BA0A39" w:rsidRPr="00DE058F" w:rsidRDefault="00BA0A39" w:rsidP="00BA0A39">
            <w:pPr>
              <w:rPr>
                <w:rFonts w:cstheme="minorHAnsi"/>
                <w:color w:val="002060"/>
                <w:sz w:val="18"/>
                <w:lang w:val="sr-Cyrl-CS"/>
              </w:rPr>
            </w:pPr>
            <w:r w:rsidRPr="00DE058F">
              <w:rPr>
                <w:rFonts w:cstheme="minorHAnsi"/>
                <w:color w:val="002060"/>
                <w:sz w:val="18"/>
                <w:lang w:val="sr-Cyrl-CS"/>
              </w:rPr>
              <w:t>Реални раст БДП</w:t>
            </w:r>
            <w:r w:rsidRPr="00DE058F">
              <w:rPr>
                <w:rFonts w:cstheme="minorHAnsi"/>
                <w:color w:val="002060"/>
                <w:sz w:val="18"/>
                <w:vertAlign w:val="superscript"/>
                <w:lang w:val="sr-Cyrl-CS"/>
              </w:rPr>
              <w:t>1</w:t>
            </w:r>
            <w:r w:rsidRPr="00DE058F">
              <w:rPr>
                <w:rFonts w:cstheme="minorHAnsi"/>
                <w:color w:val="002060"/>
                <w:sz w:val="18"/>
                <w:lang w:val="sr-Cyrl-CS"/>
              </w:rPr>
              <w:t>, %</w:t>
            </w:r>
          </w:p>
        </w:tc>
        <w:tc>
          <w:tcPr>
            <w:tcW w:w="556" w:type="pct"/>
            <w:tcBorders>
              <w:top w:val="single" w:sz="2" w:space="0" w:color="FFFFFF" w:themeColor="background1"/>
              <w:bottom w:val="single" w:sz="2" w:space="0" w:color="FFFFFF" w:themeColor="background1"/>
            </w:tcBorders>
            <w:shd w:val="clear" w:color="auto" w:fill="E7E6E6" w:themeFill="background2"/>
          </w:tcPr>
          <w:p w14:paraId="445A6AEF" w14:textId="77777777" w:rsidR="00BA0A39" w:rsidRPr="00DE058F" w:rsidRDefault="00BA0A39" w:rsidP="00BA0A39">
            <w:pPr>
              <w:rPr>
                <w:rFonts w:cstheme="minorHAnsi"/>
                <w:color w:val="002060"/>
                <w:sz w:val="18"/>
                <w:lang w:val="sr-Cyrl-CS"/>
              </w:rPr>
            </w:pPr>
          </w:p>
        </w:tc>
        <w:tc>
          <w:tcPr>
            <w:tcW w:w="556" w:type="pct"/>
            <w:tcBorders>
              <w:top w:val="single" w:sz="2" w:space="0" w:color="FFFFFF" w:themeColor="background1"/>
              <w:bottom w:val="single" w:sz="2" w:space="0" w:color="FFFFFF" w:themeColor="background1"/>
            </w:tcBorders>
            <w:shd w:val="clear" w:color="auto" w:fill="E7E6E6" w:themeFill="background2"/>
          </w:tcPr>
          <w:p w14:paraId="5BC51AFB" w14:textId="77777777" w:rsidR="00BA0A39" w:rsidRPr="00DE058F" w:rsidRDefault="00BA0A39" w:rsidP="00BA0A39">
            <w:pPr>
              <w:rPr>
                <w:rFonts w:cstheme="minorHAnsi"/>
                <w:color w:val="002060"/>
                <w:sz w:val="18"/>
                <w:lang w:val="sr-Cyrl-CS"/>
              </w:rPr>
            </w:pPr>
          </w:p>
        </w:tc>
        <w:tc>
          <w:tcPr>
            <w:tcW w:w="556" w:type="pct"/>
            <w:tcBorders>
              <w:top w:val="single" w:sz="2" w:space="0" w:color="FFFFFF" w:themeColor="background1"/>
              <w:bottom w:val="single" w:sz="2" w:space="0" w:color="FFFFFF" w:themeColor="background1"/>
            </w:tcBorders>
            <w:shd w:val="clear" w:color="auto" w:fill="E7E6E6" w:themeFill="background2"/>
          </w:tcPr>
          <w:p w14:paraId="33A8E5F4" w14:textId="77777777" w:rsidR="00BA0A39" w:rsidRPr="00DE058F" w:rsidRDefault="00BA0A39" w:rsidP="00BA0A39">
            <w:pPr>
              <w:rPr>
                <w:rFonts w:cstheme="minorHAnsi"/>
                <w:color w:val="002060"/>
                <w:sz w:val="18"/>
                <w:lang w:val="sr-Cyrl-CS"/>
              </w:rPr>
            </w:pPr>
          </w:p>
        </w:tc>
        <w:tc>
          <w:tcPr>
            <w:tcW w:w="556" w:type="pct"/>
            <w:tcBorders>
              <w:top w:val="single" w:sz="2" w:space="0" w:color="FFFFFF" w:themeColor="background1"/>
              <w:bottom w:val="single" w:sz="2" w:space="0" w:color="FFFFFF" w:themeColor="background1"/>
            </w:tcBorders>
            <w:shd w:val="clear" w:color="auto" w:fill="E7E6E6" w:themeFill="background2"/>
          </w:tcPr>
          <w:p w14:paraId="718A8227" w14:textId="77777777" w:rsidR="00BA0A39" w:rsidRPr="00DE058F" w:rsidRDefault="00BA0A39" w:rsidP="00BA0A39">
            <w:pPr>
              <w:rPr>
                <w:rFonts w:cstheme="minorHAnsi"/>
                <w:color w:val="002060"/>
                <w:sz w:val="18"/>
                <w:lang w:val="sr-Cyrl-CS"/>
              </w:rPr>
            </w:pPr>
          </w:p>
        </w:tc>
        <w:tc>
          <w:tcPr>
            <w:tcW w:w="557" w:type="pct"/>
            <w:tcBorders>
              <w:top w:val="single" w:sz="2" w:space="0" w:color="FFFFFF" w:themeColor="background1"/>
              <w:bottom w:val="single" w:sz="2" w:space="0" w:color="FFFFFF" w:themeColor="background1"/>
              <w:right w:val="single" w:sz="2" w:space="0" w:color="FFFFFF" w:themeColor="background1"/>
            </w:tcBorders>
            <w:shd w:val="clear" w:color="auto" w:fill="E7E6E6" w:themeFill="background2"/>
          </w:tcPr>
          <w:p w14:paraId="0D276CE0" w14:textId="250206AE" w:rsidR="00BA0A39" w:rsidRPr="00DE058F" w:rsidRDefault="00BA0A39" w:rsidP="00BA0A39">
            <w:pPr>
              <w:rPr>
                <w:rFonts w:cstheme="minorHAnsi"/>
                <w:color w:val="002060"/>
                <w:sz w:val="18"/>
                <w:lang w:val="sr-Cyrl-CS"/>
              </w:rPr>
            </w:pPr>
          </w:p>
        </w:tc>
      </w:tr>
      <w:tr w:rsidR="00EB41E3" w:rsidRPr="00DE058F" w14:paraId="13A7B687" w14:textId="77777777" w:rsidTr="008E6687">
        <w:trPr>
          <w:trHeight w:val="190"/>
        </w:trPr>
        <w:tc>
          <w:tcPr>
            <w:tcW w:w="2220" w:type="pct"/>
            <w:tcBorders>
              <w:top w:val="single" w:sz="2" w:space="0" w:color="FFFFFF" w:themeColor="background1"/>
            </w:tcBorders>
          </w:tcPr>
          <w:p w14:paraId="5DEBE409" w14:textId="77777777" w:rsidR="00EB41E3" w:rsidRPr="00DE058F" w:rsidRDefault="00EB41E3" w:rsidP="00CE729E">
            <w:pPr>
              <w:ind w:left="255"/>
              <w:rPr>
                <w:rFonts w:cstheme="minorHAnsi"/>
                <w:color w:val="002060"/>
                <w:sz w:val="18"/>
                <w:lang w:val="sr-Cyrl-CS"/>
              </w:rPr>
            </w:pPr>
            <w:r w:rsidRPr="00DE058F">
              <w:rPr>
                <w:rFonts w:cstheme="minorHAnsi"/>
                <w:color w:val="002060"/>
                <w:sz w:val="18"/>
                <w:lang w:val="sr-Cyrl-CS"/>
              </w:rPr>
              <w:t>Свет укупно</w:t>
            </w:r>
          </w:p>
        </w:tc>
        <w:tc>
          <w:tcPr>
            <w:tcW w:w="556" w:type="pct"/>
            <w:tcBorders>
              <w:top w:val="single" w:sz="2" w:space="0" w:color="FFFFFF" w:themeColor="background1"/>
            </w:tcBorders>
          </w:tcPr>
          <w:p w14:paraId="3D98150C" w14:textId="77777777" w:rsidR="00EB41E3" w:rsidRPr="00DE058F" w:rsidRDefault="00EB41E3" w:rsidP="00CE729E">
            <w:pPr>
              <w:jc w:val="center"/>
              <w:rPr>
                <w:rFonts w:cstheme="minorHAnsi"/>
                <w:color w:val="002060"/>
                <w:sz w:val="18"/>
                <w:lang w:val="sr-Cyrl-CS"/>
              </w:rPr>
            </w:pPr>
            <w:r w:rsidRPr="00DE058F">
              <w:rPr>
                <w:rFonts w:cstheme="minorHAnsi"/>
                <w:color w:val="002060"/>
                <w:sz w:val="18"/>
                <w:lang w:val="sr-Cyrl-CS"/>
              </w:rPr>
              <w:t>6,1</w:t>
            </w:r>
          </w:p>
        </w:tc>
        <w:tc>
          <w:tcPr>
            <w:tcW w:w="556" w:type="pct"/>
            <w:tcBorders>
              <w:top w:val="single" w:sz="2" w:space="0" w:color="FFFFFF" w:themeColor="background1"/>
            </w:tcBorders>
          </w:tcPr>
          <w:p w14:paraId="0E6C36CB"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3,6</w:t>
            </w:r>
          </w:p>
        </w:tc>
        <w:tc>
          <w:tcPr>
            <w:tcW w:w="556" w:type="pct"/>
            <w:tcBorders>
              <w:top w:val="single" w:sz="2" w:space="0" w:color="FFFFFF" w:themeColor="background1"/>
            </w:tcBorders>
          </w:tcPr>
          <w:p w14:paraId="687EBD85"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3,6</w:t>
            </w:r>
          </w:p>
        </w:tc>
        <w:tc>
          <w:tcPr>
            <w:tcW w:w="556" w:type="pct"/>
            <w:tcBorders>
              <w:top w:val="single" w:sz="2" w:space="0" w:color="FFFFFF" w:themeColor="background1"/>
            </w:tcBorders>
          </w:tcPr>
          <w:p w14:paraId="613984DC"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3,4</w:t>
            </w:r>
          </w:p>
        </w:tc>
        <w:tc>
          <w:tcPr>
            <w:tcW w:w="557" w:type="pct"/>
            <w:tcBorders>
              <w:top w:val="single" w:sz="2" w:space="0" w:color="FFFFFF" w:themeColor="background1"/>
            </w:tcBorders>
          </w:tcPr>
          <w:p w14:paraId="76AADB30"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3,4</w:t>
            </w:r>
          </w:p>
        </w:tc>
      </w:tr>
      <w:tr w:rsidR="00EB41E3" w:rsidRPr="00DE058F" w14:paraId="3D9EF232" w14:textId="77777777" w:rsidTr="008E6687">
        <w:trPr>
          <w:trHeight w:val="180"/>
        </w:trPr>
        <w:tc>
          <w:tcPr>
            <w:tcW w:w="2220" w:type="pct"/>
          </w:tcPr>
          <w:p w14:paraId="241216B6" w14:textId="77777777" w:rsidR="00EB41E3" w:rsidRPr="00DE058F" w:rsidRDefault="00EB41E3" w:rsidP="00CE729E">
            <w:pPr>
              <w:ind w:left="255"/>
              <w:rPr>
                <w:rFonts w:cstheme="minorHAnsi"/>
                <w:color w:val="002060"/>
                <w:sz w:val="18"/>
                <w:lang w:val="sr-Cyrl-CS"/>
              </w:rPr>
            </w:pPr>
            <w:r w:rsidRPr="00DE058F">
              <w:rPr>
                <w:rFonts w:cstheme="minorHAnsi"/>
                <w:color w:val="002060"/>
                <w:sz w:val="18"/>
                <w:lang w:val="sr-Cyrl-CS"/>
              </w:rPr>
              <w:t>Развијене економије</w:t>
            </w:r>
          </w:p>
        </w:tc>
        <w:tc>
          <w:tcPr>
            <w:tcW w:w="556" w:type="pct"/>
          </w:tcPr>
          <w:p w14:paraId="64FE0A66"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5,2</w:t>
            </w:r>
          </w:p>
        </w:tc>
        <w:tc>
          <w:tcPr>
            <w:tcW w:w="556" w:type="pct"/>
          </w:tcPr>
          <w:p w14:paraId="00E1D36F"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3,3</w:t>
            </w:r>
          </w:p>
        </w:tc>
        <w:tc>
          <w:tcPr>
            <w:tcW w:w="556" w:type="pct"/>
          </w:tcPr>
          <w:p w14:paraId="7278FDC5"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2,4</w:t>
            </w:r>
          </w:p>
        </w:tc>
        <w:tc>
          <w:tcPr>
            <w:tcW w:w="556" w:type="pct"/>
          </w:tcPr>
          <w:p w14:paraId="26AC7477"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1,7</w:t>
            </w:r>
          </w:p>
        </w:tc>
        <w:tc>
          <w:tcPr>
            <w:tcW w:w="557" w:type="pct"/>
          </w:tcPr>
          <w:p w14:paraId="40FCCF06"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1,7</w:t>
            </w:r>
          </w:p>
        </w:tc>
      </w:tr>
      <w:tr w:rsidR="00EB41E3" w:rsidRPr="00DE058F" w14:paraId="0ACF199C" w14:textId="77777777" w:rsidTr="008E6687">
        <w:trPr>
          <w:trHeight w:val="190"/>
        </w:trPr>
        <w:tc>
          <w:tcPr>
            <w:tcW w:w="2220" w:type="pct"/>
          </w:tcPr>
          <w:p w14:paraId="15BE39EA" w14:textId="77777777" w:rsidR="00EB41E3" w:rsidRPr="00DE058F" w:rsidRDefault="00EB41E3" w:rsidP="00CE729E">
            <w:pPr>
              <w:ind w:left="615" w:hanging="180"/>
              <w:rPr>
                <w:rFonts w:cstheme="minorHAnsi"/>
                <w:color w:val="002060"/>
                <w:sz w:val="18"/>
                <w:lang w:val="sr-Cyrl-CS"/>
              </w:rPr>
            </w:pPr>
            <w:r w:rsidRPr="00DE058F">
              <w:rPr>
                <w:rFonts w:cstheme="minorHAnsi"/>
                <w:color w:val="002060"/>
                <w:sz w:val="18"/>
                <w:lang w:val="sr-Cyrl-CS"/>
              </w:rPr>
              <w:t>САД</w:t>
            </w:r>
          </w:p>
        </w:tc>
        <w:tc>
          <w:tcPr>
            <w:tcW w:w="556" w:type="pct"/>
          </w:tcPr>
          <w:p w14:paraId="3DC08001"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5,7</w:t>
            </w:r>
          </w:p>
        </w:tc>
        <w:tc>
          <w:tcPr>
            <w:tcW w:w="556" w:type="pct"/>
          </w:tcPr>
          <w:p w14:paraId="1CFB7078"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3,7</w:t>
            </w:r>
          </w:p>
        </w:tc>
        <w:tc>
          <w:tcPr>
            <w:tcW w:w="556" w:type="pct"/>
          </w:tcPr>
          <w:p w14:paraId="751677B8"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2,3</w:t>
            </w:r>
          </w:p>
        </w:tc>
        <w:tc>
          <w:tcPr>
            <w:tcW w:w="556" w:type="pct"/>
          </w:tcPr>
          <w:p w14:paraId="79FBBCA9"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1,4</w:t>
            </w:r>
          </w:p>
        </w:tc>
        <w:tc>
          <w:tcPr>
            <w:tcW w:w="557" w:type="pct"/>
          </w:tcPr>
          <w:p w14:paraId="4981921C"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1,7</w:t>
            </w:r>
          </w:p>
        </w:tc>
      </w:tr>
      <w:tr w:rsidR="00EB41E3" w:rsidRPr="00DE058F" w14:paraId="342854F6" w14:textId="77777777" w:rsidTr="008E6687">
        <w:trPr>
          <w:trHeight w:val="180"/>
        </w:trPr>
        <w:tc>
          <w:tcPr>
            <w:tcW w:w="2220" w:type="pct"/>
          </w:tcPr>
          <w:p w14:paraId="46163C8E" w14:textId="77777777" w:rsidR="00EB41E3" w:rsidRPr="00DE058F" w:rsidRDefault="00EB41E3" w:rsidP="00CE729E">
            <w:pPr>
              <w:ind w:left="615" w:hanging="180"/>
              <w:rPr>
                <w:rFonts w:cstheme="minorHAnsi"/>
                <w:color w:val="002060"/>
                <w:sz w:val="18"/>
                <w:lang w:val="sr-Cyrl-CS"/>
              </w:rPr>
            </w:pPr>
            <w:r w:rsidRPr="00DE058F">
              <w:rPr>
                <w:rFonts w:cstheme="minorHAnsi"/>
                <w:color w:val="002060"/>
                <w:sz w:val="18"/>
                <w:lang w:val="sr-Cyrl-CS"/>
              </w:rPr>
              <w:t>Еврозона</w:t>
            </w:r>
          </w:p>
        </w:tc>
        <w:tc>
          <w:tcPr>
            <w:tcW w:w="556" w:type="pct"/>
          </w:tcPr>
          <w:p w14:paraId="5E1DE6FB" w14:textId="77777777" w:rsidR="00EB41E3" w:rsidRPr="00DE058F" w:rsidRDefault="00EB41E3" w:rsidP="00CE729E">
            <w:pPr>
              <w:jc w:val="center"/>
              <w:rPr>
                <w:rFonts w:cstheme="minorHAnsi"/>
                <w:color w:val="002060"/>
                <w:sz w:val="18"/>
                <w:lang w:val="sr-Cyrl-CS"/>
              </w:rPr>
            </w:pPr>
            <w:r w:rsidRPr="00DE058F">
              <w:rPr>
                <w:rFonts w:cstheme="minorHAnsi"/>
                <w:color w:val="002060"/>
                <w:sz w:val="18"/>
                <w:lang w:val="sr-Cyrl-CS"/>
              </w:rPr>
              <w:t>5,3</w:t>
            </w:r>
          </w:p>
        </w:tc>
        <w:tc>
          <w:tcPr>
            <w:tcW w:w="556" w:type="pct"/>
          </w:tcPr>
          <w:p w14:paraId="3C330B64"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2,8</w:t>
            </w:r>
          </w:p>
        </w:tc>
        <w:tc>
          <w:tcPr>
            <w:tcW w:w="556" w:type="pct"/>
          </w:tcPr>
          <w:p w14:paraId="0D48DDDD"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2,3</w:t>
            </w:r>
          </w:p>
        </w:tc>
        <w:tc>
          <w:tcPr>
            <w:tcW w:w="556" w:type="pct"/>
          </w:tcPr>
          <w:p w14:paraId="3F74154B"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1,8</w:t>
            </w:r>
          </w:p>
        </w:tc>
        <w:tc>
          <w:tcPr>
            <w:tcW w:w="557" w:type="pct"/>
          </w:tcPr>
          <w:p w14:paraId="6361A5F3"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1,6</w:t>
            </w:r>
          </w:p>
        </w:tc>
      </w:tr>
      <w:tr w:rsidR="00EB41E3" w:rsidRPr="00DE058F" w14:paraId="03A6DF31" w14:textId="77777777" w:rsidTr="008E6687">
        <w:trPr>
          <w:trHeight w:val="190"/>
        </w:trPr>
        <w:tc>
          <w:tcPr>
            <w:tcW w:w="2220" w:type="pct"/>
          </w:tcPr>
          <w:p w14:paraId="0A503A9C" w14:textId="77777777" w:rsidR="00EB41E3" w:rsidRPr="00DE058F" w:rsidRDefault="00EB41E3" w:rsidP="00CE729E">
            <w:pPr>
              <w:ind w:left="345" w:hanging="90"/>
              <w:rPr>
                <w:rFonts w:cstheme="minorHAnsi"/>
                <w:color w:val="002060"/>
                <w:sz w:val="18"/>
                <w:lang w:val="sr-Cyrl-CS"/>
              </w:rPr>
            </w:pPr>
            <w:r w:rsidRPr="00DE058F">
              <w:rPr>
                <w:rFonts w:cstheme="minorHAnsi"/>
                <w:color w:val="002060"/>
                <w:sz w:val="18"/>
                <w:lang w:val="sr-Cyrl-CS"/>
              </w:rPr>
              <w:t>Земље у успону</w:t>
            </w:r>
          </w:p>
        </w:tc>
        <w:tc>
          <w:tcPr>
            <w:tcW w:w="556" w:type="pct"/>
          </w:tcPr>
          <w:p w14:paraId="42E532F6"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6,8</w:t>
            </w:r>
          </w:p>
        </w:tc>
        <w:tc>
          <w:tcPr>
            <w:tcW w:w="556" w:type="pct"/>
          </w:tcPr>
          <w:p w14:paraId="6DE0DB5C"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3,8</w:t>
            </w:r>
          </w:p>
        </w:tc>
        <w:tc>
          <w:tcPr>
            <w:tcW w:w="556" w:type="pct"/>
          </w:tcPr>
          <w:p w14:paraId="664C4A03"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4,4</w:t>
            </w:r>
          </w:p>
        </w:tc>
        <w:tc>
          <w:tcPr>
            <w:tcW w:w="556" w:type="pct"/>
          </w:tcPr>
          <w:p w14:paraId="17C03D05"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4,6</w:t>
            </w:r>
          </w:p>
        </w:tc>
        <w:tc>
          <w:tcPr>
            <w:tcW w:w="557" w:type="pct"/>
          </w:tcPr>
          <w:p w14:paraId="44F199D2" w14:textId="77777777" w:rsidR="00EB41E3" w:rsidRPr="00DE058F" w:rsidRDefault="00EB41E3" w:rsidP="00CE729E">
            <w:pPr>
              <w:jc w:val="center"/>
              <w:rPr>
                <w:rFonts w:cstheme="minorHAnsi"/>
                <w:color w:val="002060"/>
                <w:sz w:val="18"/>
                <w:lang w:val="sr-Cyrl-CS"/>
              </w:rPr>
            </w:pPr>
            <w:r w:rsidRPr="00DE058F">
              <w:rPr>
                <w:rFonts w:cstheme="minorHAnsi"/>
                <w:color w:val="002060"/>
                <w:sz w:val="18"/>
                <w:lang w:val="sr-Cyrl-CS"/>
              </w:rPr>
              <w:t>4,5</w:t>
            </w:r>
          </w:p>
        </w:tc>
      </w:tr>
      <w:tr w:rsidR="00EB41E3" w:rsidRPr="00DE058F" w14:paraId="5B3D2227" w14:textId="77777777" w:rsidTr="008E6687">
        <w:trPr>
          <w:trHeight w:val="180"/>
        </w:trPr>
        <w:tc>
          <w:tcPr>
            <w:tcW w:w="2220" w:type="pct"/>
          </w:tcPr>
          <w:p w14:paraId="33CCFC5F" w14:textId="77777777" w:rsidR="00EB41E3" w:rsidRPr="00DE058F" w:rsidRDefault="00EB41E3" w:rsidP="00CE729E">
            <w:pPr>
              <w:ind w:left="615" w:hanging="180"/>
              <w:rPr>
                <w:rFonts w:cstheme="minorHAnsi"/>
                <w:color w:val="002060"/>
                <w:sz w:val="18"/>
                <w:lang w:val="sr-Cyrl-CS"/>
              </w:rPr>
            </w:pPr>
            <w:r w:rsidRPr="00DE058F">
              <w:rPr>
                <w:rFonts w:cstheme="minorHAnsi"/>
                <w:color w:val="002060"/>
                <w:sz w:val="18"/>
                <w:lang w:val="sr-Cyrl-CS"/>
              </w:rPr>
              <w:t>Кина</w:t>
            </w:r>
          </w:p>
        </w:tc>
        <w:tc>
          <w:tcPr>
            <w:tcW w:w="556" w:type="pct"/>
          </w:tcPr>
          <w:p w14:paraId="59FA8A5F"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8,1</w:t>
            </w:r>
          </w:p>
        </w:tc>
        <w:tc>
          <w:tcPr>
            <w:tcW w:w="556" w:type="pct"/>
          </w:tcPr>
          <w:p w14:paraId="7B9B51C0"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4,4</w:t>
            </w:r>
          </w:p>
        </w:tc>
        <w:tc>
          <w:tcPr>
            <w:tcW w:w="556" w:type="pct"/>
          </w:tcPr>
          <w:p w14:paraId="109C1A87"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5,1</w:t>
            </w:r>
          </w:p>
        </w:tc>
        <w:tc>
          <w:tcPr>
            <w:tcW w:w="556" w:type="pct"/>
          </w:tcPr>
          <w:p w14:paraId="4FB2768C"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5,1</w:t>
            </w:r>
          </w:p>
        </w:tc>
        <w:tc>
          <w:tcPr>
            <w:tcW w:w="557" w:type="pct"/>
          </w:tcPr>
          <w:p w14:paraId="0C7AB9F8"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5,0</w:t>
            </w:r>
          </w:p>
        </w:tc>
      </w:tr>
      <w:tr w:rsidR="00EB41E3" w:rsidRPr="00DE058F" w14:paraId="566A4163" w14:textId="77777777" w:rsidTr="008E6687">
        <w:trPr>
          <w:trHeight w:val="190"/>
        </w:trPr>
        <w:tc>
          <w:tcPr>
            <w:tcW w:w="2220" w:type="pct"/>
          </w:tcPr>
          <w:p w14:paraId="535421CF" w14:textId="77777777" w:rsidR="00EB41E3" w:rsidRPr="00DE058F" w:rsidRDefault="00EB41E3" w:rsidP="00CE729E">
            <w:pPr>
              <w:ind w:left="615" w:hanging="180"/>
              <w:rPr>
                <w:rFonts w:cstheme="minorHAnsi"/>
                <w:color w:val="002060"/>
                <w:sz w:val="18"/>
                <w:lang w:val="sr-Cyrl-CS"/>
              </w:rPr>
            </w:pPr>
            <w:r w:rsidRPr="00DE058F">
              <w:rPr>
                <w:rFonts w:cstheme="minorHAnsi"/>
                <w:color w:val="002060"/>
                <w:sz w:val="18"/>
                <w:lang w:val="sr-Cyrl-CS"/>
              </w:rPr>
              <w:t xml:space="preserve">Русија </w:t>
            </w:r>
          </w:p>
        </w:tc>
        <w:tc>
          <w:tcPr>
            <w:tcW w:w="556" w:type="pct"/>
          </w:tcPr>
          <w:p w14:paraId="5DA1F4C3"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4,7</w:t>
            </w:r>
          </w:p>
        </w:tc>
        <w:tc>
          <w:tcPr>
            <w:tcW w:w="556" w:type="pct"/>
          </w:tcPr>
          <w:p w14:paraId="2937D2A1"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-8,5</w:t>
            </w:r>
          </w:p>
        </w:tc>
        <w:tc>
          <w:tcPr>
            <w:tcW w:w="556" w:type="pct"/>
          </w:tcPr>
          <w:p w14:paraId="5D9832A5"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-2,3</w:t>
            </w:r>
          </w:p>
        </w:tc>
        <w:tc>
          <w:tcPr>
            <w:tcW w:w="556" w:type="pct"/>
          </w:tcPr>
          <w:p w14:paraId="32DBBAB6"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1,5</w:t>
            </w:r>
          </w:p>
        </w:tc>
        <w:tc>
          <w:tcPr>
            <w:tcW w:w="557" w:type="pct"/>
          </w:tcPr>
          <w:p w14:paraId="329698A2"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1,0</w:t>
            </w:r>
          </w:p>
        </w:tc>
      </w:tr>
      <w:tr w:rsidR="00EB41E3" w:rsidRPr="00DE058F" w14:paraId="437FDFB6" w14:textId="77777777" w:rsidTr="008E6687">
        <w:trPr>
          <w:trHeight w:val="180"/>
        </w:trPr>
        <w:tc>
          <w:tcPr>
            <w:tcW w:w="2220" w:type="pct"/>
          </w:tcPr>
          <w:p w14:paraId="455B5831" w14:textId="77777777" w:rsidR="00EB41E3" w:rsidRPr="00DE058F" w:rsidRDefault="00EB41E3" w:rsidP="00CE729E">
            <w:pPr>
              <w:ind w:left="345" w:hanging="90"/>
              <w:rPr>
                <w:rFonts w:cstheme="minorHAnsi"/>
                <w:color w:val="002060"/>
                <w:sz w:val="18"/>
                <w:lang w:val="sr-Cyrl-CS"/>
              </w:rPr>
            </w:pPr>
            <w:r w:rsidRPr="00DE058F">
              <w:rPr>
                <w:rFonts w:cstheme="minorHAnsi"/>
                <w:color w:val="002060"/>
                <w:sz w:val="18"/>
                <w:lang w:val="sr-Cyrl-CS"/>
              </w:rPr>
              <w:t>Раст светске трговине, %</w:t>
            </w:r>
          </w:p>
        </w:tc>
        <w:tc>
          <w:tcPr>
            <w:tcW w:w="556" w:type="pct"/>
          </w:tcPr>
          <w:p w14:paraId="5C5338D9"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10,1</w:t>
            </w:r>
          </w:p>
        </w:tc>
        <w:tc>
          <w:tcPr>
            <w:tcW w:w="556" w:type="pct"/>
          </w:tcPr>
          <w:p w14:paraId="7FB8CFFE"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5,0</w:t>
            </w:r>
          </w:p>
        </w:tc>
        <w:tc>
          <w:tcPr>
            <w:tcW w:w="556" w:type="pct"/>
          </w:tcPr>
          <w:p w14:paraId="70104A71"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4,4</w:t>
            </w:r>
          </w:p>
        </w:tc>
        <w:tc>
          <w:tcPr>
            <w:tcW w:w="556" w:type="pct"/>
          </w:tcPr>
          <w:p w14:paraId="3C04C4F7"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3,9</w:t>
            </w:r>
          </w:p>
        </w:tc>
        <w:tc>
          <w:tcPr>
            <w:tcW w:w="557" w:type="pct"/>
          </w:tcPr>
          <w:p w14:paraId="1E051192"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3,7</w:t>
            </w:r>
          </w:p>
        </w:tc>
      </w:tr>
      <w:tr w:rsidR="008E6687" w:rsidRPr="00DE058F" w14:paraId="57C964E4" w14:textId="77777777" w:rsidTr="008E6687">
        <w:trPr>
          <w:trHeight w:val="190"/>
        </w:trPr>
        <w:tc>
          <w:tcPr>
            <w:tcW w:w="2220" w:type="pct"/>
            <w:shd w:val="clear" w:color="auto" w:fill="E7E6E6" w:themeFill="background2"/>
          </w:tcPr>
          <w:p w14:paraId="2E5D8239" w14:textId="77777777" w:rsidR="008E6687" w:rsidRPr="00DE058F" w:rsidRDefault="008E6687" w:rsidP="00CE729E">
            <w:pPr>
              <w:rPr>
                <w:rFonts w:cstheme="minorHAnsi"/>
                <w:color w:val="002060"/>
                <w:sz w:val="18"/>
                <w:lang w:val="sr-Cyrl-CS"/>
              </w:rPr>
            </w:pPr>
            <w:r w:rsidRPr="00DE058F">
              <w:rPr>
                <w:rFonts w:cstheme="minorHAnsi"/>
                <w:color w:val="002060"/>
                <w:sz w:val="18"/>
                <w:lang w:val="sr-Cyrl-CS"/>
              </w:rPr>
              <w:t>Стопа незапослености, %</w:t>
            </w:r>
          </w:p>
        </w:tc>
        <w:tc>
          <w:tcPr>
            <w:tcW w:w="556" w:type="pct"/>
            <w:shd w:val="clear" w:color="auto" w:fill="E7E6E6" w:themeFill="background2"/>
          </w:tcPr>
          <w:p w14:paraId="5459A18B" w14:textId="77777777" w:rsidR="008E6687" w:rsidRPr="00DE058F" w:rsidRDefault="008E6687" w:rsidP="00CE729E">
            <w:pPr>
              <w:rPr>
                <w:rFonts w:cstheme="minorHAnsi"/>
                <w:color w:val="002060"/>
                <w:sz w:val="18"/>
                <w:lang w:val="sr-Cyrl-CS"/>
              </w:rPr>
            </w:pPr>
          </w:p>
        </w:tc>
        <w:tc>
          <w:tcPr>
            <w:tcW w:w="556" w:type="pct"/>
            <w:shd w:val="clear" w:color="auto" w:fill="E7E6E6" w:themeFill="background2"/>
          </w:tcPr>
          <w:p w14:paraId="0D972D5D" w14:textId="77777777" w:rsidR="008E6687" w:rsidRPr="00DE058F" w:rsidRDefault="008E6687" w:rsidP="00CE729E">
            <w:pPr>
              <w:rPr>
                <w:rFonts w:cstheme="minorHAnsi"/>
                <w:color w:val="002060"/>
                <w:sz w:val="18"/>
                <w:lang w:val="sr-Cyrl-CS"/>
              </w:rPr>
            </w:pPr>
          </w:p>
        </w:tc>
        <w:tc>
          <w:tcPr>
            <w:tcW w:w="556" w:type="pct"/>
            <w:shd w:val="clear" w:color="auto" w:fill="E7E6E6" w:themeFill="background2"/>
          </w:tcPr>
          <w:p w14:paraId="7BB3F06B" w14:textId="77777777" w:rsidR="008E6687" w:rsidRPr="00DE058F" w:rsidRDefault="008E6687" w:rsidP="00CE729E">
            <w:pPr>
              <w:rPr>
                <w:rFonts w:cstheme="minorHAnsi"/>
                <w:color w:val="002060"/>
                <w:sz w:val="18"/>
                <w:lang w:val="sr-Cyrl-CS"/>
              </w:rPr>
            </w:pPr>
          </w:p>
        </w:tc>
        <w:tc>
          <w:tcPr>
            <w:tcW w:w="556" w:type="pct"/>
            <w:shd w:val="clear" w:color="auto" w:fill="E7E6E6" w:themeFill="background2"/>
          </w:tcPr>
          <w:p w14:paraId="1BB62282" w14:textId="5918FAE1" w:rsidR="008E6687" w:rsidRPr="00DE058F" w:rsidRDefault="008E6687" w:rsidP="00CE729E">
            <w:pPr>
              <w:rPr>
                <w:rFonts w:cstheme="minorHAnsi"/>
                <w:color w:val="002060"/>
                <w:sz w:val="18"/>
                <w:lang w:val="sr-Cyrl-CS"/>
              </w:rPr>
            </w:pPr>
          </w:p>
        </w:tc>
        <w:tc>
          <w:tcPr>
            <w:tcW w:w="557" w:type="pct"/>
            <w:shd w:val="clear" w:color="auto" w:fill="E7E6E6" w:themeFill="background2"/>
          </w:tcPr>
          <w:p w14:paraId="3556A374" w14:textId="77777777" w:rsidR="008E6687" w:rsidRPr="00DE058F" w:rsidRDefault="008E6687" w:rsidP="00CE729E">
            <w:pPr>
              <w:rPr>
                <w:rFonts w:cstheme="minorHAnsi"/>
                <w:color w:val="002060"/>
                <w:sz w:val="18"/>
                <w:lang w:val="sr-Cyrl-CS"/>
              </w:rPr>
            </w:pPr>
          </w:p>
        </w:tc>
      </w:tr>
      <w:tr w:rsidR="00EB41E3" w:rsidRPr="00DE058F" w14:paraId="48EF1374" w14:textId="77777777" w:rsidTr="008E6687">
        <w:trPr>
          <w:trHeight w:val="190"/>
        </w:trPr>
        <w:tc>
          <w:tcPr>
            <w:tcW w:w="2220" w:type="pct"/>
          </w:tcPr>
          <w:p w14:paraId="6430712B" w14:textId="77777777" w:rsidR="00EB41E3" w:rsidRPr="00DE058F" w:rsidRDefault="00EB41E3" w:rsidP="00CE729E">
            <w:pPr>
              <w:ind w:left="440" w:hanging="180"/>
              <w:rPr>
                <w:rFonts w:cstheme="minorHAnsi"/>
                <w:color w:val="002060"/>
                <w:sz w:val="18"/>
                <w:lang w:val="sr-Cyrl-CS"/>
              </w:rPr>
            </w:pPr>
            <w:r w:rsidRPr="00DE058F">
              <w:rPr>
                <w:rFonts w:cstheme="minorHAnsi"/>
                <w:color w:val="002060"/>
                <w:sz w:val="18"/>
                <w:lang w:val="sr-Cyrl-CS"/>
              </w:rPr>
              <w:t>Еврозона</w:t>
            </w:r>
          </w:p>
        </w:tc>
        <w:tc>
          <w:tcPr>
            <w:tcW w:w="556" w:type="pct"/>
          </w:tcPr>
          <w:p w14:paraId="31725F81"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7,7</w:t>
            </w:r>
          </w:p>
        </w:tc>
        <w:tc>
          <w:tcPr>
            <w:tcW w:w="556" w:type="pct"/>
          </w:tcPr>
          <w:p w14:paraId="0BC6AC63"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7,3</w:t>
            </w:r>
          </w:p>
        </w:tc>
        <w:tc>
          <w:tcPr>
            <w:tcW w:w="556" w:type="pct"/>
          </w:tcPr>
          <w:p w14:paraId="5FD0013E"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7,1</w:t>
            </w:r>
          </w:p>
        </w:tc>
        <w:tc>
          <w:tcPr>
            <w:tcW w:w="556" w:type="pct"/>
          </w:tcPr>
          <w:p w14:paraId="49CC98F7"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7,0</w:t>
            </w:r>
          </w:p>
        </w:tc>
        <w:tc>
          <w:tcPr>
            <w:tcW w:w="557" w:type="pct"/>
          </w:tcPr>
          <w:p w14:paraId="491515B8"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6,9</w:t>
            </w:r>
          </w:p>
        </w:tc>
      </w:tr>
      <w:tr w:rsidR="00EB41E3" w:rsidRPr="00DE058F" w14:paraId="0CFC50FE" w14:textId="77777777" w:rsidTr="008E6687">
        <w:trPr>
          <w:trHeight w:val="180"/>
        </w:trPr>
        <w:tc>
          <w:tcPr>
            <w:tcW w:w="2220" w:type="pct"/>
          </w:tcPr>
          <w:p w14:paraId="16CA1A4A" w14:textId="77777777" w:rsidR="00EB41E3" w:rsidRPr="00DE058F" w:rsidRDefault="00EB41E3" w:rsidP="00CE729E">
            <w:pPr>
              <w:ind w:left="440" w:hanging="180"/>
              <w:rPr>
                <w:rFonts w:cstheme="minorHAnsi"/>
                <w:color w:val="002060"/>
                <w:sz w:val="18"/>
                <w:lang w:val="sr-Cyrl-CS"/>
              </w:rPr>
            </w:pPr>
            <w:r w:rsidRPr="00DE058F">
              <w:rPr>
                <w:rFonts w:cstheme="minorHAnsi"/>
                <w:color w:val="002060"/>
                <w:sz w:val="18"/>
                <w:lang w:val="sr-Cyrl-CS"/>
              </w:rPr>
              <w:t>САД</w:t>
            </w:r>
          </w:p>
        </w:tc>
        <w:tc>
          <w:tcPr>
            <w:tcW w:w="556" w:type="pct"/>
          </w:tcPr>
          <w:p w14:paraId="625F57DB"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5,4</w:t>
            </w:r>
          </w:p>
        </w:tc>
        <w:tc>
          <w:tcPr>
            <w:tcW w:w="556" w:type="pct"/>
          </w:tcPr>
          <w:p w14:paraId="7EBA57A1"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3,5</w:t>
            </w:r>
          </w:p>
        </w:tc>
        <w:tc>
          <w:tcPr>
            <w:tcW w:w="556" w:type="pct"/>
          </w:tcPr>
          <w:p w14:paraId="4DC0AAFB"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3,5</w:t>
            </w:r>
          </w:p>
        </w:tc>
        <w:tc>
          <w:tcPr>
            <w:tcW w:w="556" w:type="pct"/>
          </w:tcPr>
          <w:p w14:paraId="736C43CF"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3,9</w:t>
            </w:r>
          </w:p>
        </w:tc>
        <w:tc>
          <w:tcPr>
            <w:tcW w:w="557" w:type="pct"/>
          </w:tcPr>
          <w:p w14:paraId="1B725A3B"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4,0</w:t>
            </w:r>
          </w:p>
        </w:tc>
      </w:tr>
      <w:tr w:rsidR="008E6687" w:rsidRPr="00DE058F" w14:paraId="3A9F6A7E" w14:textId="77777777" w:rsidTr="008E6687">
        <w:trPr>
          <w:trHeight w:val="190"/>
        </w:trPr>
        <w:tc>
          <w:tcPr>
            <w:tcW w:w="2220" w:type="pct"/>
            <w:shd w:val="clear" w:color="auto" w:fill="E7E6E6" w:themeFill="background2"/>
          </w:tcPr>
          <w:p w14:paraId="666327B1" w14:textId="77777777" w:rsidR="008E6687" w:rsidRPr="00DE058F" w:rsidRDefault="008E6687" w:rsidP="00CE729E">
            <w:pPr>
              <w:rPr>
                <w:rFonts w:cstheme="minorHAnsi"/>
                <w:color w:val="002060"/>
                <w:sz w:val="18"/>
                <w:lang w:val="sr-Cyrl-CS"/>
              </w:rPr>
            </w:pPr>
            <w:r w:rsidRPr="00DE058F">
              <w:rPr>
                <w:rFonts w:cstheme="minorHAnsi"/>
                <w:color w:val="002060"/>
                <w:sz w:val="18"/>
                <w:lang w:val="sr-Cyrl-CS"/>
              </w:rPr>
              <w:t>Потрошачке цене, просек периода, %</w:t>
            </w:r>
          </w:p>
        </w:tc>
        <w:tc>
          <w:tcPr>
            <w:tcW w:w="556" w:type="pct"/>
            <w:shd w:val="clear" w:color="auto" w:fill="E7E6E6" w:themeFill="background2"/>
          </w:tcPr>
          <w:p w14:paraId="04F69CD4" w14:textId="77777777" w:rsidR="008E6687" w:rsidRPr="00DE058F" w:rsidRDefault="008E6687" w:rsidP="00CE729E">
            <w:pPr>
              <w:rPr>
                <w:rFonts w:cstheme="minorHAnsi"/>
                <w:color w:val="002060"/>
                <w:sz w:val="18"/>
                <w:lang w:val="sr-Cyrl-CS"/>
              </w:rPr>
            </w:pPr>
          </w:p>
        </w:tc>
        <w:tc>
          <w:tcPr>
            <w:tcW w:w="556" w:type="pct"/>
            <w:shd w:val="clear" w:color="auto" w:fill="E7E6E6" w:themeFill="background2"/>
          </w:tcPr>
          <w:p w14:paraId="03EB173C" w14:textId="77777777" w:rsidR="008E6687" w:rsidRPr="00DE058F" w:rsidRDefault="008E6687" w:rsidP="00CE729E">
            <w:pPr>
              <w:rPr>
                <w:rFonts w:cstheme="minorHAnsi"/>
                <w:color w:val="002060"/>
                <w:sz w:val="18"/>
                <w:lang w:val="sr-Cyrl-CS"/>
              </w:rPr>
            </w:pPr>
          </w:p>
        </w:tc>
        <w:tc>
          <w:tcPr>
            <w:tcW w:w="556" w:type="pct"/>
            <w:shd w:val="clear" w:color="auto" w:fill="E7E6E6" w:themeFill="background2"/>
          </w:tcPr>
          <w:p w14:paraId="6CE6FE55" w14:textId="77777777" w:rsidR="008E6687" w:rsidRPr="00DE058F" w:rsidRDefault="008E6687" w:rsidP="00CE729E">
            <w:pPr>
              <w:rPr>
                <w:rFonts w:cstheme="minorHAnsi"/>
                <w:color w:val="002060"/>
                <w:sz w:val="18"/>
                <w:lang w:val="sr-Cyrl-CS"/>
              </w:rPr>
            </w:pPr>
          </w:p>
        </w:tc>
        <w:tc>
          <w:tcPr>
            <w:tcW w:w="556" w:type="pct"/>
            <w:shd w:val="clear" w:color="auto" w:fill="E7E6E6" w:themeFill="background2"/>
          </w:tcPr>
          <w:p w14:paraId="46BBE5A8" w14:textId="75C374C2" w:rsidR="008E6687" w:rsidRPr="00DE058F" w:rsidRDefault="008E6687" w:rsidP="00CE729E">
            <w:pPr>
              <w:rPr>
                <w:rFonts w:cstheme="minorHAnsi"/>
                <w:color w:val="002060"/>
                <w:sz w:val="18"/>
                <w:lang w:val="sr-Cyrl-CS"/>
              </w:rPr>
            </w:pPr>
          </w:p>
        </w:tc>
        <w:tc>
          <w:tcPr>
            <w:tcW w:w="557" w:type="pct"/>
            <w:shd w:val="clear" w:color="auto" w:fill="E7E6E6" w:themeFill="background2"/>
          </w:tcPr>
          <w:p w14:paraId="31663F84" w14:textId="77777777" w:rsidR="008E6687" w:rsidRPr="00DE058F" w:rsidRDefault="008E6687" w:rsidP="00CE729E">
            <w:pPr>
              <w:rPr>
                <w:rFonts w:cstheme="minorHAnsi"/>
                <w:color w:val="002060"/>
                <w:sz w:val="18"/>
                <w:lang w:val="sr-Cyrl-CS"/>
              </w:rPr>
            </w:pPr>
          </w:p>
        </w:tc>
      </w:tr>
      <w:tr w:rsidR="00EB41E3" w:rsidRPr="00DE058F" w14:paraId="644EEF40" w14:textId="77777777" w:rsidTr="008E6687">
        <w:trPr>
          <w:trHeight w:val="180"/>
        </w:trPr>
        <w:tc>
          <w:tcPr>
            <w:tcW w:w="2220" w:type="pct"/>
          </w:tcPr>
          <w:p w14:paraId="10C53ED1" w14:textId="77777777" w:rsidR="00EB41E3" w:rsidRPr="00DE058F" w:rsidRDefault="00EB41E3" w:rsidP="00CE729E">
            <w:pPr>
              <w:ind w:left="350" w:hanging="90"/>
              <w:rPr>
                <w:rFonts w:cstheme="minorHAnsi"/>
                <w:color w:val="002060"/>
                <w:sz w:val="18"/>
                <w:lang w:val="sr-Cyrl-CS"/>
              </w:rPr>
            </w:pPr>
            <w:r w:rsidRPr="00DE058F">
              <w:rPr>
                <w:rFonts w:cstheme="minorHAnsi"/>
                <w:color w:val="002060"/>
                <w:sz w:val="18"/>
                <w:lang w:val="sr-Cyrl-CS"/>
              </w:rPr>
              <w:t>Еврозона</w:t>
            </w:r>
          </w:p>
        </w:tc>
        <w:tc>
          <w:tcPr>
            <w:tcW w:w="556" w:type="pct"/>
          </w:tcPr>
          <w:p w14:paraId="7A077FA2"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2,6</w:t>
            </w:r>
          </w:p>
        </w:tc>
        <w:tc>
          <w:tcPr>
            <w:tcW w:w="556" w:type="pct"/>
          </w:tcPr>
          <w:p w14:paraId="0CB87466"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5,3</w:t>
            </w:r>
          </w:p>
        </w:tc>
        <w:tc>
          <w:tcPr>
            <w:tcW w:w="556" w:type="pct"/>
          </w:tcPr>
          <w:p w14:paraId="1B561AFD"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2,3</w:t>
            </w:r>
          </w:p>
        </w:tc>
        <w:tc>
          <w:tcPr>
            <w:tcW w:w="556" w:type="pct"/>
          </w:tcPr>
          <w:p w14:paraId="51561CA6"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1,8</w:t>
            </w:r>
          </w:p>
        </w:tc>
        <w:tc>
          <w:tcPr>
            <w:tcW w:w="557" w:type="pct"/>
          </w:tcPr>
          <w:p w14:paraId="6F95E3BE"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1,8</w:t>
            </w:r>
          </w:p>
        </w:tc>
      </w:tr>
      <w:tr w:rsidR="00EB41E3" w:rsidRPr="00DE058F" w14:paraId="7DE98078" w14:textId="77777777" w:rsidTr="008E6687">
        <w:trPr>
          <w:trHeight w:val="190"/>
        </w:trPr>
        <w:tc>
          <w:tcPr>
            <w:tcW w:w="2220" w:type="pct"/>
          </w:tcPr>
          <w:p w14:paraId="433D5493" w14:textId="77777777" w:rsidR="00EB41E3" w:rsidRPr="00DE058F" w:rsidRDefault="00EB41E3" w:rsidP="00CE729E">
            <w:pPr>
              <w:ind w:left="350" w:hanging="90"/>
              <w:rPr>
                <w:rFonts w:cstheme="minorHAnsi"/>
                <w:color w:val="002060"/>
                <w:sz w:val="18"/>
                <w:lang w:val="sr-Cyrl-CS"/>
              </w:rPr>
            </w:pPr>
            <w:r w:rsidRPr="00DE058F">
              <w:rPr>
                <w:rFonts w:cstheme="minorHAnsi"/>
                <w:color w:val="002060"/>
                <w:sz w:val="18"/>
                <w:lang w:val="sr-Cyrl-CS"/>
              </w:rPr>
              <w:t>Развијене економије</w:t>
            </w:r>
          </w:p>
        </w:tc>
        <w:tc>
          <w:tcPr>
            <w:tcW w:w="556" w:type="pct"/>
          </w:tcPr>
          <w:p w14:paraId="22E25B94"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3,1</w:t>
            </w:r>
          </w:p>
        </w:tc>
        <w:tc>
          <w:tcPr>
            <w:tcW w:w="556" w:type="pct"/>
          </w:tcPr>
          <w:p w14:paraId="60DFFDE0"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5,7</w:t>
            </w:r>
          </w:p>
        </w:tc>
        <w:tc>
          <w:tcPr>
            <w:tcW w:w="556" w:type="pct"/>
          </w:tcPr>
          <w:p w14:paraId="0C1B74A9"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2,5</w:t>
            </w:r>
          </w:p>
        </w:tc>
        <w:tc>
          <w:tcPr>
            <w:tcW w:w="556" w:type="pct"/>
          </w:tcPr>
          <w:p w14:paraId="14573BA8"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2,0</w:t>
            </w:r>
          </w:p>
        </w:tc>
        <w:tc>
          <w:tcPr>
            <w:tcW w:w="557" w:type="pct"/>
          </w:tcPr>
          <w:p w14:paraId="719861B6"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1,8</w:t>
            </w:r>
          </w:p>
        </w:tc>
      </w:tr>
      <w:tr w:rsidR="00EB41E3" w:rsidRPr="00DE058F" w14:paraId="1C49C75E" w14:textId="77777777" w:rsidTr="008E6687">
        <w:trPr>
          <w:trHeight w:val="70"/>
        </w:trPr>
        <w:tc>
          <w:tcPr>
            <w:tcW w:w="2220" w:type="pct"/>
          </w:tcPr>
          <w:p w14:paraId="01F27774" w14:textId="77777777" w:rsidR="00EB41E3" w:rsidRPr="00DE058F" w:rsidRDefault="00EB41E3" w:rsidP="00CE729E">
            <w:pPr>
              <w:ind w:left="350" w:hanging="90"/>
              <w:rPr>
                <w:rFonts w:cstheme="minorHAnsi"/>
                <w:color w:val="002060"/>
                <w:sz w:val="18"/>
                <w:lang w:val="sr-Cyrl-CS"/>
              </w:rPr>
            </w:pPr>
            <w:r w:rsidRPr="00DE058F">
              <w:rPr>
                <w:rFonts w:cstheme="minorHAnsi"/>
                <w:color w:val="002060"/>
                <w:sz w:val="18"/>
                <w:lang w:val="sr-Cyrl-CS"/>
              </w:rPr>
              <w:t>Земље у успону</w:t>
            </w:r>
          </w:p>
        </w:tc>
        <w:tc>
          <w:tcPr>
            <w:tcW w:w="556" w:type="pct"/>
          </w:tcPr>
          <w:p w14:paraId="4DDD5A5B"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5,9</w:t>
            </w:r>
          </w:p>
        </w:tc>
        <w:tc>
          <w:tcPr>
            <w:tcW w:w="556" w:type="pct"/>
          </w:tcPr>
          <w:p w14:paraId="3FE03E43"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8,7</w:t>
            </w:r>
          </w:p>
        </w:tc>
        <w:tc>
          <w:tcPr>
            <w:tcW w:w="556" w:type="pct"/>
          </w:tcPr>
          <w:p w14:paraId="18C15BB8"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6,5</w:t>
            </w:r>
          </w:p>
        </w:tc>
        <w:tc>
          <w:tcPr>
            <w:tcW w:w="556" w:type="pct"/>
          </w:tcPr>
          <w:p w14:paraId="4CE87158"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5,0</w:t>
            </w:r>
          </w:p>
        </w:tc>
        <w:tc>
          <w:tcPr>
            <w:tcW w:w="557" w:type="pct"/>
          </w:tcPr>
          <w:p w14:paraId="0C510C19"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4,5</w:t>
            </w:r>
          </w:p>
        </w:tc>
      </w:tr>
      <w:tr w:rsidR="00EB41E3" w:rsidRPr="00DE058F" w14:paraId="7B612742" w14:textId="77777777" w:rsidTr="008E6687">
        <w:trPr>
          <w:trHeight w:val="20"/>
        </w:trPr>
        <w:tc>
          <w:tcPr>
            <w:tcW w:w="2220" w:type="pct"/>
          </w:tcPr>
          <w:p w14:paraId="55722209" w14:textId="77777777" w:rsidR="00EB41E3" w:rsidRPr="00DE058F" w:rsidRDefault="00EB41E3" w:rsidP="00CE729E">
            <w:pPr>
              <w:rPr>
                <w:rFonts w:cstheme="minorHAnsi"/>
                <w:color w:val="002060"/>
                <w:sz w:val="18"/>
                <w:lang w:val="sr-Cyrl-CS"/>
              </w:rPr>
            </w:pPr>
          </w:p>
        </w:tc>
        <w:tc>
          <w:tcPr>
            <w:tcW w:w="556" w:type="pct"/>
          </w:tcPr>
          <w:p w14:paraId="169098A6" w14:textId="77777777" w:rsidR="00EB41E3" w:rsidRPr="00DE058F" w:rsidRDefault="00EB41E3" w:rsidP="00CE729E">
            <w:pPr>
              <w:rPr>
                <w:rFonts w:cstheme="minorHAnsi"/>
                <w:color w:val="002060"/>
                <w:sz w:val="18"/>
                <w:lang w:val="sr-Cyrl-CS"/>
              </w:rPr>
            </w:pPr>
          </w:p>
        </w:tc>
        <w:tc>
          <w:tcPr>
            <w:tcW w:w="556" w:type="pct"/>
          </w:tcPr>
          <w:p w14:paraId="443CE8ED" w14:textId="77777777" w:rsidR="00EB41E3" w:rsidRPr="00DE058F" w:rsidRDefault="00EB41E3" w:rsidP="00CE729E">
            <w:pPr>
              <w:rPr>
                <w:rFonts w:cstheme="minorHAnsi"/>
                <w:color w:val="002060"/>
                <w:sz w:val="18"/>
                <w:lang w:val="sr-Cyrl-CS"/>
              </w:rPr>
            </w:pPr>
          </w:p>
        </w:tc>
        <w:tc>
          <w:tcPr>
            <w:tcW w:w="556" w:type="pct"/>
          </w:tcPr>
          <w:p w14:paraId="6FC0B705" w14:textId="77777777" w:rsidR="00EB41E3" w:rsidRPr="00DE058F" w:rsidRDefault="00EB41E3" w:rsidP="00CE729E">
            <w:pPr>
              <w:rPr>
                <w:rFonts w:cstheme="minorHAnsi"/>
                <w:color w:val="002060"/>
                <w:sz w:val="18"/>
                <w:lang w:val="sr-Cyrl-CS"/>
              </w:rPr>
            </w:pPr>
          </w:p>
        </w:tc>
        <w:tc>
          <w:tcPr>
            <w:tcW w:w="556" w:type="pct"/>
          </w:tcPr>
          <w:p w14:paraId="4F3A1C5F" w14:textId="77777777" w:rsidR="00EB41E3" w:rsidRPr="00DE058F" w:rsidRDefault="00EB41E3" w:rsidP="00CE729E">
            <w:pPr>
              <w:rPr>
                <w:rFonts w:cstheme="minorHAnsi"/>
                <w:color w:val="002060"/>
                <w:sz w:val="18"/>
                <w:lang w:val="sr-Cyrl-CS"/>
              </w:rPr>
            </w:pPr>
          </w:p>
        </w:tc>
        <w:tc>
          <w:tcPr>
            <w:tcW w:w="557" w:type="pct"/>
          </w:tcPr>
          <w:p w14:paraId="035F5589" w14:textId="77777777" w:rsidR="00EB41E3" w:rsidRPr="00DE058F" w:rsidRDefault="00EB41E3" w:rsidP="00CE729E">
            <w:pPr>
              <w:rPr>
                <w:rFonts w:cstheme="minorHAnsi"/>
                <w:color w:val="002060"/>
                <w:sz w:val="18"/>
                <w:lang w:val="sr-Cyrl-CS"/>
              </w:rPr>
            </w:pPr>
          </w:p>
        </w:tc>
      </w:tr>
      <w:tr w:rsidR="00EB41E3" w:rsidRPr="00DE058F" w14:paraId="09857E2E" w14:textId="77777777" w:rsidTr="008E6687">
        <w:trPr>
          <w:trHeight w:val="70"/>
        </w:trPr>
        <w:tc>
          <w:tcPr>
            <w:tcW w:w="2220" w:type="pct"/>
          </w:tcPr>
          <w:p w14:paraId="592BFB8C" w14:textId="77777777" w:rsidR="00EB41E3" w:rsidRPr="00DE058F" w:rsidRDefault="00EB41E3" w:rsidP="00CE729E">
            <w:pPr>
              <w:rPr>
                <w:rFonts w:cstheme="minorHAnsi"/>
                <w:color w:val="002060"/>
                <w:sz w:val="18"/>
                <w:lang w:val="sr-Cyrl-CS"/>
              </w:rPr>
            </w:pPr>
            <w:r w:rsidRPr="00DE058F">
              <w:rPr>
                <w:rFonts w:cstheme="minorHAnsi"/>
                <w:color w:val="002060"/>
                <w:sz w:val="18"/>
                <w:lang w:val="sr-Cyrl-CS"/>
              </w:rPr>
              <w:t>Девизни курс, евро/долар, крај периода</w:t>
            </w:r>
          </w:p>
        </w:tc>
        <w:tc>
          <w:tcPr>
            <w:tcW w:w="556" w:type="pct"/>
          </w:tcPr>
          <w:p w14:paraId="075E0B58" w14:textId="77777777" w:rsidR="00EB41E3" w:rsidRPr="00DE058F" w:rsidRDefault="00EB41E3" w:rsidP="00CE729E">
            <w:pPr>
              <w:jc w:val="center"/>
              <w:rPr>
                <w:rFonts w:cstheme="minorHAnsi"/>
                <w:color w:val="002060"/>
                <w:sz w:val="18"/>
                <w:lang w:val="sr-Cyrl-CS"/>
              </w:rPr>
            </w:pPr>
            <w:r w:rsidRPr="00DE058F">
              <w:rPr>
                <w:rFonts w:cstheme="minorHAnsi"/>
                <w:color w:val="002060"/>
                <w:sz w:val="18"/>
                <w:lang w:val="sr-Cyrl-CS"/>
              </w:rPr>
              <w:t>1,2</w:t>
            </w:r>
          </w:p>
        </w:tc>
        <w:tc>
          <w:tcPr>
            <w:tcW w:w="556" w:type="pct"/>
          </w:tcPr>
          <w:p w14:paraId="3DE5EE82" w14:textId="77777777" w:rsidR="00EB41E3" w:rsidRPr="00DE058F" w:rsidRDefault="00EB41E3" w:rsidP="00CE729E">
            <w:pPr>
              <w:jc w:val="center"/>
              <w:rPr>
                <w:rFonts w:cstheme="minorHAnsi"/>
                <w:color w:val="002060"/>
                <w:sz w:val="18"/>
                <w:lang w:val="sr-Cyrl-CS"/>
              </w:rPr>
            </w:pPr>
            <w:r w:rsidRPr="00DE058F">
              <w:rPr>
                <w:rFonts w:cstheme="minorHAnsi"/>
                <w:color w:val="002060"/>
                <w:sz w:val="18"/>
                <w:lang w:val="sr-Cyrl-CS"/>
              </w:rPr>
              <w:t>1,1</w:t>
            </w:r>
          </w:p>
        </w:tc>
        <w:tc>
          <w:tcPr>
            <w:tcW w:w="556" w:type="pct"/>
          </w:tcPr>
          <w:p w14:paraId="38FBCC44"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1,1</w:t>
            </w:r>
          </w:p>
        </w:tc>
        <w:tc>
          <w:tcPr>
            <w:tcW w:w="556" w:type="pct"/>
          </w:tcPr>
          <w:p w14:paraId="2ED81AC8" w14:textId="77777777" w:rsidR="00EB41E3" w:rsidRPr="00DE058F" w:rsidRDefault="00EB41E3" w:rsidP="00CE729E">
            <w:pPr>
              <w:jc w:val="center"/>
              <w:rPr>
                <w:rFonts w:cstheme="minorHAnsi"/>
                <w:color w:val="002060"/>
                <w:sz w:val="18"/>
                <w:lang w:val="sr-Cyrl-CS"/>
              </w:rPr>
            </w:pPr>
            <w:r w:rsidRPr="00DE058F">
              <w:rPr>
                <w:rFonts w:cstheme="minorHAnsi"/>
                <w:color w:val="002060"/>
                <w:sz w:val="18"/>
                <w:lang w:val="sr-Cyrl-CS"/>
              </w:rPr>
              <w:t>-</w:t>
            </w:r>
          </w:p>
        </w:tc>
        <w:tc>
          <w:tcPr>
            <w:tcW w:w="557" w:type="pct"/>
          </w:tcPr>
          <w:p w14:paraId="33882879" w14:textId="77777777" w:rsidR="00EB41E3" w:rsidRPr="00DE058F" w:rsidRDefault="00EB41E3" w:rsidP="00CE729E">
            <w:pPr>
              <w:jc w:val="center"/>
              <w:rPr>
                <w:rFonts w:cstheme="minorHAnsi"/>
                <w:color w:val="002060"/>
                <w:sz w:val="18"/>
                <w:lang w:val="sr-Cyrl-CS"/>
              </w:rPr>
            </w:pPr>
            <w:r w:rsidRPr="00DE058F">
              <w:rPr>
                <w:rFonts w:cstheme="minorHAnsi"/>
                <w:color w:val="002060"/>
                <w:sz w:val="18"/>
                <w:lang w:val="sr-Cyrl-CS"/>
              </w:rPr>
              <w:t>-</w:t>
            </w:r>
          </w:p>
        </w:tc>
      </w:tr>
      <w:tr w:rsidR="00EB41E3" w:rsidRPr="00DE058F" w14:paraId="69F847E8" w14:textId="77777777" w:rsidTr="008E6687">
        <w:trPr>
          <w:trHeight w:val="135"/>
        </w:trPr>
        <w:tc>
          <w:tcPr>
            <w:tcW w:w="2220" w:type="pct"/>
          </w:tcPr>
          <w:p w14:paraId="6146647B" w14:textId="77777777" w:rsidR="00EB41E3" w:rsidRPr="00DE058F" w:rsidRDefault="00EB41E3" w:rsidP="00CE729E">
            <w:pPr>
              <w:rPr>
                <w:rFonts w:cstheme="minorHAnsi"/>
                <w:color w:val="002060"/>
                <w:sz w:val="18"/>
                <w:lang w:val="sr-Cyrl-CS"/>
              </w:rPr>
            </w:pPr>
            <w:r w:rsidRPr="00DE058F">
              <w:rPr>
                <w:rFonts w:cstheme="minorHAnsi"/>
                <w:color w:val="002060"/>
                <w:sz w:val="18"/>
                <w:lang w:val="sr-Cyrl-CS"/>
              </w:rPr>
              <w:t>Цене житарица, у доларима, годишње промене</w:t>
            </w:r>
            <w:r w:rsidRPr="00DE058F">
              <w:rPr>
                <w:rFonts w:cstheme="minorHAnsi"/>
                <w:color w:val="002060"/>
                <w:sz w:val="18"/>
                <w:vertAlign w:val="superscript"/>
                <w:lang w:val="sr-Cyrl-CS"/>
              </w:rPr>
              <w:t>2</w:t>
            </w:r>
          </w:p>
        </w:tc>
        <w:tc>
          <w:tcPr>
            <w:tcW w:w="556" w:type="pct"/>
          </w:tcPr>
          <w:p w14:paraId="64899E3E"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40,7</w:t>
            </w:r>
          </w:p>
        </w:tc>
        <w:tc>
          <w:tcPr>
            <w:tcW w:w="556" w:type="pct"/>
          </w:tcPr>
          <w:p w14:paraId="0E88AF61"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31,5</w:t>
            </w:r>
          </w:p>
        </w:tc>
        <w:tc>
          <w:tcPr>
            <w:tcW w:w="556" w:type="pct"/>
          </w:tcPr>
          <w:p w14:paraId="2CBCE392"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-11,2</w:t>
            </w:r>
          </w:p>
        </w:tc>
        <w:tc>
          <w:tcPr>
            <w:tcW w:w="556" w:type="pct"/>
          </w:tcPr>
          <w:p w14:paraId="65732EE1"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-2,2</w:t>
            </w:r>
          </w:p>
        </w:tc>
        <w:tc>
          <w:tcPr>
            <w:tcW w:w="557" w:type="pct"/>
          </w:tcPr>
          <w:p w14:paraId="0EDA5B96"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0,0</w:t>
            </w:r>
          </w:p>
        </w:tc>
      </w:tr>
      <w:tr w:rsidR="00EB41E3" w:rsidRPr="00DE058F" w14:paraId="2FAF2BE5" w14:textId="77777777" w:rsidTr="008E6687">
        <w:trPr>
          <w:trHeight w:val="167"/>
        </w:trPr>
        <w:tc>
          <w:tcPr>
            <w:tcW w:w="2220" w:type="pct"/>
          </w:tcPr>
          <w:p w14:paraId="74EB74E2" w14:textId="77777777" w:rsidR="00EB41E3" w:rsidRPr="00DE058F" w:rsidRDefault="00EB41E3" w:rsidP="00CE729E">
            <w:pPr>
              <w:rPr>
                <w:rFonts w:cstheme="minorHAnsi"/>
                <w:color w:val="002060"/>
                <w:sz w:val="18"/>
                <w:lang w:val="sr-Cyrl-CS"/>
              </w:rPr>
            </w:pPr>
            <w:r w:rsidRPr="00DE058F">
              <w:rPr>
                <w:rFonts w:cstheme="minorHAnsi"/>
                <w:color w:val="002060"/>
                <w:sz w:val="18"/>
                <w:lang w:val="sr-Cyrl-CS"/>
              </w:rPr>
              <w:t>Цене метала, у доларима, годишње промене</w:t>
            </w:r>
            <w:r w:rsidRPr="00DE058F">
              <w:rPr>
                <w:rFonts w:cstheme="minorHAnsi"/>
                <w:color w:val="002060"/>
                <w:sz w:val="18"/>
                <w:vertAlign w:val="superscript"/>
                <w:lang w:val="sr-Cyrl-CS"/>
              </w:rPr>
              <w:t>3</w:t>
            </w:r>
          </w:p>
        </w:tc>
        <w:tc>
          <w:tcPr>
            <w:tcW w:w="556" w:type="pct"/>
          </w:tcPr>
          <w:p w14:paraId="07EFE7A2"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46,8</w:t>
            </w:r>
          </w:p>
        </w:tc>
        <w:tc>
          <w:tcPr>
            <w:tcW w:w="556" w:type="pct"/>
          </w:tcPr>
          <w:p w14:paraId="1995EA20"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9,9</w:t>
            </w:r>
          </w:p>
        </w:tc>
        <w:tc>
          <w:tcPr>
            <w:tcW w:w="556" w:type="pct"/>
          </w:tcPr>
          <w:p w14:paraId="274390EA"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-0,1</w:t>
            </w:r>
          </w:p>
        </w:tc>
        <w:tc>
          <w:tcPr>
            <w:tcW w:w="556" w:type="pct"/>
          </w:tcPr>
          <w:p w14:paraId="661B18D4"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-2,0</w:t>
            </w:r>
          </w:p>
        </w:tc>
        <w:tc>
          <w:tcPr>
            <w:tcW w:w="557" w:type="pct"/>
          </w:tcPr>
          <w:p w14:paraId="38946338"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-1,8</w:t>
            </w:r>
          </w:p>
        </w:tc>
      </w:tr>
      <w:tr w:rsidR="00EB41E3" w:rsidRPr="00DE058F" w14:paraId="1E45000A" w14:textId="77777777" w:rsidTr="008E6687">
        <w:trPr>
          <w:trHeight w:val="70"/>
        </w:trPr>
        <w:tc>
          <w:tcPr>
            <w:tcW w:w="2220" w:type="pct"/>
          </w:tcPr>
          <w:p w14:paraId="6E33ADC8" w14:textId="77777777" w:rsidR="00EB41E3" w:rsidRPr="00DE058F" w:rsidRDefault="00EB41E3" w:rsidP="00CE729E">
            <w:pPr>
              <w:rPr>
                <w:rFonts w:cstheme="minorHAnsi"/>
                <w:color w:val="002060"/>
                <w:sz w:val="18"/>
                <w:lang w:val="sr-Cyrl-CS"/>
              </w:rPr>
            </w:pPr>
            <w:r w:rsidRPr="00DE058F">
              <w:rPr>
                <w:rFonts w:cstheme="minorHAnsi"/>
                <w:color w:val="002060"/>
                <w:sz w:val="18"/>
                <w:lang w:val="sr-Cyrl-CS"/>
              </w:rPr>
              <w:t>Цена руде гвожђа, у доларима</w:t>
            </w:r>
            <w:r w:rsidRPr="00DE058F">
              <w:rPr>
                <w:rFonts w:cstheme="minorHAnsi"/>
                <w:color w:val="002060"/>
                <w:sz w:val="18"/>
                <w:vertAlign w:val="superscript"/>
                <w:lang w:val="sr-Cyrl-CS"/>
              </w:rPr>
              <w:t>4</w:t>
            </w:r>
          </w:p>
        </w:tc>
        <w:tc>
          <w:tcPr>
            <w:tcW w:w="556" w:type="pct"/>
          </w:tcPr>
          <w:p w14:paraId="4F9EB755"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158,2</w:t>
            </w:r>
          </w:p>
        </w:tc>
        <w:tc>
          <w:tcPr>
            <w:tcW w:w="556" w:type="pct"/>
          </w:tcPr>
          <w:p w14:paraId="16EC2474"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146,5</w:t>
            </w:r>
          </w:p>
        </w:tc>
        <w:tc>
          <w:tcPr>
            <w:tcW w:w="556" w:type="pct"/>
          </w:tcPr>
          <w:p w14:paraId="7C3F312E"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149,0</w:t>
            </w:r>
          </w:p>
        </w:tc>
        <w:tc>
          <w:tcPr>
            <w:tcW w:w="556" w:type="pct"/>
          </w:tcPr>
          <w:p w14:paraId="1F4EB703"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149,0</w:t>
            </w:r>
          </w:p>
        </w:tc>
        <w:tc>
          <w:tcPr>
            <w:tcW w:w="557" w:type="pct"/>
          </w:tcPr>
          <w:p w14:paraId="29CFA6F6"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149,0</w:t>
            </w:r>
          </w:p>
        </w:tc>
      </w:tr>
      <w:tr w:rsidR="00EB41E3" w:rsidRPr="00DE058F" w14:paraId="7E7B5A0E" w14:textId="77777777" w:rsidTr="008E6687">
        <w:trPr>
          <w:trHeight w:val="173"/>
        </w:trPr>
        <w:tc>
          <w:tcPr>
            <w:tcW w:w="2220" w:type="pct"/>
            <w:tcBorders>
              <w:bottom w:val="single" w:sz="4" w:space="0" w:color="002060"/>
            </w:tcBorders>
          </w:tcPr>
          <w:p w14:paraId="581F3CD9" w14:textId="77777777" w:rsidR="00EB41E3" w:rsidRPr="00DE058F" w:rsidRDefault="00EB41E3" w:rsidP="00CE729E">
            <w:pPr>
              <w:rPr>
                <w:rFonts w:cstheme="minorHAnsi"/>
                <w:color w:val="002060"/>
                <w:sz w:val="18"/>
                <w:lang w:val="sr-Cyrl-CS"/>
              </w:rPr>
            </w:pPr>
            <w:r w:rsidRPr="00DE058F">
              <w:rPr>
                <w:rFonts w:cstheme="minorHAnsi"/>
                <w:color w:val="002060"/>
                <w:sz w:val="18"/>
                <w:lang w:val="sr-Cyrl-CS"/>
              </w:rPr>
              <w:t>Цене нафте, у доларима, годишње промене, %</w:t>
            </w:r>
          </w:p>
        </w:tc>
        <w:tc>
          <w:tcPr>
            <w:tcW w:w="556" w:type="pct"/>
            <w:tcBorders>
              <w:bottom w:val="single" w:sz="4" w:space="0" w:color="002060"/>
            </w:tcBorders>
          </w:tcPr>
          <w:p w14:paraId="416E3A08"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67,3</w:t>
            </w:r>
          </w:p>
        </w:tc>
        <w:tc>
          <w:tcPr>
            <w:tcW w:w="556" w:type="pct"/>
            <w:tcBorders>
              <w:bottom w:val="single" w:sz="4" w:space="0" w:color="002060"/>
            </w:tcBorders>
          </w:tcPr>
          <w:p w14:paraId="3CB51FA5"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54,7</w:t>
            </w:r>
          </w:p>
        </w:tc>
        <w:tc>
          <w:tcPr>
            <w:tcW w:w="556" w:type="pct"/>
            <w:tcBorders>
              <w:bottom w:val="single" w:sz="4" w:space="0" w:color="002060"/>
            </w:tcBorders>
          </w:tcPr>
          <w:p w14:paraId="0B8BD583"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-13,3</w:t>
            </w:r>
          </w:p>
        </w:tc>
        <w:tc>
          <w:tcPr>
            <w:tcW w:w="556" w:type="pct"/>
            <w:tcBorders>
              <w:bottom w:val="single" w:sz="4" w:space="0" w:color="002060"/>
            </w:tcBorders>
          </w:tcPr>
          <w:p w14:paraId="0E8AAA88"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-9,1</w:t>
            </w:r>
          </w:p>
        </w:tc>
        <w:tc>
          <w:tcPr>
            <w:tcW w:w="557" w:type="pct"/>
            <w:tcBorders>
              <w:bottom w:val="single" w:sz="4" w:space="0" w:color="002060"/>
            </w:tcBorders>
          </w:tcPr>
          <w:p w14:paraId="78BCCFC3" w14:textId="77777777" w:rsidR="00EB41E3" w:rsidRPr="00DE058F" w:rsidRDefault="00EB41E3" w:rsidP="008527D6">
            <w:pPr>
              <w:jc w:val="center"/>
              <w:rPr>
                <w:rFonts w:cstheme="minorHAnsi"/>
                <w:color w:val="002060"/>
                <w:sz w:val="18"/>
                <w:lang w:val="sr-Cyrl-CS"/>
              </w:rPr>
            </w:pPr>
            <w:r w:rsidRPr="00DE058F">
              <w:rPr>
                <w:rFonts w:cstheme="minorHAnsi"/>
                <w:color w:val="002060"/>
                <w:sz w:val="18"/>
                <w:lang w:val="sr-Cyrl-CS"/>
              </w:rPr>
              <w:t>-6,7</w:t>
            </w:r>
          </w:p>
        </w:tc>
      </w:tr>
      <w:tr w:rsidR="008E6687" w:rsidRPr="00DE058F" w14:paraId="22CE08EA" w14:textId="77777777" w:rsidTr="008E6687">
        <w:trPr>
          <w:trHeight w:val="159"/>
        </w:trPr>
        <w:tc>
          <w:tcPr>
            <w:tcW w:w="5000" w:type="pct"/>
            <w:gridSpan w:val="6"/>
            <w:tcBorders>
              <w:top w:val="single" w:sz="4" w:space="0" w:color="002060"/>
            </w:tcBorders>
          </w:tcPr>
          <w:p w14:paraId="34B51AB3" w14:textId="1BA1E718" w:rsidR="008E6687" w:rsidRPr="00DE058F" w:rsidRDefault="008E6687" w:rsidP="008527D6">
            <w:pPr>
              <w:rPr>
                <w:rFonts w:cstheme="minorHAnsi"/>
                <w:bCs/>
                <w:sz w:val="16"/>
                <w:szCs w:val="72"/>
                <w:lang w:val="sr-Cyrl-CS"/>
              </w:rPr>
            </w:pPr>
            <w:r w:rsidRPr="00DE058F">
              <w:rPr>
                <w:rFonts w:cstheme="minorHAnsi"/>
                <w:bCs/>
                <w:sz w:val="16"/>
                <w:szCs w:val="72"/>
                <w:lang w:val="sr-Cyrl-CS"/>
              </w:rPr>
              <w:t xml:space="preserve">Извор: ММФ, </w:t>
            </w:r>
            <w:r w:rsidRPr="00DE058F">
              <w:rPr>
                <w:rFonts w:cstheme="minorHAnsi"/>
                <w:bCs/>
                <w:i/>
                <w:sz w:val="16"/>
                <w:szCs w:val="72"/>
                <w:lang w:val="sr-Cyrl-CS"/>
              </w:rPr>
              <w:t>World Economic Outlook</w:t>
            </w:r>
            <w:r w:rsidRPr="00DE058F">
              <w:rPr>
                <w:rFonts w:cstheme="minorHAnsi"/>
                <w:bCs/>
                <w:sz w:val="16"/>
                <w:szCs w:val="72"/>
                <w:lang w:val="sr-Cyrl-CS"/>
              </w:rPr>
              <w:t>, април 2022.</w:t>
            </w:r>
          </w:p>
        </w:tc>
      </w:tr>
      <w:tr w:rsidR="002A5107" w:rsidRPr="00DE058F" w14:paraId="0BE4E8B7" w14:textId="77777777" w:rsidTr="002A5107">
        <w:trPr>
          <w:trHeight w:val="535"/>
        </w:trPr>
        <w:tc>
          <w:tcPr>
            <w:tcW w:w="5000" w:type="pct"/>
            <w:gridSpan w:val="6"/>
          </w:tcPr>
          <w:p w14:paraId="7BDA5081" w14:textId="77777777" w:rsidR="002A5107" w:rsidRPr="00DE058F" w:rsidRDefault="002A5107" w:rsidP="00CE729E">
            <w:pPr>
              <w:rPr>
                <w:rFonts w:cstheme="minorHAnsi"/>
                <w:bCs/>
                <w:sz w:val="16"/>
                <w:szCs w:val="72"/>
                <w:lang w:val="sr-Cyrl-CS"/>
              </w:rPr>
            </w:pPr>
            <w:r w:rsidRPr="00DE058F">
              <w:rPr>
                <w:rFonts w:cstheme="minorHAnsi"/>
                <w:bCs/>
                <w:sz w:val="16"/>
                <w:szCs w:val="72"/>
                <w:vertAlign w:val="superscript"/>
                <w:lang w:val="sr-Cyrl-CS"/>
              </w:rPr>
              <w:t>1</w:t>
            </w:r>
            <w:r w:rsidRPr="00DE058F">
              <w:rPr>
                <w:rFonts w:cstheme="minorHAnsi"/>
                <w:bCs/>
                <w:sz w:val="16"/>
                <w:szCs w:val="72"/>
                <w:lang w:val="sr-Cyrl-CS"/>
              </w:rPr>
              <w:t xml:space="preserve"> Светски БДП израчунат је према паритету куповне моћи.</w:t>
            </w:r>
          </w:p>
          <w:p w14:paraId="014F70AF" w14:textId="77777777" w:rsidR="002A5107" w:rsidRPr="00DE058F" w:rsidRDefault="002A5107" w:rsidP="00CE729E">
            <w:pPr>
              <w:rPr>
                <w:rFonts w:cstheme="minorHAnsi"/>
                <w:bCs/>
                <w:sz w:val="16"/>
                <w:szCs w:val="72"/>
                <w:lang w:val="sr-Cyrl-CS"/>
              </w:rPr>
            </w:pPr>
            <w:r w:rsidRPr="00DE058F">
              <w:rPr>
                <w:rFonts w:cstheme="minorHAnsi"/>
                <w:bCs/>
                <w:sz w:val="16"/>
                <w:szCs w:val="72"/>
                <w:vertAlign w:val="superscript"/>
                <w:lang w:val="sr-Cyrl-CS"/>
              </w:rPr>
              <w:t>2</w:t>
            </w:r>
            <w:r w:rsidRPr="00DE058F">
              <w:rPr>
                <w:rFonts w:cstheme="minorHAnsi"/>
                <w:bCs/>
                <w:sz w:val="16"/>
                <w:szCs w:val="72"/>
                <w:lang w:val="sr-Cyrl-CS"/>
              </w:rPr>
              <w:t xml:space="preserve"> Цена житарица добијена као пондерисани просек цена пшенице, кукуруза, соје, пиринча и јечма.</w:t>
            </w:r>
          </w:p>
          <w:p w14:paraId="5FA29AF3" w14:textId="77777777" w:rsidR="002A5107" w:rsidRPr="00DE058F" w:rsidRDefault="002A5107" w:rsidP="00CE729E">
            <w:pPr>
              <w:rPr>
                <w:rFonts w:cstheme="minorHAnsi"/>
                <w:bCs/>
                <w:sz w:val="16"/>
                <w:szCs w:val="72"/>
                <w:lang w:val="sr-Cyrl-CS"/>
              </w:rPr>
            </w:pPr>
            <w:r w:rsidRPr="00DE058F">
              <w:rPr>
                <w:rFonts w:cstheme="minorHAnsi"/>
                <w:bCs/>
                <w:sz w:val="16"/>
                <w:szCs w:val="72"/>
                <w:vertAlign w:val="superscript"/>
                <w:lang w:val="sr-Cyrl-CS"/>
              </w:rPr>
              <w:t>3</w:t>
            </w:r>
            <w:r w:rsidRPr="00DE058F">
              <w:rPr>
                <w:rFonts w:cstheme="minorHAnsi"/>
                <w:bCs/>
                <w:sz w:val="16"/>
                <w:szCs w:val="72"/>
                <w:lang w:val="sr-Cyrl-CS"/>
              </w:rPr>
              <w:t xml:space="preserve"> Цена метала добијена као пондерисани просек цена бакра, алуминијума, руде гвожђа, калаја, никла, цинка, олова и уранијума.</w:t>
            </w:r>
          </w:p>
          <w:p w14:paraId="70B5DCCF" w14:textId="7C1F5103" w:rsidR="002A5107" w:rsidRPr="00DE058F" w:rsidRDefault="002A5107" w:rsidP="00CE729E">
            <w:pPr>
              <w:rPr>
                <w:rFonts w:cstheme="minorHAnsi"/>
                <w:bCs/>
                <w:sz w:val="16"/>
                <w:szCs w:val="72"/>
                <w:vertAlign w:val="superscript"/>
                <w:lang w:val="sr-Cyrl-CS"/>
              </w:rPr>
            </w:pPr>
            <w:r w:rsidRPr="00DE058F">
              <w:rPr>
                <w:rFonts w:cstheme="minorHAnsi"/>
                <w:bCs/>
                <w:sz w:val="16"/>
                <w:szCs w:val="72"/>
                <w:vertAlign w:val="superscript"/>
                <w:lang w:val="sr-Cyrl-CS"/>
              </w:rPr>
              <w:t>4</w:t>
            </w:r>
            <w:r w:rsidRPr="00DE058F">
              <w:rPr>
                <w:rFonts w:cstheme="minorHAnsi"/>
                <w:bCs/>
                <w:sz w:val="16"/>
                <w:szCs w:val="72"/>
                <w:lang w:val="sr-Cyrl-CS"/>
              </w:rPr>
              <w:t xml:space="preserve"> Цена руде гвожђа (садржај гвожђа од 62%) за увоз у Кини, лука Тиан Јан, у доларима по метричкој тони.</w:t>
            </w:r>
          </w:p>
        </w:tc>
      </w:tr>
    </w:tbl>
    <w:p w14:paraId="67C05D2A" w14:textId="77777777" w:rsidR="00EB41E3" w:rsidRPr="00DE058F" w:rsidRDefault="00EB41E3" w:rsidP="00CE729E">
      <w:pPr>
        <w:rPr>
          <w:rFonts w:cstheme="minorHAnsi"/>
          <w:bCs/>
          <w:szCs w:val="72"/>
          <w:lang w:val="sr-Cyrl-CS"/>
        </w:rPr>
        <w:sectPr w:rsidR="00EB41E3" w:rsidRPr="00DE058F" w:rsidSect="008527D6">
          <w:type w:val="continuous"/>
          <w:pgSz w:w="12240" w:h="15840"/>
          <w:pgMar w:top="1440" w:right="1440" w:bottom="1440" w:left="1440" w:header="708" w:footer="708" w:gutter="0"/>
          <w:cols w:space="708"/>
          <w:docGrid w:linePitch="360"/>
        </w:sectPr>
      </w:pPr>
    </w:p>
    <w:p w14:paraId="59C3064C" w14:textId="7CC46976" w:rsidR="00EB41E3" w:rsidRPr="00DE058F" w:rsidRDefault="00EB41E3" w:rsidP="00CE729E">
      <w:pPr>
        <w:rPr>
          <w:rFonts w:cstheme="minorHAnsi"/>
          <w:bCs/>
          <w:szCs w:val="72"/>
          <w:lang w:val="sr-Cyrl-CS"/>
        </w:rPr>
        <w:sectPr w:rsidR="00EB41E3" w:rsidRPr="00DE058F" w:rsidSect="00CE729E">
          <w:type w:val="continuous"/>
          <w:pgSz w:w="12240" w:h="15840"/>
          <w:pgMar w:top="1440" w:right="1440" w:bottom="1440" w:left="1440" w:header="708" w:footer="708" w:gutter="0"/>
          <w:cols w:num="2" w:space="708"/>
          <w:docGrid w:linePitch="360"/>
        </w:sectPr>
      </w:pPr>
      <w:r w:rsidRPr="00DE058F">
        <w:rPr>
          <w:rFonts w:cstheme="minorHAnsi"/>
          <w:bCs/>
          <w:szCs w:val="72"/>
          <w:lang w:val="sr-Cyrl-CS"/>
        </w:rPr>
        <w:t>Према априлским проценама ММФ, раст глобалне економије у 2022. години процењује се на 3,</w:t>
      </w:r>
      <w:r w:rsidR="00A224F8" w:rsidRPr="00DE058F">
        <w:rPr>
          <w:rFonts w:cstheme="minorHAnsi"/>
          <w:bCs/>
          <w:szCs w:val="72"/>
          <w:lang w:val="sr-Cyrl-CS"/>
        </w:rPr>
        <w:t>6%, што је ревизија наниже за 0,</w:t>
      </w:r>
      <w:r w:rsidRPr="00DE058F">
        <w:rPr>
          <w:rFonts w:cstheme="minorHAnsi"/>
          <w:bCs/>
          <w:szCs w:val="72"/>
          <w:lang w:val="sr-Cyrl-CS"/>
        </w:rPr>
        <w:t xml:space="preserve">8 п.п. у односу на процену из јануара. Пројекције раста за 2023. годину која такође износи 3,6% остала је готово непромењена (смањење за 0,2 п.п.), одражавајући очекивања брзог завршетка сукоба у Украјини и несметаног извоза енергената из Русије. Раст групе развијених земаља за 2022. годину ревидиран је наниже услед повећања цена енергената, поремећаја у снабдевању, што је довело до застоја производње у еврозони, и смањеној домаћој тражњи у Јапану. Иако су економске везе између САД и Русије ограничене, очекује се спорији раст привреде САД због бржег повлачења монетарне подршке домаћој економији, али и смањења очекиваног раста код земаља главних економских партнера. Пројектовани раст земаља у успону за 2022. годину такође је коригован наниже због утицаја високих цена енергената на домаћу </w:t>
      </w:r>
      <w:r w:rsidRPr="00DE058F">
        <w:rPr>
          <w:rFonts w:cstheme="minorHAnsi"/>
          <w:bCs/>
          <w:szCs w:val="72"/>
          <w:lang w:val="sr-Cyrl-CS"/>
        </w:rPr>
        <w:t>тражњу и поремећаја у трговини, али и због избегличке кризе у земљама Европе. Трговинске и финансијске санкције, искључивање из банкарских система и ембарго на трговину гасом и нафтом, негативно ће утицати на економију Русије. Појава нових жаришта вируса и закључавање главних економских центара попут Шангаја, свакако ће се одразити неповољно по глобалне ланце снабдевања, а на успоравање Кине додатно ће утицати и негативна дешавања на тржишту некретнина. На регион Блиског Истока и Северне Африке значајан утицај ће имати растуће цене хране, али и пооштравања услова на финансијском тржишту и смањење тражње у сектору туризма, док ће позитивно утицати раст цена нафте за земље извознице енергената. Иако је регион Латинске Америке донекле изолован од сукоба у Европи, земље попут Бразила и Мексика захватиће негативни ефекти растуће инфлације и заоштравања монетарне политике.</w:t>
      </w:r>
    </w:p>
    <w:p w14:paraId="29D57CFC" w14:textId="77777777" w:rsidR="00EB41E3" w:rsidRPr="00DE058F" w:rsidRDefault="00EB41E3" w:rsidP="00CE729E">
      <w:pPr>
        <w:rPr>
          <w:rFonts w:cstheme="minorHAnsi"/>
          <w:bCs/>
          <w:szCs w:val="72"/>
          <w:lang w:val="sr-Cyrl-CS"/>
        </w:rPr>
      </w:pPr>
    </w:p>
    <w:p w14:paraId="7E288E2F" w14:textId="77777777" w:rsidR="00EB41E3" w:rsidRPr="00DE058F" w:rsidRDefault="00EB41E3" w:rsidP="00CE729E">
      <w:pPr>
        <w:pStyle w:val="Caption"/>
        <w:keepNext/>
        <w:rPr>
          <w:rFonts w:cstheme="minorHAnsi"/>
          <w:b w:val="0"/>
          <w:i/>
          <w:iCs w:val="0"/>
          <w:szCs w:val="22"/>
          <w:lang w:val="sr-Cyrl-CS"/>
        </w:rPr>
      </w:pPr>
      <w:r w:rsidRPr="00DE058F">
        <w:rPr>
          <w:rFonts w:cstheme="minorHAnsi"/>
          <w:iCs w:val="0"/>
          <w:szCs w:val="22"/>
          <w:lang w:val="sr-Cyrl-CS"/>
        </w:rPr>
        <w:lastRenderedPageBreak/>
        <w:t>Глобални економски раст, п.п.</w:t>
      </w:r>
    </w:p>
    <w:p w14:paraId="74E39B94" w14:textId="77777777" w:rsidR="00EB41E3" w:rsidRPr="00DE058F" w:rsidRDefault="00EB41E3" w:rsidP="008527D6">
      <w:pPr>
        <w:spacing w:after="60"/>
        <w:rPr>
          <w:rFonts w:cstheme="minorHAnsi"/>
          <w:bCs/>
          <w:sz w:val="16"/>
          <w:szCs w:val="72"/>
          <w:lang w:val="sr-Cyrl-CS"/>
        </w:rPr>
      </w:pPr>
      <w:r w:rsidRPr="00DE058F">
        <w:rPr>
          <w:noProof/>
        </w:rPr>
        <w:drawing>
          <wp:inline distT="0" distB="0" distL="0" distR="0" wp14:anchorId="4F98FEE5" wp14:editId="3B7788DC">
            <wp:extent cx="2743200" cy="2394000"/>
            <wp:effectExtent l="0" t="0" r="0" b="6350"/>
            <wp:docPr id="1" name="Chart 1">
              <a:extLst xmlns:a="http://schemas.openxmlformats.org/drawingml/2006/main">
                <a:ext uri="{FF2B5EF4-FFF2-40B4-BE49-F238E27FC236}">
                  <a16:creationId xmlns:a16="http://schemas.microsoft.com/office/drawing/2014/main" id="{00000000-0008-0000-06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AD47C5E" w14:textId="77777777" w:rsidR="00EB41E3" w:rsidRPr="00DE058F" w:rsidRDefault="00EB41E3" w:rsidP="008527D6">
      <w:pPr>
        <w:rPr>
          <w:rFonts w:cstheme="minorHAnsi"/>
          <w:bCs/>
          <w:sz w:val="16"/>
          <w:szCs w:val="72"/>
          <w:lang w:val="sr-Cyrl-CS"/>
        </w:rPr>
      </w:pPr>
      <w:r w:rsidRPr="00DE058F">
        <w:rPr>
          <w:rFonts w:cstheme="minorHAnsi"/>
          <w:bCs/>
          <w:sz w:val="16"/>
          <w:szCs w:val="72"/>
          <w:lang w:val="sr-Cyrl-CS"/>
        </w:rPr>
        <w:t xml:space="preserve">Извор: ММФ, </w:t>
      </w:r>
      <w:r w:rsidRPr="00DE058F">
        <w:rPr>
          <w:rFonts w:cstheme="minorHAnsi"/>
          <w:bCs/>
          <w:i/>
          <w:sz w:val="16"/>
          <w:szCs w:val="72"/>
          <w:lang w:val="sr-Cyrl-CS"/>
        </w:rPr>
        <w:t>World Economic Outlook</w:t>
      </w:r>
      <w:r w:rsidRPr="00DE058F">
        <w:rPr>
          <w:rFonts w:cstheme="minorHAnsi"/>
          <w:bCs/>
          <w:sz w:val="16"/>
          <w:szCs w:val="72"/>
          <w:lang w:val="sr-Cyrl-CS"/>
        </w:rPr>
        <w:t>, април 2022.</w:t>
      </w:r>
    </w:p>
    <w:p w14:paraId="24B408E1" w14:textId="3834EDD7" w:rsidR="00EB41E3" w:rsidRPr="00DE058F" w:rsidRDefault="00EB41E3" w:rsidP="008527D6">
      <w:pPr>
        <w:rPr>
          <w:rFonts w:cstheme="minorHAnsi"/>
          <w:bCs/>
          <w:szCs w:val="72"/>
          <w:lang w:val="sr-Cyrl-CS"/>
        </w:rPr>
      </w:pPr>
      <w:r w:rsidRPr="00DE058F">
        <w:rPr>
          <w:rFonts w:cstheme="minorHAnsi"/>
          <w:bCs/>
          <w:szCs w:val="72"/>
          <w:lang w:val="sr-Cyrl-CS"/>
        </w:rPr>
        <w:t xml:space="preserve">Геополитичка криза је краткорочне инфлаторне притиске учинила </w:t>
      </w:r>
      <w:r w:rsidR="000966AF" w:rsidRPr="00DE058F">
        <w:rPr>
          <w:rFonts w:cstheme="minorHAnsi"/>
          <w:bCs/>
          <w:szCs w:val="72"/>
          <w:lang w:val="sr-Cyrl-CS"/>
        </w:rPr>
        <w:t xml:space="preserve">трајнијим </w:t>
      </w:r>
      <w:r w:rsidRPr="00DE058F">
        <w:rPr>
          <w:rFonts w:cstheme="minorHAnsi"/>
          <w:bCs/>
          <w:szCs w:val="72"/>
          <w:lang w:val="sr-Cyrl-CS"/>
        </w:rPr>
        <w:t>уз велику вероватноћу њиховог дугорочног присуства у глобалној економији. ММФ предвиђа даљи раст цена енергената и цена хране током 2022. године. У развијеним економијама инфлација ће се повећати са 3,1% у 202</w:t>
      </w:r>
      <w:r w:rsidR="00331854" w:rsidRPr="00DE058F">
        <w:rPr>
          <w:rFonts w:cstheme="minorHAnsi"/>
          <w:bCs/>
          <w:szCs w:val="72"/>
          <w:lang w:val="sr-Cyrl-CS"/>
        </w:rPr>
        <w:t>1</w:t>
      </w:r>
      <w:r w:rsidRPr="00DE058F">
        <w:rPr>
          <w:rFonts w:cstheme="minorHAnsi"/>
          <w:bCs/>
          <w:szCs w:val="72"/>
          <w:lang w:val="sr-Cyrl-CS"/>
        </w:rPr>
        <w:t>. години на 5,7% у 202</w:t>
      </w:r>
      <w:r w:rsidR="00331854" w:rsidRPr="00DE058F">
        <w:rPr>
          <w:rFonts w:cstheme="minorHAnsi"/>
          <w:bCs/>
          <w:szCs w:val="72"/>
          <w:lang w:val="sr-Cyrl-CS"/>
        </w:rPr>
        <w:t>2</w:t>
      </w:r>
      <w:r w:rsidRPr="00DE058F">
        <w:rPr>
          <w:rFonts w:cstheme="minorHAnsi"/>
          <w:bCs/>
          <w:szCs w:val="72"/>
          <w:lang w:val="sr-Cyrl-CS"/>
        </w:rPr>
        <w:t>. години, након чега се предвиђа постепено смањење стопе раста у средњорочном периоду. Земље у успону ће, након раста цена од 8,7% у 2022. години, забележити успоравање инфлације у наредним годинама. Према априлским пројекцијама ММФ, очекује се да ће цена нафте у 2022. години износити 106,8 $/барел, што је повећање од 54,7% у односу на 2021. годину, након чега се очекује постепени пад.</w:t>
      </w:r>
    </w:p>
    <w:p w14:paraId="29C55457" w14:textId="77777777" w:rsidR="00EB41E3" w:rsidRPr="00DE058F" w:rsidRDefault="00EB41E3" w:rsidP="00CE729E">
      <w:pPr>
        <w:pStyle w:val="Caption"/>
        <w:keepNext/>
        <w:rPr>
          <w:rFonts w:cstheme="minorHAnsi"/>
          <w:b w:val="0"/>
          <w:i/>
          <w:iCs w:val="0"/>
          <w:szCs w:val="22"/>
          <w:lang w:val="sr-Cyrl-CS"/>
        </w:rPr>
      </w:pPr>
      <w:r w:rsidRPr="00DE058F">
        <w:rPr>
          <w:rFonts w:cstheme="minorHAnsi"/>
          <w:iCs w:val="0"/>
          <w:szCs w:val="22"/>
          <w:lang w:val="sr-Cyrl-CS"/>
        </w:rPr>
        <w:t>Пројекција кретања цене нафте, УСД по барелу</w:t>
      </w:r>
    </w:p>
    <w:p w14:paraId="124154B7" w14:textId="77777777" w:rsidR="00EB41E3" w:rsidRPr="00DE058F" w:rsidRDefault="00EB41E3" w:rsidP="008527D6">
      <w:pPr>
        <w:spacing w:after="120"/>
        <w:rPr>
          <w:rFonts w:cstheme="minorHAnsi"/>
          <w:bCs/>
          <w:sz w:val="16"/>
          <w:szCs w:val="72"/>
          <w:lang w:val="sr-Cyrl-CS"/>
        </w:rPr>
      </w:pPr>
      <w:r w:rsidRPr="00DE058F">
        <w:rPr>
          <w:noProof/>
        </w:rPr>
        <w:drawing>
          <wp:inline distT="0" distB="0" distL="0" distR="0" wp14:anchorId="73CA2873" wp14:editId="2D7EBD63">
            <wp:extent cx="2870976" cy="1424763"/>
            <wp:effectExtent l="0" t="0" r="5715"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87001" cy="1432716"/>
                    </a:xfrm>
                    <a:prstGeom prst="rect">
                      <a:avLst/>
                    </a:prstGeom>
                  </pic:spPr>
                </pic:pic>
              </a:graphicData>
            </a:graphic>
          </wp:inline>
        </w:drawing>
      </w:r>
    </w:p>
    <w:p w14:paraId="6F5BB26A" w14:textId="77777777" w:rsidR="00EB41E3" w:rsidRPr="00DE058F" w:rsidRDefault="00EB41E3" w:rsidP="00CE729E">
      <w:pPr>
        <w:rPr>
          <w:rFonts w:cstheme="minorHAnsi"/>
          <w:szCs w:val="72"/>
          <w:lang w:val="sr-Cyrl-CS"/>
        </w:rPr>
      </w:pPr>
      <w:r w:rsidRPr="00DE058F">
        <w:rPr>
          <w:rFonts w:cstheme="minorHAnsi"/>
          <w:bCs/>
          <w:sz w:val="16"/>
          <w:szCs w:val="72"/>
          <w:lang w:val="sr-Cyrl-CS"/>
        </w:rPr>
        <w:t xml:space="preserve">Извор: ММФ, </w:t>
      </w:r>
      <w:r w:rsidRPr="00DE058F">
        <w:rPr>
          <w:rFonts w:cstheme="minorHAnsi"/>
          <w:bCs/>
          <w:i/>
          <w:sz w:val="16"/>
          <w:szCs w:val="72"/>
          <w:lang w:val="sr-Cyrl-CS"/>
        </w:rPr>
        <w:t>World Economic Outlook</w:t>
      </w:r>
      <w:r w:rsidRPr="00DE058F">
        <w:rPr>
          <w:rFonts w:cstheme="minorHAnsi"/>
          <w:bCs/>
          <w:sz w:val="16"/>
          <w:szCs w:val="72"/>
          <w:lang w:val="sr-Cyrl-CS"/>
        </w:rPr>
        <w:t>, април 2022.</w:t>
      </w:r>
    </w:p>
    <w:p w14:paraId="2BD886B8" w14:textId="77777777" w:rsidR="00EB41E3" w:rsidRPr="00DE058F" w:rsidRDefault="00EB41E3" w:rsidP="00CE729E">
      <w:pPr>
        <w:rPr>
          <w:rFonts w:cstheme="minorHAnsi"/>
          <w:bCs/>
          <w:szCs w:val="72"/>
          <w:lang w:val="sr-Cyrl-CS"/>
        </w:rPr>
      </w:pPr>
      <w:r w:rsidRPr="00DE058F">
        <w:rPr>
          <w:rFonts w:cstheme="minorHAnsi"/>
          <w:bCs/>
          <w:szCs w:val="72"/>
          <w:lang w:val="sr-Cyrl-CS"/>
        </w:rPr>
        <w:t xml:space="preserve">Пројектује се да ће цене основних метала забележити раст од 9,9% у 2022. години, док се за </w:t>
      </w:r>
      <w:r w:rsidRPr="00DE058F">
        <w:rPr>
          <w:rFonts w:cstheme="minorHAnsi"/>
          <w:bCs/>
          <w:szCs w:val="72"/>
          <w:lang w:val="sr-Cyrl-CS"/>
        </w:rPr>
        <w:t>наредни период предвиђа стабилизација и умерен пад цена. Након наглог скока цене гвожђа од скоро 50</w:t>
      </w:r>
      <w:r w:rsidRPr="00DE058F">
        <w:rPr>
          <w:rFonts w:cstheme="minorHAnsi"/>
          <w:bCs/>
          <w:color w:val="auto"/>
          <w:szCs w:val="72"/>
          <w:lang w:val="sr-Cyrl-CS"/>
        </w:rPr>
        <w:t>%</w:t>
      </w:r>
      <w:r w:rsidRPr="00DE058F">
        <w:rPr>
          <w:rFonts w:cstheme="minorHAnsi"/>
          <w:bCs/>
          <w:szCs w:val="72"/>
          <w:lang w:val="sr-Cyrl-CS"/>
        </w:rPr>
        <w:t xml:space="preserve"> у 2021. години, очекује се пад од 7,4% у 2022. години, уз благи раст следеће године и стагнацију у средњем року. За цене житарица предвиђа се снажан раст у 2022. години од 31,5%, а потом тренд опадања и стабилизације. Каматна стопа на тромесечне државне обвезнице у еврозони износиће -0,7% и 0,0% у 2022. и 2023. години, док ће стопа на тромесечне државне обвезнице у САД износити 0,9% и 2,4%, респективно за исти период.</w:t>
      </w:r>
    </w:p>
    <w:p w14:paraId="2CB4FE36" w14:textId="5BABDE05" w:rsidR="00EB41E3" w:rsidRPr="00DE058F" w:rsidRDefault="00EB41E3" w:rsidP="00CE729E">
      <w:pPr>
        <w:pStyle w:val="Caption"/>
        <w:keepNext/>
        <w:rPr>
          <w:rFonts w:cstheme="minorHAnsi"/>
          <w:b w:val="0"/>
          <w:i/>
          <w:iCs w:val="0"/>
          <w:szCs w:val="22"/>
          <w:lang w:val="sr-Cyrl-CS"/>
        </w:rPr>
      </w:pPr>
      <w:r w:rsidRPr="00DE058F">
        <w:rPr>
          <w:rFonts w:cstheme="minorHAnsi"/>
          <w:iCs w:val="0"/>
          <w:szCs w:val="22"/>
          <w:lang w:val="sr-Cyrl-CS"/>
        </w:rPr>
        <w:t>Кретање цена, индекси, 201</w:t>
      </w:r>
      <w:r w:rsidR="00377BFC" w:rsidRPr="00DE058F">
        <w:rPr>
          <w:rFonts w:cstheme="minorHAnsi"/>
          <w:iCs w:val="0"/>
          <w:szCs w:val="22"/>
          <w:lang w:val="sr-Cyrl-CS"/>
        </w:rPr>
        <w:t>6</w:t>
      </w:r>
      <w:r w:rsidRPr="00DE058F">
        <w:rPr>
          <w:rFonts w:cstheme="minorHAnsi"/>
          <w:iCs w:val="0"/>
          <w:szCs w:val="22"/>
          <w:lang w:val="sr-Cyrl-CS"/>
        </w:rPr>
        <w:t>=100</w:t>
      </w:r>
    </w:p>
    <w:p w14:paraId="36892E64" w14:textId="77777777" w:rsidR="00EB41E3" w:rsidRPr="00DE058F" w:rsidRDefault="00EB41E3" w:rsidP="008527D6">
      <w:pPr>
        <w:spacing w:after="60"/>
        <w:rPr>
          <w:rFonts w:cstheme="minorHAnsi"/>
          <w:bCs/>
          <w:sz w:val="16"/>
          <w:szCs w:val="72"/>
          <w:lang w:val="sr-Cyrl-CS"/>
        </w:rPr>
      </w:pPr>
      <w:r w:rsidRPr="00DE058F">
        <w:rPr>
          <w:noProof/>
        </w:rPr>
        <w:drawing>
          <wp:inline distT="0" distB="0" distL="0" distR="0" wp14:anchorId="7234514F" wp14:editId="5C203570">
            <wp:extent cx="2743200" cy="1998000"/>
            <wp:effectExtent l="0" t="0" r="0" b="2540"/>
            <wp:docPr id="4" name="Chart 4">
              <a:extLst xmlns:a="http://schemas.openxmlformats.org/drawingml/2006/main">
                <a:ext uri="{FF2B5EF4-FFF2-40B4-BE49-F238E27FC236}">
                  <a16:creationId xmlns:a16="http://schemas.microsoft.com/office/drawing/2014/main" id="{00000000-0008-0000-01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7C584D3" w14:textId="77777777" w:rsidR="00EB41E3" w:rsidRPr="00DE058F" w:rsidRDefault="00EB41E3" w:rsidP="00CE729E">
      <w:pPr>
        <w:rPr>
          <w:lang w:val="sr-Cyrl-CS"/>
        </w:rPr>
      </w:pPr>
      <w:r w:rsidRPr="00DE058F">
        <w:rPr>
          <w:rFonts w:cstheme="minorHAnsi"/>
          <w:bCs/>
          <w:sz w:val="16"/>
          <w:szCs w:val="72"/>
          <w:lang w:val="sr-Cyrl-CS"/>
        </w:rPr>
        <w:t xml:space="preserve">Извор: ММФ, </w:t>
      </w:r>
      <w:r w:rsidRPr="00DE058F">
        <w:rPr>
          <w:rFonts w:cstheme="minorHAnsi"/>
          <w:bCs/>
          <w:i/>
          <w:sz w:val="16"/>
          <w:szCs w:val="72"/>
          <w:lang w:val="sr-Cyrl-CS"/>
        </w:rPr>
        <w:t>World Economic Outlook</w:t>
      </w:r>
      <w:r w:rsidRPr="00DE058F">
        <w:rPr>
          <w:rFonts w:cstheme="minorHAnsi"/>
          <w:bCs/>
          <w:sz w:val="16"/>
          <w:szCs w:val="72"/>
          <w:lang w:val="sr-Cyrl-CS"/>
        </w:rPr>
        <w:t>, април 2022.</w:t>
      </w:r>
    </w:p>
    <w:p w14:paraId="7F856BF7" w14:textId="77777777" w:rsidR="00EB41E3" w:rsidRPr="00DE058F" w:rsidRDefault="00EB41E3" w:rsidP="00D520B2">
      <w:pPr>
        <w:pStyle w:val="Caption"/>
        <w:keepNext/>
        <w:spacing w:after="40"/>
        <w:rPr>
          <w:rFonts w:cstheme="minorHAnsi"/>
          <w:b w:val="0"/>
          <w:i/>
          <w:iCs w:val="0"/>
          <w:szCs w:val="22"/>
          <w:lang w:val="sr-Cyrl-CS"/>
        </w:rPr>
      </w:pPr>
      <w:r w:rsidRPr="00DE058F">
        <w:rPr>
          <w:rFonts w:cstheme="minorHAnsi"/>
          <w:iCs w:val="0"/>
          <w:szCs w:val="22"/>
          <w:lang w:val="sr-Cyrl-CS"/>
        </w:rPr>
        <w:t>Пројекција кретања цена, индекси, 2019=100</w:t>
      </w:r>
    </w:p>
    <w:p w14:paraId="3C8BD05A" w14:textId="77777777" w:rsidR="00EB41E3" w:rsidRPr="00DE058F" w:rsidRDefault="00EB41E3" w:rsidP="008527D6">
      <w:pPr>
        <w:spacing w:after="60"/>
        <w:rPr>
          <w:lang w:val="sr-Cyrl-CS"/>
        </w:rPr>
      </w:pPr>
      <w:r w:rsidRPr="00DE058F">
        <w:rPr>
          <w:noProof/>
        </w:rPr>
        <w:drawing>
          <wp:inline distT="0" distB="0" distL="0" distR="0" wp14:anchorId="5AAEFFB3" wp14:editId="06945318">
            <wp:extent cx="2743200" cy="2171700"/>
            <wp:effectExtent l="0" t="0" r="0" b="0"/>
            <wp:docPr id="5" name="Chart 5">
              <a:extLst xmlns:a="http://schemas.openxmlformats.org/drawingml/2006/main">
                <a:ext uri="{FF2B5EF4-FFF2-40B4-BE49-F238E27FC236}">
                  <a16:creationId xmlns:a16="http://schemas.microsoft.com/office/drawing/2014/main" id="{00000000-0008-0000-0200-00001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AC4DCA4" w14:textId="77777777" w:rsidR="00EB41E3" w:rsidRPr="00DE058F" w:rsidRDefault="00EB41E3" w:rsidP="00CE729E">
      <w:pPr>
        <w:rPr>
          <w:rFonts w:cstheme="minorHAnsi"/>
          <w:szCs w:val="72"/>
          <w:lang w:val="sr-Cyrl-CS"/>
        </w:rPr>
      </w:pPr>
      <w:r w:rsidRPr="00DE058F">
        <w:rPr>
          <w:rFonts w:cstheme="minorHAnsi"/>
          <w:bCs/>
          <w:sz w:val="16"/>
          <w:szCs w:val="72"/>
          <w:lang w:val="sr-Cyrl-CS"/>
        </w:rPr>
        <w:t xml:space="preserve">Извор: ММФ, </w:t>
      </w:r>
      <w:r w:rsidRPr="00DE058F">
        <w:rPr>
          <w:rFonts w:cstheme="minorHAnsi"/>
          <w:bCs/>
          <w:i/>
          <w:sz w:val="16"/>
          <w:szCs w:val="72"/>
          <w:lang w:val="sr-Cyrl-CS"/>
        </w:rPr>
        <w:t>World Economic Outlook</w:t>
      </w:r>
      <w:r w:rsidRPr="00DE058F">
        <w:rPr>
          <w:rFonts w:cstheme="minorHAnsi"/>
          <w:bCs/>
          <w:sz w:val="16"/>
          <w:szCs w:val="72"/>
          <w:lang w:val="sr-Cyrl-CS"/>
        </w:rPr>
        <w:t>, април 2022.</w:t>
      </w:r>
    </w:p>
    <w:p w14:paraId="4D517883" w14:textId="5FDE0972" w:rsidR="00EB41E3" w:rsidRPr="00DE058F" w:rsidRDefault="00EB41E3" w:rsidP="00D520B2">
      <w:pPr>
        <w:spacing w:after="120"/>
        <w:rPr>
          <w:rFonts w:cstheme="minorHAnsi"/>
          <w:bCs/>
          <w:szCs w:val="72"/>
          <w:lang w:val="sr-Cyrl-CS"/>
        </w:rPr>
      </w:pPr>
      <w:r w:rsidRPr="00DE058F">
        <w:rPr>
          <w:rFonts w:cstheme="minorHAnsi"/>
          <w:bCs/>
          <w:szCs w:val="72"/>
          <w:lang w:val="sr-Cyrl-CS"/>
        </w:rPr>
        <w:t>Америчке федералне резерве (у даљем тексту</w:t>
      </w:r>
      <w:r w:rsidR="00F76559" w:rsidRPr="00DE058F">
        <w:rPr>
          <w:rFonts w:cstheme="minorHAnsi"/>
          <w:bCs/>
          <w:szCs w:val="72"/>
          <w:lang w:val="sr-Cyrl-CS"/>
        </w:rPr>
        <w:t>:</w:t>
      </w:r>
      <w:r w:rsidRPr="00DE058F">
        <w:rPr>
          <w:rFonts w:cstheme="minorHAnsi"/>
          <w:bCs/>
          <w:szCs w:val="72"/>
          <w:lang w:val="sr-Cyrl-CS"/>
        </w:rPr>
        <w:t xml:space="preserve"> ФЕД) су након мартовског повећања распона за каматну стопу од 25 базних поена (распон од 0,25% до 0,50%) извршиле додатно повећање у мају за 50 базних поена, на распон од 0,75% до 1%. Ово је </w:t>
      </w:r>
      <w:r w:rsidRPr="00DE058F">
        <w:rPr>
          <w:rFonts w:cstheme="minorHAnsi"/>
          <w:bCs/>
          <w:szCs w:val="72"/>
          <w:lang w:val="sr-Cyrl-CS"/>
        </w:rPr>
        <w:lastRenderedPageBreak/>
        <w:t>највеће једновремено пооштравање монетарне политике још од 2000. године, а у складу је са стратегијом монетарне политике ка циљању просечне инфлације од 2% у дугом року, уз индикације да ће током 2022. и 2023. године доћи до више могућих повећања каматне стопе.</w:t>
      </w:r>
    </w:p>
    <w:p w14:paraId="498919DF" w14:textId="77777777" w:rsidR="00EB41E3" w:rsidRPr="00DE058F" w:rsidRDefault="00EB41E3" w:rsidP="00D520B2">
      <w:pPr>
        <w:pStyle w:val="Caption"/>
        <w:keepNext/>
        <w:spacing w:after="40"/>
        <w:rPr>
          <w:rFonts w:cstheme="minorHAnsi"/>
          <w:iCs w:val="0"/>
          <w:spacing w:val="-2"/>
          <w:szCs w:val="22"/>
          <w:lang w:val="sr-Cyrl-CS"/>
        </w:rPr>
      </w:pPr>
      <w:r w:rsidRPr="00DE058F">
        <w:rPr>
          <w:rFonts w:cstheme="minorHAnsi"/>
          <w:iCs w:val="0"/>
          <w:spacing w:val="-2"/>
          <w:szCs w:val="22"/>
          <w:lang w:val="sr-Cyrl-CS"/>
        </w:rPr>
        <w:t>Очекивана кретања референтне каматне стопе, %</w:t>
      </w:r>
    </w:p>
    <w:p w14:paraId="2BB26983" w14:textId="77777777" w:rsidR="00EB41E3" w:rsidRPr="00DE058F" w:rsidRDefault="00EB41E3" w:rsidP="008527D6">
      <w:pPr>
        <w:spacing w:after="60"/>
        <w:jc w:val="center"/>
        <w:rPr>
          <w:lang w:val="sr-Cyrl-CS"/>
        </w:rPr>
      </w:pPr>
      <w:r w:rsidRPr="00DE058F">
        <w:rPr>
          <w:noProof/>
        </w:rPr>
        <w:drawing>
          <wp:inline distT="0" distB="0" distL="0" distR="0" wp14:anchorId="034463C3" wp14:editId="702232FA">
            <wp:extent cx="2376152" cy="2100558"/>
            <wp:effectExtent l="0" t="0" r="571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406988" cy="2127818"/>
                    </a:xfrm>
                    <a:prstGeom prst="rect">
                      <a:avLst/>
                    </a:prstGeom>
                  </pic:spPr>
                </pic:pic>
              </a:graphicData>
            </a:graphic>
          </wp:inline>
        </w:drawing>
      </w:r>
    </w:p>
    <w:p w14:paraId="768696D6" w14:textId="77777777" w:rsidR="00EB41E3" w:rsidRPr="00DE058F" w:rsidRDefault="00EB41E3" w:rsidP="00CE729E">
      <w:pPr>
        <w:rPr>
          <w:rFonts w:cstheme="minorHAnsi"/>
          <w:szCs w:val="72"/>
          <w:lang w:val="sr-Cyrl-CS"/>
        </w:rPr>
      </w:pPr>
      <w:r w:rsidRPr="00DE058F">
        <w:rPr>
          <w:rFonts w:cstheme="minorHAnsi"/>
          <w:bCs/>
          <w:sz w:val="16"/>
          <w:szCs w:val="72"/>
          <w:lang w:val="sr-Cyrl-CS"/>
        </w:rPr>
        <w:t xml:space="preserve">Извор: ММФ, </w:t>
      </w:r>
      <w:r w:rsidRPr="00DE058F">
        <w:rPr>
          <w:rFonts w:cstheme="minorHAnsi"/>
          <w:bCs/>
          <w:i/>
          <w:sz w:val="16"/>
          <w:szCs w:val="72"/>
          <w:lang w:val="sr-Cyrl-CS"/>
        </w:rPr>
        <w:t>World Economic Outlook</w:t>
      </w:r>
      <w:r w:rsidRPr="00DE058F">
        <w:rPr>
          <w:rFonts w:cstheme="minorHAnsi"/>
          <w:bCs/>
          <w:sz w:val="16"/>
          <w:szCs w:val="72"/>
          <w:lang w:val="sr-Cyrl-CS"/>
        </w:rPr>
        <w:t>, април 2022.</w:t>
      </w:r>
    </w:p>
    <w:p w14:paraId="24557E30" w14:textId="71CCD7E8" w:rsidR="00EB41E3" w:rsidRPr="00DE058F" w:rsidRDefault="00EB41E3" w:rsidP="008527D6">
      <w:pPr>
        <w:rPr>
          <w:rFonts w:cstheme="minorHAnsi"/>
          <w:bCs/>
          <w:szCs w:val="72"/>
          <w:lang w:val="sr-Cyrl-CS"/>
        </w:rPr>
      </w:pPr>
      <w:r w:rsidRPr="00DE058F">
        <w:rPr>
          <w:rFonts w:cstheme="minorHAnsi"/>
          <w:bCs/>
          <w:szCs w:val="72"/>
          <w:lang w:val="sr-Cyrl-CS"/>
        </w:rPr>
        <w:t>Ризици пројекција су асиметрични и у великој мери упоредиви са ситуацијом на почетку пандемије, а изгледи за будућа економска кретања у великој мери зависе од комбинације негативних фактора чије је међусобно деловање тешко предвидети.</w:t>
      </w:r>
      <w:r w:rsidRPr="00DE058F">
        <w:rPr>
          <w:lang w:val="sr-Cyrl-CS"/>
        </w:rPr>
        <w:t xml:space="preserve"> </w:t>
      </w:r>
      <w:r w:rsidRPr="00DE058F">
        <w:rPr>
          <w:rFonts w:cstheme="minorHAnsi"/>
          <w:bCs/>
          <w:szCs w:val="72"/>
          <w:lang w:val="sr-Cyrl-CS"/>
        </w:rPr>
        <w:t>Иако би брзо решавање конфликта у Украјини подигло поверење, ублажило притисак на робна тржишта и смањило уска грла у снабдевању, извесно је да ће доћи до даљег успоравања раста. Даља ескалација сукоба у Украјини, поновна појава вируса и потенцијална „закључавања</w:t>
      </w:r>
      <w:r w:rsidR="00B72AEE" w:rsidRPr="00DE058F">
        <w:rPr>
          <w:rFonts w:cstheme="minorHAnsi"/>
          <w:bCs/>
          <w:szCs w:val="72"/>
          <w:lang w:val="sr-Cyrl-CS"/>
        </w:rPr>
        <w:t>”</w:t>
      </w:r>
      <w:r w:rsidRPr="00DE058F">
        <w:rPr>
          <w:rFonts w:cstheme="minorHAnsi"/>
          <w:bCs/>
          <w:szCs w:val="72"/>
          <w:lang w:val="sr-Cyrl-CS"/>
        </w:rPr>
        <w:t>, успоравање економске активности Кине, инфлаторни притисци, пооштравање монетарне политике, геополитичке тензије</w:t>
      </w:r>
      <w:r w:rsidR="00795506" w:rsidRPr="00DE058F">
        <w:rPr>
          <w:rFonts w:cstheme="minorHAnsi"/>
          <w:bCs/>
          <w:szCs w:val="72"/>
          <w:lang w:val="sr-Cyrl-CS"/>
        </w:rPr>
        <w:t>,</w:t>
      </w:r>
      <w:r w:rsidRPr="00DE058F">
        <w:rPr>
          <w:rFonts w:cstheme="minorHAnsi"/>
          <w:bCs/>
          <w:szCs w:val="72"/>
          <w:lang w:val="sr-Cyrl-CS"/>
        </w:rPr>
        <w:t xml:space="preserve"> као и учестале временске, климатске и природне непогоде, неки су од присутних ризика</w:t>
      </w:r>
      <w:r w:rsidR="00B93D6A" w:rsidRPr="00DE058F">
        <w:rPr>
          <w:rFonts w:cstheme="minorHAnsi"/>
          <w:bCs/>
          <w:szCs w:val="72"/>
          <w:lang w:val="sr-Cyrl-CS"/>
        </w:rPr>
        <w:t xml:space="preserve"> по глобални раст и стабилност.</w:t>
      </w:r>
    </w:p>
    <w:p w14:paraId="7ED6C762" w14:textId="77777777" w:rsidR="00EB41E3" w:rsidRPr="00DE058F" w:rsidRDefault="00EB41E3" w:rsidP="00CE729E">
      <w:pPr>
        <w:rPr>
          <w:b/>
          <w:color w:val="2F5496" w:themeColor="accent1" w:themeShade="BF"/>
          <w:lang w:val="sr-Cyrl-CS"/>
        </w:rPr>
      </w:pPr>
      <w:r w:rsidRPr="00DE058F">
        <w:rPr>
          <w:b/>
          <w:color w:val="2F5496" w:themeColor="accent1" w:themeShade="BF"/>
          <w:lang w:val="sr-Cyrl-CS"/>
        </w:rPr>
        <w:t>Макроекономске процене ЕЦБ за подручје еврозоне</w:t>
      </w:r>
    </w:p>
    <w:p w14:paraId="10ABF38A" w14:textId="1A50605D" w:rsidR="00EB41E3" w:rsidRPr="00DE058F" w:rsidRDefault="00EB41E3" w:rsidP="008527D6">
      <w:pPr>
        <w:rPr>
          <w:rFonts w:cstheme="minorHAnsi"/>
          <w:bCs/>
          <w:szCs w:val="72"/>
          <w:lang w:val="sr-Cyrl-CS"/>
        </w:rPr>
      </w:pPr>
      <w:r w:rsidRPr="00DE058F">
        <w:rPr>
          <w:rFonts w:cstheme="minorHAnsi"/>
          <w:bCs/>
          <w:szCs w:val="72"/>
          <w:lang w:val="sr-Cyrl-CS"/>
        </w:rPr>
        <w:t xml:space="preserve">Према мартовским проценама Европске централне банке, неколико фактора ће утицаће на спорији раст привредне активности ЕУ у наредном периоду. Сукоб у Украјини утиче на пад пословног и поверења потрошача, док растућа инфлација смањује куповну моћ становништва. Нове рестриктивне мере у Азији појачавају проблеме у </w:t>
      </w:r>
      <w:r w:rsidRPr="00DE058F">
        <w:rPr>
          <w:rFonts w:cstheme="minorHAnsi"/>
          <w:bCs/>
          <w:szCs w:val="72"/>
          <w:lang w:val="sr-Cyrl-CS"/>
        </w:rPr>
        <w:t>снабдевању, а недостатак сировина утиче на пад производње. С друге стране, допринос расту имаће фискалне мере, значајна штедња становништва акумулирана током пандемије, отварање дела економије који је био највише погођен рестриктивни</w:t>
      </w:r>
      <w:r w:rsidR="00BC6743" w:rsidRPr="00DE058F">
        <w:rPr>
          <w:rFonts w:cstheme="minorHAnsi"/>
          <w:bCs/>
          <w:szCs w:val="72"/>
          <w:lang w:val="sr-Cyrl-CS"/>
        </w:rPr>
        <w:t>м мерама и снажно тржиште рада.</w:t>
      </w:r>
    </w:p>
    <w:p w14:paraId="2FAAAF34" w14:textId="3497E284" w:rsidR="00EB41E3" w:rsidRPr="00DE058F" w:rsidRDefault="00EB41E3" w:rsidP="008527D6">
      <w:pPr>
        <w:rPr>
          <w:rFonts w:cstheme="minorHAnsi"/>
          <w:bCs/>
          <w:szCs w:val="72"/>
          <w:lang w:val="sr-Cyrl-CS"/>
        </w:rPr>
      </w:pPr>
      <w:r w:rsidRPr="00DE058F">
        <w:rPr>
          <w:rFonts w:cstheme="minorHAnsi"/>
          <w:bCs/>
          <w:szCs w:val="72"/>
          <w:lang w:val="sr-Cyrl-CS"/>
        </w:rPr>
        <w:t>Инфлација у зони евра наставила је да расте и након 5,9% у фебруару, у марту је износила 7,</w:t>
      </w:r>
      <w:r w:rsidR="00927D23" w:rsidRPr="00DE058F">
        <w:rPr>
          <w:rFonts w:cstheme="minorHAnsi"/>
          <w:bCs/>
          <w:szCs w:val="72"/>
          <w:lang w:val="sr-Cyrl-CS"/>
        </w:rPr>
        <w:t>5</w:t>
      </w:r>
      <w:r w:rsidRPr="00DE058F">
        <w:rPr>
          <w:rFonts w:cstheme="minorHAnsi"/>
          <w:bCs/>
          <w:szCs w:val="72"/>
          <w:lang w:val="sr-Cyrl-CS"/>
        </w:rPr>
        <w:t>%. На раст цена у највећој мери утичу енергенти, чија је цена повећана за 45% у марту у односу на исти месец претходне године, док раст бележи и цена хране, услед проблема у транспорту и раста трошкова, посебно цена ђубрива. Ризик инфлације у средњем року представља раст инфлационих очекивања, већи раст зарада од очекивања и продужени проблеми на страни понуде, док с друге стране, пад тражње у средњем року може смањити притиске на цене.</w:t>
      </w:r>
    </w:p>
    <w:p w14:paraId="42102EF7" w14:textId="64E2E05A" w:rsidR="00EB41E3" w:rsidRPr="00DE058F" w:rsidRDefault="00EB41E3" w:rsidP="009B49C0">
      <w:pPr>
        <w:rPr>
          <w:rFonts w:cstheme="minorHAnsi"/>
          <w:bCs/>
          <w:szCs w:val="72"/>
          <w:lang w:val="sr-Cyrl-CS"/>
        </w:rPr>
      </w:pPr>
      <w:r w:rsidRPr="00DE058F">
        <w:rPr>
          <w:rFonts w:cstheme="minorHAnsi"/>
          <w:bCs/>
          <w:szCs w:val="72"/>
          <w:lang w:val="sr-Cyrl-CS"/>
        </w:rPr>
        <w:t>Пројекције ЕЦБ су израђене на претпоставкама да су тренутни поремећаји у снабдевању енергијом и негативни утицаји на пословно и потрошачко поверење повезани са сукобом у Украјини привремени, и да глобални ланци с</w:t>
      </w:r>
      <w:r w:rsidR="00B93D6A" w:rsidRPr="00DE058F">
        <w:rPr>
          <w:rFonts w:cstheme="minorHAnsi"/>
          <w:bCs/>
          <w:szCs w:val="72"/>
          <w:lang w:val="sr-Cyrl-CS"/>
        </w:rPr>
        <w:t>набдевања нису трајно погођени.</w:t>
      </w:r>
    </w:p>
    <w:p w14:paraId="01E681BE" w14:textId="2214B408" w:rsidR="00EB41E3" w:rsidRPr="00DE058F" w:rsidRDefault="00EB41E3" w:rsidP="009B49C0">
      <w:pPr>
        <w:rPr>
          <w:rFonts w:cs="Times New Roman"/>
          <w:lang w:val="sr-Cyrl-CS"/>
        </w:rPr>
      </w:pPr>
      <w:r w:rsidRPr="00DE058F">
        <w:rPr>
          <w:rFonts w:cs="Times New Roman"/>
          <w:lang w:val="sr-Cyrl-CS"/>
        </w:rPr>
        <w:t>Према пројекцијама ЕЦБ, привреда еврозоне ће након опоравка</w:t>
      </w:r>
      <w:r w:rsidR="004966D7" w:rsidRPr="00DE058F">
        <w:rPr>
          <w:rFonts w:cs="Times New Roman"/>
          <w:lang w:val="sr-Cyrl-CS"/>
        </w:rPr>
        <w:t xml:space="preserve"> и раста</w:t>
      </w:r>
      <w:r w:rsidRPr="00DE058F">
        <w:rPr>
          <w:rFonts w:cs="Times New Roman"/>
          <w:lang w:val="sr-Cyrl-CS"/>
        </w:rPr>
        <w:t xml:space="preserve"> од 5,4% у 2021. години забележити успоравање раста од 3,7% и 2,8% у 2022. и 2023. години, респективно. Раст БДП у еврозони ће бити вођен приватном потрошњом, (4,6% и 2,6% у 2022. и 2023. години, респективно), док се за инвестициону активност предвиђа раст од 3,0% и 3,8% у 2022. и 2023. години, респективно. Опоравак спољне тражње и отклањање препрека у трговинској размени насталих током пандемије утицаће на раст извозне активности (7,8% и 6,3% у 2022. и 2023. години), што ће уз спорији раст увоза, утицати на позитиван допринос нето извоза пр</w:t>
      </w:r>
      <w:r w:rsidR="00AF4F3C" w:rsidRPr="00DE058F">
        <w:rPr>
          <w:rFonts w:cs="Times New Roman"/>
          <w:lang w:val="sr-Cyrl-CS"/>
        </w:rPr>
        <w:t>и</w:t>
      </w:r>
      <w:r w:rsidRPr="00DE058F">
        <w:rPr>
          <w:rFonts w:cs="Times New Roman"/>
          <w:lang w:val="sr-Cyrl-CS"/>
        </w:rPr>
        <w:t>вредном расту.</w:t>
      </w:r>
    </w:p>
    <w:p w14:paraId="030BF87F" w14:textId="77777777" w:rsidR="00EB41E3" w:rsidRPr="00DE058F" w:rsidRDefault="00EB41E3" w:rsidP="009B49C0">
      <w:pPr>
        <w:rPr>
          <w:rFonts w:cstheme="minorHAnsi"/>
          <w:bCs/>
          <w:spacing w:val="-2"/>
          <w:szCs w:val="72"/>
          <w:lang w:val="sr-Cyrl-CS"/>
        </w:rPr>
      </w:pPr>
      <w:r w:rsidRPr="00DE058F">
        <w:rPr>
          <w:rFonts w:cstheme="minorHAnsi"/>
          <w:bCs/>
          <w:spacing w:val="-2"/>
          <w:szCs w:val="72"/>
          <w:lang w:val="sr-Cyrl-CS"/>
        </w:rPr>
        <w:t>Стопа запослености је порасла за 0,5% у четвртом кварталу 2021. године, док је стопа незапослености смањена и очекује се њен даљи пад. Предвиђа се постепено смањење раста продуктивности током периода пројекције, а дугорочно следи повратак на предпандемијски ниво.</w:t>
      </w:r>
    </w:p>
    <w:p w14:paraId="7D48C287" w14:textId="738C636D" w:rsidR="00EB41E3" w:rsidRPr="00DE058F" w:rsidRDefault="00EB41E3" w:rsidP="009B49C0">
      <w:pPr>
        <w:rPr>
          <w:rFonts w:cstheme="minorHAnsi"/>
          <w:bCs/>
          <w:szCs w:val="72"/>
          <w:lang w:val="sr-Cyrl-CS"/>
        </w:rPr>
      </w:pPr>
      <w:r w:rsidRPr="00DE058F">
        <w:rPr>
          <w:rStyle w:val="jlqj4b"/>
          <w:lang w:val="sr-Cyrl-CS"/>
        </w:rPr>
        <w:lastRenderedPageBreak/>
        <w:t xml:space="preserve">Након изразито експанзивне фискалне политике током 2020. године, фискална подршка је смањена у 2021. години, а очекује се даље пооштравање у 2022. години. Заокрет у фискалној политици наступиће због укидања мера помоћи уведених као подршка у борби против пандемије. Након значајног фискалног дефицита у 2020. и 2021. години од 7,2% и 5,5% БДП, респективно, предвиђа се постепено побољшање фискалног биланса еврозоне на -3,1% БДП у 2022. години, да би се потом дефицит смањио на 2,0% БДП на крају посматраног периода. Удео дуга у БДП у еврозони </w:t>
      </w:r>
      <w:r w:rsidRPr="00DE058F">
        <w:rPr>
          <w:rStyle w:val="jlqj4b"/>
          <w:lang w:val="sr-Cyrl-CS"/>
        </w:rPr>
        <w:t>је након раста у 2020. години, смањен на 95,8%</w:t>
      </w:r>
      <w:r w:rsidR="009E7246" w:rsidRPr="00DE058F">
        <w:rPr>
          <w:rStyle w:val="jlqj4b"/>
          <w:lang w:val="sr-Cyrl-CS"/>
        </w:rPr>
        <w:t xml:space="preserve"> </w:t>
      </w:r>
      <w:r w:rsidRPr="00DE058F">
        <w:rPr>
          <w:rStyle w:val="jlqj4b"/>
          <w:lang w:val="sr-Cyrl-CS"/>
        </w:rPr>
        <w:t>БДП у 2021. години, а пројектује се силазна путања дуга у средњорочном периоду.</w:t>
      </w:r>
    </w:p>
    <w:p w14:paraId="6B5BB430" w14:textId="77777777" w:rsidR="00EB41E3" w:rsidRPr="00DE058F" w:rsidRDefault="00EB41E3" w:rsidP="008527D6">
      <w:pPr>
        <w:spacing w:after="360"/>
        <w:rPr>
          <w:rStyle w:val="jlqj4b"/>
          <w:lang w:val="sr-Cyrl-CS"/>
        </w:rPr>
      </w:pPr>
      <w:r w:rsidRPr="00DE058F">
        <w:rPr>
          <w:rStyle w:val="jlqj4b"/>
          <w:lang w:val="sr-Cyrl-CS"/>
        </w:rPr>
        <w:t xml:space="preserve">ЕЦБ је на састанку у априлу 2022. године задржала референтну каматну стопу на рекордно ниском нивоу од 0,00%, док је каматну стопу на кредитне и депозитне олакшице задржала на 0,25% и </w:t>
      </w:r>
      <w:r w:rsidRPr="00DE058F">
        <w:rPr>
          <w:rStyle w:val="jlqj4b"/>
          <w:lang w:val="sr-Cyrl-CS"/>
        </w:rPr>
        <w:br w:type="textWrapping" w:clear="all"/>
        <w:t>-0,50%, респективно. Савет гувернера ЕЦБ ће постепено кориговати референтне каматне стопе, како би се инфлација нормализовала на циљаних 2,0% у средњорочном периоду.</w:t>
      </w:r>
    </w:p>
    <w:p w14:paraId="381C9770" w14:textId="77777777" w:rsidR="00EB41E3" w:rsidRPr="00DE058F" w:rsidRDefault="00EB41E3">
      <w:pPr>
        <w:rPr>
          <w:lang w:val="sr-Cyrl-CS"/>
        </w:rPr>
        <w:sectPr w:rsidR="00EB41E3" w:rsidRPr="00DE058F" w:rsidSect="00CE729E">
          <w:type w:val="continuous"/>
          <w:pgSz w:w="12240" w:h="15840"/>
          <w:pgMar w:top="1440" w:right="1440" w:bottom="1440" w:left="1440" w:header="708" w:footer="708" w:gutter="0"/>
          <w:cols w:num="2" w:space="708"/>
          <w:docGrid w:linePitch="360"/>
        </w:sectPr>
      </w:pPr>
    </w:p>
    <w:tbl>
      <w:tblPr>
        <w:tblW w:w="5000" w:type="pct"/>
        <w:tblLook w:val="04A0" w:firstRow="1" w:lastRow="0" w:firstColumn="1" w:lastColumn="0" w:noHBand="0" w:noVBand="1"/>
      </w:tblPr>
      <w:tblGrid>
        <w:gridCol w:w="4448"/>
        <w:gridCol w:w="1228"/>
        <w:gridCol w:w="1228"/>
        <w:gridCol w:w="1228"/>
        <w:gridCol w:w="1228"/>
      </w:tblGrid>
      <w:tr w:rsidR="00EB41E3" w:rsidRPr="00DE058F" w14:paraId="2EB8EBE3" w14:textId="77777777" w:rsidTr="00CE729E">
        <w:trPr>
          <w:trHeight w:val="300"/>
        </w:trPr>
        <w:tc>
          <w:tcPr>
            <w:tcW w:w="5000" w:type="pct"/>
            <w:gridSpan w:val="5"/>
            <w:tcBorders>
              <w:bottom w:val="single" w:sz="4" w:space="0" w:color="002060"/>
            </w:tcBorders>
            <w:shd w:val="clear" w:color="auto" w:fill="auto"/>
            <w:noWrap/>
            <w:vAlign w:val="bottom"/>
            <w:hideMark/>
          </w:tcPr>
          <w:p w14:paraId="3BEA8339" w14:textId="1C07452E" w:rsidR="00EB41E3" w:rsidRPr="00DE058F" w:rsidRDefault="00EB41E3" w:rsidP="00166653">
            <w:pPr>
              <w:spacing w:after="120" w:line="240" w:lineRule="auto"/>
              <w:ind w:left="255"/>
              <w:jc w:val="center"/>
              <w:rPr>
                <w:rFonts w:cstheme="minorHAnsi"/>
                <w:color w:val="002060"/>
                <w:sz w:val="18"/>
                <w:lang w:val="sr-Cyrl-CS"/>
              </w:rPr>
            </w:pPr>
            <w:r w:rsidRPr="00DE058F">
              <w:rPr>
                <w:b/>
                <w:color w:val="002060"/>
                <w:lang w:val="sr-Cyrl-CS"/>
              </w:rPr>
              <w:t>Табела 2. Макроекономске пројекције за подручје еврозоне, %</w:t>
            </w:r>
          </w:p>
        </w:tc>
      </w:tr>
      <w:tr w:rsidR="00EB41E3" w:rsidRPr="00DE058F" w14:paraId="3A59C266" w14:textId="77777777" w:rsidTr="00D0587E">
        <w:trPr>
          <w:trHeight w:val="227"/>
        </w:trPr>
        <w:tc>
          <w:tcPr>
            <w:tcW w:w="2376" w:type="pct"/>
            <w:tcBorders>
              <w:top w:val="single" w:sz="4" w:space="0" w:color="002060"/>
            </w:tcBorders>
            <w:shd w:val="clear" w:color="auto" w:fill="auto"/>
            <w:noWrap/>
            <w:vAlign w:val="center"/>
          </w:tcPr>
          <w:p w14:paraId="073E3690" w14:textId="77777777" w:rsidR="00EB41E3" w:rsidRPr="00DE058F" w:rsidRDefault="00EB41E3" w:rsidP="00CE729E">
            <w:pPr>
              <w:spacing w:after="0" w:line="240" w:lineRule="auto"/>
              <w:jc w:val="center"/>
              <w:rPr>
                <w:rFonts w:eastAsia="Times New Roman" w:cs="Times New Roman"/>
                <w:color w:val="002060"/>
                <w:sz w:val="18"/>
                <w:szCs w:val="18"/>
                <w:lang w:val="sr-Cyrl-CS"/>
              </w:rPr>
            </w:pPr>
          </w:p>
        </w:tc>
        <w:tc>
          <w:tcPr>
            <w:tcW w:w="656" w:type="pct"/>
            <w:tcBorders>
              <w:top w:val="single" w:sz="4" w:space="0" w:color="002060"/>
              <w:bottom w:val="single" w:sz="4" w:space="0" w:color="002060"/>
            </w:tcBorders>
            <w:shd w:val="clear" w:color="auto" w:fill="auto"/>
            <w:noWrap/>
            <w:vAlign w:val="center"/>
          </w:tcPr>
          <w:p w14:paraId="78BFF6A5" w14:textId="77777777" w:rsidR="00EB41E3" w:rsidRPr="00DE058F" w:rsidRDefault="00EB41E3" w:rsidP="00CE729E">
            <w:pPr>
              <w:spacing w:after="0" w:line="240" w:lineRule="auto"/>
              <w:jc w:val="center"/>
              <w:rPr>
                <w:rFonts w:cstheme="minorHAnsi"/>
                <w:color w:val="002060"/>
                <w:sz w:val="18"/>
                <w:lang w:val="sr-Cyrl-CS"/>
              </w:rPr>
            </w:pPr>
            <w:r w:rsidRPr="00DE058F">
              <w:rPr>
                <w:rFonts w:cstheme="minorHAnsi"/>
                <w:color w:val="002060"/>
                <w:sz w:val="18"/>
                <w:lang w:val="sr-Cyrl-CS"/>
              </w:rPr>
              <w:t>2021</w:t>
            </w:r>
          </w:p>
        </w:tc>
        <w:tc>
          <w:tcPr>
            <w:tcW w:w="656" w:type="pct"/>
            <w:tcBorders>
              <w:top w:val="single" w:sz="4" w:space="0" w:color="002060"/>
              <w:bottom w:val="single" w:sz="4" w:space="0" w:color="002060"/>
            </w:tcBorders>
            <w:shd w:val="clear" w:color="auto" w:fill="auto"/>
            <w:noWrap/>
            <w:vAlign w:val="center"/>
          </w:tcPr>
          <w:p w14:paraId="77660AF4"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2022</w:t>
            </w:r>
          </w:p>
        </w:tc>
        <w:tc>
          <w:tcPr>
            <w:tcW w:w="656" w:type="pct"/>
            <w:tcBorders>
              <w:top w:val="single" w:sz="4" w:space="0" w:color="002060"/>
              <w:bottom w:val="single" w:sz="4" w:space="0" w:color="002060"/>
            </w:tcBorders>
            <w:shd w:val="clear" w:color="auto" w:fill="auto"/>
            <w:noWrap/>
            <w:vAlign w:val="center"/>
          </w:tcPr>
          <w:p w14:paraId="20BF2BF4"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2023</w:t>
            </w:r>
          </w:p>
        </w:tc>
        <w:tc>
          <w:tcPr>
            <w:tcW w:w="656" w:type="pct"/>
            <w:tcBorders>
              <w:top w:val="single" w:sz="4" w:space="0" w:color="002060"/>
              <w:bottom w:val="single" w:sz="4" w:space="0" w:color="002060"/>
            </w:tcBorders>
            <w:shd w:val="clear" w:color="auto" w:fill="auto"/>
            <w:noWrap/>
            <w:vAlign w:val="center"/>
          </w:tcPr>
          <w:p w14:paraId="6105E61D"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2024</w:t>
            </w:r>
          </w:p>
        </w:tc>
      </w:tr>
      <w:tr w:rsidR="00EB41E3" w:rsidRPr="00DE058F" w14:paraId="263B8E12" w14:textId="77777777" w:rsidTr="00D0587E">
        <w:trPr>
          <w:trHeight w:val="227"/>
        </w:trPr>
        <w:tc>
          <w:tcPr>
            <w:tcW w:w="2376" w:type="pct"/>
            <w:shd w:val="clear" w:color="auto" w:fill="auto"/>
            <w:noWrap/>
            <w:vAlign w:val="bottom"/>
            <w:hideMark/>
          </w:tcPr>
          <w:p w14:paraId="2083910F" w14:textId="77777777" w:rsidR="00EB41E3" w:rsidRPr="00DE058F" w:rsidRDefault="00EB41E3" w:rsidP="00CE729E">
            <w:pPr>
              <w:spacing w:after="0" w:line="240" w:lineRule="auto"/>
              <w:ind w:left="255" w:hanging="360"/>
              <w:rPr>
                <w:rFonts w:cstheme="minorHAnsi"/>
                <w:color w:val="002060"/>
                <w:sz w:val="18"/>
                <w:lang w:val="sr-Cyrl-CS"/>
              </w:rPr>
            </w:pPr>
            <w:r w:rsidRPr="00DE058F">
              <w:rPr>
                <w:rFonts w:cstheme="minorHAnsi"/>
                <w:color w:val="002060"/>
                <w:sz w:val="18"/>
                <w:lang w:val="sr-Cyrl-CS"/>
              </w:rPr>
              <w:t>БДП</w:t>
            </w:r>
          </w:p>
        </w:tc>
        <w:tc>
          <w:tcPr>
            <w:tcW w:w="656" w:type="pct"/>
            <w:tcBorders>
              <w:top w:val="single" w:sz="4" w:space="0" w:color="002060"/>
            </w:tcBorders>
            <w:shd w:val="clear" w:color="auto" w:fill="auto"/>
            <w:noWrap/>
            <w:vAlign w:val="center"/>
            <w:hideMark/>
          </w:tcPr>
          <w:p w14:paraId="7260A34B"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5,4</w:t>
            </w:r>
          </w:p>
        </w:tc>
        <w:tc>
          <w:tcPr>
            <w:tcW w:w="656" w:type="pct"/>
            <w:tcBorders>
              <w:top w:val="single" w:sz="4" w:space="0" w:color="002060"/>
            </w:tcBorders>
            <w:shd w:val="clear" w:color="auto" w:fill="FFFFFF" w:themeFill="background1"/>
            <w:noWrap/>
            <w:vAlign w:val="center"/>
            <w:hideMark/>
          </w:tcPr>
          <w:p w14:paraId="006572F4"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3,7</w:t>
            </w:r>
          </w:p>
        </w:tc>
        <w:tc>
          <w:tcPr>
            <w:tcW w:w="656" w:type="pct"/>
            <w:tcBorders>
              <w:top w:val="single" w:sz="4" w:space="0" w:color="002060"/>
            </w:tcBorders>
            <w:shd w:val="clear" w:color="auto" w:fill="auto"/>
            <w:noWrap/>
            <w:vAlign w:val="center"/>
            <w:hideMark/>
          </w:tcPr>
          <w:p w14:paraId="4EF7B41C"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2,8</w:t>
            </w:r>
          </w:p>
        </w:tc>
        <w:tc>
          <w:tcPr>
            <w:tcW w:w="656" w:type="pct"/>
            <w:tcBorders>
              <w:top w:val="single" w:sz="4" w:space="0" w:color="002060"/>
            </w:tcBorders>
            <w:shd w:val="clear" w:color="auto" w:fill="auto"/>
            <w:noWrap/>
            <w:vAlign w:val="center"/>
            <w:hideMark/>
          </w:tcPr>
          <w:p w14:paraId="0FC57C3B"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1,6</w:t>
            </w:r>
          </w:p>
        </w:tc>
      </w:tr>
      <w:tr w:rsidR="00EB41E3" w:rsidRPr="00DE058F" w14:paraId="29C162B9" w14:textId="77777777" w:rsidTr="00D0587E">
        <w:trPr>
          <w:trHeight w:val="227"/>
        </w:trPr>
        <w:tc>
          <w:tcPr>
            <w:tcW w:w="2376" w:type="pct"/>
            <w:shd w:val="clear" w:color="auto" w:fill="auto"/>
            <w:noWrap/>
            <w:vAlign w:val="bottom"/>
            <w:hideMark/>
          </w:tcPr>
          <w:p w14:paraId="55C60993" w14:textId="77777777" w:rsidR="00EB41E3" w:rsidRPr="00DE058F" w:rsidRDefault="00EB41E3" w:rsidP="00CE729E">
            <w:pPr>
              <w:spacing w:after="0" w:line="240" w:lineRule="auto"/>
              <w:ind w:left="360" w:hanging="360"/>
              <w:rPr>
                <w:rFonts w:cstheme="minorHAnsi"/>
                <w:color w:val="002060"/>
                <w:sz w:val="18"/>
                <w:lang w:val="sr-Cyrl-CS"/>
              </w:rPr>
            </w:pPr>
            <w:r w:rsidRPr="00DE058F">
              <w:rPr>
                <w:rFonts w:cstheme="minorHAnsi"/>
                <w:color w:val="002060"/>
                <w:sz w:val="18"/>
                <w:lang w:val="sr-Cyrl-CS"/>
              </w:rPr>
              <w:t>Лична потрошња</w:t>
            </w:r>
          </w:p>
        </w:tc>
        <w:tc>
          <w:tcPr>
            <w:tcW w:w="656" w:type="pct"/>
            <w:shd w:val="clear" w:color="auto" w:fill="auto"/>
            <w:noWrap/>
            <w:vAlign w:val="center"/>
            <w:hideMark/>
          </w:tcPr>
          <w:p w14:paraId="296A3FB8"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3,4</w:t>
            </w:r>
          </w:p>
        </w:tc>
        <w:tc>
          <w:tcPr>
            <w:tcW w:w="656" w:type="pct"/>
            <w:shd w:val="clear" w:color="auto" w:fill="auto"/>
            <w:noWrap/>
            <w:vAlign w:val="center"/>
            <w:hideMark/>
          </w:tcPr>
          <w:p w14:paraId="6C1B3E39"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4,6</w:t>
            </w:r>
          </w:p>
        </w:tc>
        <w:tc>
          <w:tcPr>
            <w:tcW w:w="656" w:type="pct"/>
            <w:shd w:val="clear" w:color="auto" w:fill="auto"/>
            <w:noWrap/>
            <w:vAlign w:val="center"/>
            <w:hideMark/>
          </w:tcPr>
          <w:p w14:paraId="6C2EFC60"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2,6</w:t>
            </w:r>
          </w:p>
        </w:tc>
        <w:tc>
          <w:tcPr>
            <w:tcW w:w="656" w:type="pct"/>
            <w:shd w:val="clear" w:color="auto" w:fill="auto"/>
            <w:noWrap/>
            <w:vAlign w:val="center"/>
            <w:hideMark/>
          </w:tcPr>
          <w:p w14:paraId="6194EFD3"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0,9</w:t>
            </w:r>
          </w:p>
        </w:tc>
      </w:tr>
      <w:tr w:rsidR="00EB41E3" w:rsidRPr="00DE058F" w14:paraId="7BECC7A2" w14:textId="77777777" w:rsidTr="00D0587E">
        <w:trPr>
          <w:trHeight w:val="227"/>
        </w:trPr>
        <w:tc>
          <w:tcPr>
            <w:tcW w:w="2376" w:type="pct"/>
            <w:shd w:val="clear" w:color="auto" w:fill="auto"/>
            <w:noWrap/>
            <w:vAlign w:val="bottom"/>
            <w:hideMark/>
          </w:tcPr>
          <w:p w14:paraId="7AF50A5A" w14:textId="77777777" w:rsidR="00EB41E3" w:rsidRPr="00DE058F" w:rsidRDefault="00EB41E3" w:rsidP="00CE729E">
            <w:pPr>
              <w:spacing w:after="0" w:line="240" w:lineRule="auto"/>
              <w:ind w:left="360" w:hanging="360"/>
              <w:rPr>
                <w:rFonts w:cstheme="minorHAnsi"/>
                <w:color w:val="002060"/>
                <w:sz w:val="18"/>
                <w:lang w:val="sr-Cyrl-CS"/>
              </w:rPr>
            </w:pPr>
            <w:r w:rsidRPr="00DE058F">
              <w:rPr>
                <w:rFonts w:cstheme="minorHAnsi"/>
                <w:color w:val="002060"/>
                <w:sz w:val="18"/>
                <w:lang w:val="sr-Cyrl-CS"/>
              </w:rPr>
              <w:t>Државна потрошња</w:t>
            </w:r>
          </w:p>
        </w:tc>
        <w:tc>
          <w:tcPr>
            <w:tcW w:w="656" w:type="pct"/>
            <w:shd w:val="clear" w:color="auto" w:fill="auto"/>
            <w:noWrap/>
            <w:vAlign w:val="center"/>
            <w:hideMark/>
          </w:tcPr>
          <w:p w14:paraId="259B12E9"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3,8</w:t>
            </w:r>
          </w:p>
        </w:tc>
        <w:tc>
          <w:tcPr>
            <w:tcW w:w="656" w:type="pct"/>
            <w:shd w:val="clear" w:color="auto" w:fill="auto"/>
            <w:noWrap/>
            <w:vAlign w:val="center"/>
            <w:hideMark/>
          </w:tcPr>
          <w:p w14:paraId="493143FE"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0,1</w:t>
            </w:r>
          </w:p>
        </w:tc>
        <w:tc>
          <w:tcPr>
            <w:tcW w:w="656" w:type="pct"/>
            <w:shd w:val="clear" w:color="auto" w:fill="auto"/>
            <w:noWrap/>
            <w:vAlign w:val="center"/>
            <w:hideMark/>
          </w:tcPr>
          <w:p w14:paraId="020A4ED4"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0,3</w:t>
            </w:r>
          </w:p>
        </w:tc>
        <w:tc>
          <w:tcPr>
            <w:tcW w:w="656" w:type="pct"/>
            <w:shd w:val="clear" w:color="auto" w:fill="auto"/>
            <w:noWrap/>
            <w:vAlign w:val="center"/>
            <w:hideMark/>
          </w:tcPr>
          <w:p w14:paraId="607ECF8A"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1,1</w:t>
            </w:r>
          </w:p>
        </w:tc>
      </w:tr>
      <w:tr w:rsidR="00EB41E3" w:rsidRPr="00DE058F" w14:paraId="4DCF5FAE" w14:textId="77777777" w:rsidTr="00D0587E">
        <w:trPr>
          <w:trHeight w:val="227"/>
        </w:trPr>
        <w:tc>
          <w:tcPr>
            <w:tcW w:w="2376" w:type="pct"/>
            <w:shd w:val="clear" w:color="auto" w:fill="auto"/>
            <w:noWrap/>
            <w:vAlign w:val="bottom"/>
            <w:hideMark/>
          </w:tcPr>
          <w:p w14:paraId="45B39547" w14:textId="77777777" w:rsidR="00EB41E3" w:rsidRPr="00DE058F" w:rsidRDefault="00EB41E3" w:rsidP="00CE729E">
            <w:pPr>
              <w:spacing w:after="0" w:line="240" w:lineRule="auto"/>
              <w:ind w:left="360" w:hanging="360"/>
              <w:rPr>
                <w:rFonts w:cstheme="minorHAnsi"/>
                <w:color w:val="002060"/>
                <w:sz w:val="18"/>
                <w:lang w:val="sr-Cyrl-CS"/>
              </w:rPr>
            </w:pPr>
            <w:r w:rsidRPr="00DE058F">
              <w:rPr>
                <w:rFonts w:cstheme="minorHAnsi"/>
                <w:color w:val="002060"/>
                <w:sz w:val="18"/>
                <w:lang w:val="sr-Cyrl-CS"/>
              </w:rPr>
              <w:t>Бруто инвестиције у основна средства</w:t>
            </w:r>
          </w:p>
        </w:tc>
        <w:tc>
          <w:tcPr>
            <w:tcW w:w="656" w:type="pct"/>
            <w:shd w:val="clear" w:color="auto" w:fill="auto"/>
            <w:noWrap/>
            <w:vAlign w:val="center"/>
            <w:hideMark/>
          </w:tcPr>
          <w:p w14:paraId="15728F59"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3,5</w:t>
            </w:r>
          </w:p>
        </w:tc>
        <w:tc>
          <w:tcPr>
            <w:tcW w:w="656" w:type="pct"/>
            <w:shd w:val="clear" w:color="auto" w:fill="auto"/>
            <w:noWrap/>
            <w:vAlign w:val="center"/>
            <w:hideMark/>
          </w:tcPr>
          <w:p w14:paraId="66F218E7"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3,0</w:t>
            </w:r>
          </w:p>
        </w:tc>
        <w:tc>
          <w:tcPr>
            <w:tcW w:w="656" w:type="pct"/>
            <w:shd w:val="clear" w:color="auto" w:fill="auto"/>
            <w:noWrap/>
            <w:vAlign w:val="center"/>
            <w:hideMark/>
          </w:tcPr>
          <w:p w14:paraId="70B2525F"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3,8</w:t>
            </w:r>
          </w:p>
        </w:tc>
        <w:tc>
          <w:tcPr>
            <w:tcW w:w="656" w:type="pct"/>
            <w:shd w:val="clear" w:color="auto" w:fill="auto"/>
            <w:noWrap/>
            <w:vAlign w:val="center"/>
            <w:hideMark/>
          </w:tcPr>
          <w:p w14:paraId="040EFB67"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2,5</w:t>
            </w:r>
          </w:p>
        </w:tc>
      </w:tr>
      <w:tr w:rsidR="00EB41E3" w:rsidRPr="00DE058F" w14:paraId="368213FA" w14:textId="77777777" w:rsidTr="00D0587E">
        <w:trPr>
          <w:trHeight w:val="227"/>
        </w:trPr>
        <w:tc>
          <w:tcPr>
            <w:tcW w:w="2376" w:type="pct"/>
            <w:shd w:val="clear" w:color="auto" w:fill="auto"/>
            <w:noWrap/>
            <w:vAlign w:val="bottom"/>
            <w:hideMark/>
          </w:tcPr>
          <w:p w14:paraId="27967812" w14:textId="77777777" w:rsidR="00EB41E3" w:rsidRPr="00DE058F" w:rsidRDefault="00EB41E3" w:rsidP="00CE729E">
            <w:pPr>
              <w:spacing w:after="0" w:line="240" w:lineRule="auto"/>
              <w:ind w:left="360" w:hanging="360"/>
              <w:rPr>
                <w:rFonts w:cstheme="minorHAnsi"/>
                <w:color w:val="002060"/>
                <w:sz w:val="18"/>
                <w:lang w:val="sr-Cyrl-CS"/>
              </w:rPr>
            </w:pPr>
            <w:r w:rsidRPr="00DE058F">
              <w:rPr>
                <w:rFonts w:cstheme="minorHAnsi"/>
                <w:color w:val="002060"/>
                <w:sz w:val="18"/>
                <w:lang w:val="sr-Cyrl-CS"/>
              </w:rPr>
              <w:t>Извоз</w:t>
            </w:r>
          </w:p>
        </w:tc>
        <w:tc>
          <w:tcPr>
            <w:tcW w:w="656" w:type="pct"/>
            <w:shd w:val="clear" w:color="auto" w:fill="auto"/>
            <w:noWrap/>
            <w:vAlign w:val="center"/>
            <w:hideMark/>
          </w:tcPr>
          <w:p w14:paraId="5289068E"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10,6</w:t>
            </w:r>
          </w:p>
        </w:tc>
        <w:tc>
          <w:tcPr>
            <w:tcW w:w="656" w:type="pct"/>
            <w:shd w:val="clear" w:color="auto" w:fill="auto"/>
            <w:noWrap/>
            <w:vAlign w:val="center"/>
            <w:hideMark/>
          </w:tcPr>
          <w:p w14:paraId="6DCD6261"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7,8</w:t>
            </w:r>
          </w:p>
        </w:tc>
        <w:tc>
          <w:tcPr>
            <w:tcW w:w="656" w:type="pct"/>
            <w:shd w:val="clear" w:color="auto" w:fill="auto"/>
            <w:noWrap/>
            <w:vAlign w:val="center"/>
            <w:hideMark/>
          </w:tcPr>
          <w:p w14:paraId="7B44198C"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6,3</w:t>
            </w:r>
          </w:p>
        </w:tc>
        <w:tc>
          <w:tcPr>
            <w:tcW w:w="656" w:type="pct"/>
            <w:shd w:val="clear" w:color="auto" w:fill="auto"/>
            <w:noWrap/>
            <w:vAlign w:val="center"/>
            <w:hideMark/>
          </w:tcPr>
          <w:p w14:paraId="7E9508DD"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3,1</w:t>
            </w:r>
          </w:p>
        </w:tc>
      </w:tr>
      <w:tr w:rsidR="00EB41E3" w:rsidRPr="00DE058F" w14:paraId="6002E2EC" w14:textId="77777777" w:rsidTr="00D0587E">
        <w:trPr>
          <w:trHeight w:val="227"/>
        </w:trPr>
        <w:tc>
          <w:tcPr>
            <w:tcW w:w="2376" w:type="pct"/>
            <w:shd w:val="clear" w:color="auto" w:fill="auto"/>
            <w:noWrap/>
            <w:vAlign w:val="bottom"/>
            <w:hideMark/>
          </w:tcPr>
          <w:p w14:paraId="374523E1" w14:textId="77777777" w:rsidR="00EB41E3" w:rsidRPr="00DE058F" w:rsidRDefault="00EB41E3" w:rsidP="00CE729E">
            <w:pPr>
              <w:spacing w:after="0" w:line="240" w:lineRule="auto"/>
              <w:ind w:left="360" w:hanging="360"/>
              <w:rPr>
                <w:rFonts w:cstheme="minorHAnsi"/>
                <w:color w:val="002060"/>
                <w:sz w:val="18"/>
                <w:lang w:val="sr-Cyrl-CS"/>
              </w:rPr>
            </w:pPr>
            <w:r w:rsidRPr="00DE058F">
              <w:rPr>
                <w:rFonts w:cstheme="minorHAnsi"/>
                <w:color w:val="002060"/>
                <w:sz w:val="18"/>
                <w:lang w:val="sr-Cyrl-CS"/>
              </w:rPr>
              <w:t>Увоз</w:t>
            </w:r>
          </w:p>
        </w:tc>
        <w:tc>
          <w:tcPr>
            <w:tcW w:w="656" w:type="pct"/>
            <w:shd w:val="clear" w:color="auto" w:fill="auto"/>
            <w:noWrap/>
            <w:vAlign w:val="center"/>
            <w:hideMark/>
          </w:tcPr>
          <w:p w14:paraId="727E4235"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7,8</w:t>
            </w:r>
          </w:p>
        </w:tc>
        <w:tc>
          <w:tcPr>
            <w:tcW w:w="656" w:type="pct"/>
            <w:shd w:val="clear" w:color="auto" w:fill="auto"/>
            <w:noWrap/>
            <w:vAlign w:val="center"/>
            <w:hideMark/>
          </w:tcPr>
          <w:p w14:paraId="70BED26D"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7,0</w:t>
            </w:r>
          </w:p>
        </w:tc>
        <w:tc>
          <w:tcPr>
            <w:tcW w:w="656" w:type="pct"/>
            <w:shd w:val="clear" w:color="auto" w:fill="auto"/>
            <w:noWrap/>
            <w:vAlign w:val="center"/>
            <w:hideMark/>
          </w:tcPr>
          <w:p w14:paraId="639BA472"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5,8</w:t>
            </w:r>
          </w:p>
        </w:tc>
        <w:tc>
          <w:tcPr>
            <w:tcW w:w="656" w:type="pct"/>
            <w:shd w:val="clear" w:color="auto" w:fill="auto"/>
            <w:noWrap/>
            <w:vAlign w:val="center"/>
            <w:hideMark/>
          </w:tcPr>
          <w:p w14:paraId="65008533"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2,8</w:t>
            </w:r>
          </w:p>
        </w:tc>
      </w:tr>
      <w:tr w:rsidR="00EB41E3" w:rsidRPr="00DE058F" w14:paraId="749390BC" w14:textId="77777777" w:rsidTr="00D0587E">
        <w:trPr>
          <w:trHeight w:val="227"/>
        </w:trPr>
        <w:tc>
          <w:tcPr>
            <w:tcW w:w="2376" w:type="pct"/>
            <w:shd w:val="clear" w:color="auto" w:fill="auto"/>
            <w:noWrap/>
            <w:vAlign w:val="bottom"/>
            <w:hideMark/>
          </w:tcPr>
          <w:p w14:paraId="69C85910" w14:textId="77777777" w:rsidR="00EB41E3" w:rsidRPr="00DE058F" w:rsidRDefault="00EB41E3" w:rsidP="00CE729E">
            <w:pPr>
              <w:spacing w:after="0" w:line="240" w:lineRule="auto"/>
              <w:ind w:left="255" w:hanging="360"/>
              <w:rPr>
                <w:rFonts w:cstheme="minorHAnsi"/>
                <w:color w:val="002060"/>
                <w:sz w:val="18"/>
                <w:lang w:val="sr-Cyrl-CS"/>
              </w:rPr>
            </w:pPr>
            <w:r w:rsidRPr="00DE058F">
              <w:rPr>
                <w:rFonts w:cstheme="minorHAnsi"/>
                <w:color w:val="002060"/>
                <w:sz w:val="18"/>
                <w:lang w:val="sr-Cyrl-CS"/>
              </w:rPr>
              <w:t>Запосленост</w:t>
            </w:r>
          </w:p>
        </w:tc>
        <w:tc>
          <w:tcPr>
            <w:tcW w:w="656" w:type="pct"/>
            <w:shd w:val="clear" w:color="auto" w:fill="auto"/>
            <w:noWrap/>
            <w:vAlign w:val="center"/>
            <w:hideMark/>
          </w:tcPr>
          <w:p w14:paraId="460DB924"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1,1</w:t>
            </w:r>
          </w:p>
        </w:tc>
        <w:tc>
          <w:tcPr>
            <w:tcW w:w="656" w:type="pct"/>
            <w:shd w:val="clear" w:color="auto" w:fill="auto"/>
            <w:noWrap/>
            <w:vAlign w:val="center"/>
            <w:hideMark/>
          </w:tcPr>
          <w:p w14:paraId="17847D5C"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1,4</w:t>
            </w:r>
          </w:p>
        </w:tc>
        <w:tc>
          <w:tcPr>
            <w:tcW w:w="656" w:type="pct"/>
            <w:shd w:val="clear" w:color="auto" w:fill="auto"/>
            <w:noWrap/>
            <w:vAlign w:val="center"/>
            <w:hideMark/>
          </w:tcPr>
          <w:p w14:paraId="50C9FFBF"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0,7</w:t>
            </w:r>
          </w:p>
        </w:tc>
        <w:tc>
          <w:tcPr>
            <w:tcW w:w="656" w:type="pct"/>
            <w:shd w:val="clear" w:color="auto" w:fill="auto"/>
            <w:noWrap/>
            <w:vAlign w:val="center"/>
            <w:hideMark/>
          </w:tcPr>
          <w:p w14:paraId="70652D9B"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0,6</w:t>
            </w:r>
          </w:p>
        </w:tc>
      </w:tr>
      <w:tr w:rsidR="00EB41E3" w:rsidRPr="00DE058F" w14:paraId="27204B4A" w14:textId="77777777" w:rsidTr="00D0587E">
        <w:trPr>
          <w:trHeight w:val="227"/>
        </w:trPr>
        <w:tc>
          <w:tcPr>
            <w:tcW w:w="2376" w:type="pct"/>
            <w:shd w:val="clear" w:color="auto" w:fill="auto"/>
            <w:noWrap/>
            <w:vAlign w:val="bottom"/>
            <w:hideMark/>
          </w:tcPr>
          <w:p w14:paraId="5C247F32" w14:textId="77777777" w:rsidR="00EB41E3" w:rsidRPr="00DE058F" w:rsidRDefault="00EB41E3" w:rsidP="00CE729E">
            <w:pPr>
              <w:spacing w:after="0" w:line="240" w:lineRule="auto"/>
              <w:ind w:left="255" w:hanging="360"/>
              <w:rPr>
                <w:rFonts w:cstheme="minorHAnsi"/>
                <w:color w:val="002060"/>
                <w:sz w:val="18"/>
                <w:lang w:val="sr-Cyrl-CS"/>
              </w:rPr>
            </w:pPr>
            <w:r w:rsidRPr="00DE058F">
              <w:rPr>
                <w:rFonts w:cstheme="minorHAnsi"/>
                <w:color w:val="002060"/>
                <w:sz w:val="18"/>
                <w:lang w:val="sr-Cyrl-CS"/>
              </w:rPr>
              <w:t>Стопа незапослености</w:t>
            </w:r>
          </w:p>
        </w:tc>
        <w:tc>
          <w:tcPr>
            <w:tcW w:w="656" w:type="pct"/>
            <w:shd w:val="clear" w:color="auto" w:fill="auto"/>
            <w:noWrap/>
            <w:vAlign w:val="center"/>
            <w:hideMark/>
          </w:tcPr>
          <w:p w14:paraId="7F308796"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7,7</w:t>
            </w:r>
          </w:p>
        </w:tc>
        <w:tc>
          <w:tcPr>
            <w:tcW w:w="656" w:type="pct"/>
            <w:shd w:val="clear" w:color="auto" w:fill="auto"/>
            <w:noWrap/>
            <w:vAlign w:val="center"/>
            <w:hideMark/>
          </w:tcPr>
          <w:p w14:paraId="03CE9150"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7,3</w:t>
            </w:r>
          </w:p>
        </w:tc>
        <w:tc>
          <w:tcPr>
            <w:tcW w:w="656" w:type="pct"/>
            <w:shd w:val="clear" w:color="auto" w:fill="auto"/>
            <w:noWrap/>
            <w:vAlign w:val="center"/>
            <w:hideMark/>
          </w:tcPr>
          <w:p w14:paraId="26A95B71"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7,2</w:t>
            </w:r>
          </w:p>
        </w:tc>
        <w:tc>
          <w:tcPr>
            <w:tcW w:w="656" w:type="pct"/>
            <w:shd w:val="clear" w:color="auto" w:fill="auto"/>
            <w:noWrap/>
            <w:vAlign w:val="center"/>
            <w:hideMark/>
          </w:tcPr>
          <w:p w14:paraId="4A25CC6D"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7,0</w:t>
            </w:r>
          </w:p>
        </w:tc>
      </w:tr>
      <w:tr w:rsidR="00EB41E3" w:rsidRPr="00DE058F" w14:paraId="39BE5E2C" w14:textId="77777777" w:rsidTr="00D0587E">
        <w:trPr>
          <w:trHeight w:val="227"/>
        </w:trPr>
        <w:tc>
          <w:tcPr>
            <w:tcW w:w="2376" w:type="pct"/>
            <w:shd w:val="clear" w:color="auto" w:fill="auto"/>
            <w:noWrap/>
            <w:vAlign w:val="bottom"/>
            <w:hideMark/>
          </w:tcPr>
          <w:p w14:paraId="1CF5199F" w14:textId="77777777" w:rsidR="00EB41E3" w:rsidRPr="00DE058F" w:rsidRDefault="00EB41E3" w:rsidP="00CE729E">
            <w:pPr>
              <w:spacing w:after="0" w:line="240" w:lineRule="auto"/>
              <w:ind w:left="255" w:hanging="360"/>
              <w:rPr>
                <w:rFonts w:cstheme="minorHAnsi"/>
                <w:color w:val="002060"/>
                <w:sz w:val="18"/>
                <w:lang w:val="sr-Cyrl-CS"/>
              </w:rPr>
            </w:pPr>
            <w:r w:rsidRPr="00DE058F">
              <w:rPr>
                <w:rFonts w:cstheme="minorHAnsi"/>
                <w:color w:val="002060"/>
                <w:sz w:val="18"/>
                <w:lang w:val="sr-Cyrl-CS"/>
              </w:rPr>
              <w:t>Инфлација</w:t>
            </w:r>
          </w:p>
        </w:tc>
        <w:tc>
          <w:tcPr>
            <w:tcW w:w="656" w:type="pct"/>
            <w:shd w:val="clear" w:color="auto" w:fill="auto"/>
            <w:noWrap/>
            <w:vAlign w:val="center"/>
            <w:hideMark/>
          </w:tcPr>
          <w:p w14:paraId="01E4A409"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2,6</w:t>
            </w:r>
          </w:p>
        </w:tc>
        <w:tc>
          <w:tcPr>
            <w:tcW w:w="656" w:type="pct"/>
            <w:shd w:val="clear" w:color="auto" w:fill="auto"/>
            <w:noWrap/>
            <w:vAlign w:val="center"/>
            <w:hideMark/>
          </w:tcPr>
          <w:p w14:paraId="3B759462"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5,1</w:t>
            </w:r>
          </w:p>
        </w:tc>
        <w:tc>
          <w:tcPr>
            <w:tcW w:w="656" w:type="pct"/>
            <w:shd w:val="clear" w:color="auto" w:fill="auto"/>
            <w:noWrap/>
            <w:vAlign w:val="center"/>
            <w:hideMark/>
          </w:tcPr>
          <w:p w14:paraId="28CA4667"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2,1</w:t>
            </w:r>
          </w:p>
        </w:tc>
        <w:tc>
          <w:tcPr>
            <w:tcW w:w="656" w:type="pct"/>
            <w:shd w:val="clear" w:color="auto" w:fill="auto"/>
            <w:noWrap/>
            <w:vAlign w:val="center"/>
            <w:hideMark/>
          </w:tcPr>
          <w:p w14:paraId="72FB9CE1"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1,9</w:t>
            </w:r>
          </w:p>
        </w:tc>
      </w:tr>
      <w:tr w:rsidR="00EB41E3" w:rsidRPr="00DE058F" w14:paraId="046254C7" w14:textId="77777777" w:rsidTr="00D0587E">
        <w:trPr>
          <w:trHeight w:val="227"/>
        </w:trPr>
        <w:tc>
          <w:tcPr>
            <w:tcW w:w="2376" w:type="pct"/>
            <w:shd w:val="clear" w:color="auto" w:fill="auto"/>
            <w:noWrap/>
            <w:vAlign w:val="bottom"/>
            <w:hideMark/>
          </w:tcPr>
          <w:p w14:paraId="572F9054" w14:textId="77777777" w:rsidR="00EB41E3" w:rsidRPr="00DE058F" w:rsidRDefault="00EB41E3" w:rsidP="00CE729E">
            <w:pPr>
              <w:spacing w:after="0" w:line="240" w:lineRule="auto"/>
              <w:ind w:left="255" w:hanging="360"/>
              <w:rPr>
                <w:rFonts w:cstheme="minorHAnsi"/>
                <w:color w:val="002060"/>
                <w:sz w:val="18"/>
                <w:lang w:val="sr-Cyrl-CS"/>
              </w:rPr>
            </w:pPr>
            <w:r w:rsidRPr="00DE058F">
              <w:rPr>
                <w:rFonts w:cstheme="minorHAnsi"/>
                <w:color w:val="002060"/>
                <w:sz w:val="18"/>
                <w:lang w:val="sr-Cyrl-CS"/>
              </w:rPr>
              <w:t>Јединични трошкови рада</w:t>
            </w:r>
          </w:p>
        </w:tc>
        <w:tc>
          <w:tcPr>
            <w:tcW w:w="656" w:type="pct"/>
            <w:shd w:val="clear" w:color="auto" w:fill="auto"/>
            <w:noWrap/>
            <w:vAlign w:val="center"/>
            <w:hideMark/>
          </w:tcPr>
          <w:p w14:paraId="56C0D841"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-0,2</w:t>
            </w:r>
          </w:p>
        </w:tc>
        <w:tc>
          <w:tcPr>
            <w:tcW w:w="656" w:type="pct"/>
            <w:shd w:val="clear" w:color="auto" w:fill="auto"/>
            <w:noWrap/>
            <w:vAlign w:val="center"/>
            <w:hideMark/>
          </w:tcPr>
          <w:p w14:paraId="3F352B7A"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1,3</w:t>
            </w:r>
          </w:p>
        </w:tc>
        <w:tc>
          <w:tcPr>
            <w:tcW w:w="656" w:type="pct"/>
            <w:shd w:val="clear" w:color="auto" w:fill="auto"/>
            <w:noWrap/>
            <w:vAlign w:val="center"/>
            <w:hideMark/>
          </w:tcPr>
          <w:p w14:paraId="75D1B671"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1,3</w:t>
            </w:r>
          </w:p>
        </w:tc>
        <w:tc>
          <w:tcPr>
            <w:tcW w:w="656" w:type="pct"/>
            <w:shd w:val="clear" w:color="auto" w:fill="auto"/>
            <w:noWrap/>
            <w:vAlign w:val="center"/>
            <w:hideMark/>
          </w:tcPr>
          <w:p w14:paraId="09510610"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1,9</w:t>
            </w:r>
          </w:p>
        </w:tc>
      </w:tr>
      <w:tr w:rsidR="00EB41E3" w:rsidRPr="00DE058F" w14:paraId="0119067E" w14:textId="77777777" w:rsidTr="00D0587E">
        <w:trPr>
          <w:trHeight w:val="227"/>
        </w:trPr>
        <w:tc>
          <w:tcPr>
            <w:tcW w:w="2376" w:type="pct"/>
            <w:shd w:val="clear" w:color="auto" w:fill="auto"/>
            <w:noWrap/>
            <w:vAlign w:val="bottom"/>
            <w:hideMark/>
          </w:tcPr>
          <w:p w14:paraId="4B5B1C47" w14:textId="77777777" w:rsidR="00EB41E3" w:rsidRPr="00DE058F" w:rsidRDefault="00EB41E3" w:rsidP="00CE729E">
            <w:pPr>
              <w:spacing w:after="0" w:line="240" w:lineRule="auto"/>
              <w:ind w:left="255" w:hanging="360"/>
              <w:rPr>
                <w:rFonts w:cstheme="minorHAnsi"/>
                <w:color w:val="002060"/>
                <w:sz w:val="18"/>
                <w:lang w:val="sr-Cyrl-CS"/>
              </w:rPr>
            </w:pPr>
            <w:r w:rsidRPr="00DE058F">
              <w:rPr>
                <w:rFonts w:cstheme="minorHAnsi"/>
                <w:color w:val="002060"/>
                <w:sz w:val="18"/>
                <w:lang w:val="sr-Cyrl-CS"/>
              </w:rPr>
              <w:t>Фискални резултат опште државе, % БДП</w:t>
            </w:r>
          </w:p>
        </w:tc>
        <w:tc>
          <w:tcPr>
            <w:tcW w:w="656" w:type="pct"/>
            <w:shd w:val="clear" w:color="auto" w:fill="auto"/>
            <w:noWrap/>
            <w:vAlign w:val="center"/>
            <w:hideMark/>
          </w:tcPr>
          <w:p w14:paraId="01589C4D"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-5,5</w:t>
            </w:r>
          </w:p>
        </w:tc>
        <w:tc>
          <w:tcPr>
            <w:tcW w:w="656" w:type="pct"/>
            <w:shd w:val="clear" w:color="auto" w:fill="auto"/>
            <w:noWrap/>
            <w:vAlign w:val="center"/>
            <w:hideMark/>
          </w:tcPr>
          <w:p w14:paraId="3F70D48B" w14:textId="77777777" w:rsidR="00EB41E3" w:rsidRPr="00DE058F" w:rsidRDefault="00EB41E3" w:rsidP="00CE729E">
            <w:pPr>
              <w:spacing w:after="0" w:line="240" w:lineRule="auto"/>
              <w:jc w:val="center"/>
              <w:rPr>
                <w:rFonts w:cstheme="minorHAnsi"/>
                <w:color w:val="002060"/>
                <w:sz w:val="18"/>
                <w:lang w:val="sr-Cyrl-CS"/>
              </w:rPr>
            </w:pPr>
            <w:r w:rsidRPr="00DE058F">
              <w:rPr>
                <w:rFonts w:cstheme="minorHAnsi"/>
                <w:color w:val="002060"/>
                <w:sz w:val="18"/>
                <w:lang w:val="sr-Cyrl-CS"/>
              </w:rPr>
              <w:t>-3,1</w:t>
            </w:r>
          </w:p>
        </w:tc>
        <w:tc>
          <w:tcPr>
            <w:tcW w:w="656" w:type="pct"/>
            <w:shd w:val="clear" w:color="auto" w:fill="auto"/>
            <w:noWrap/>
            <w:vAlign w:val="center"/>
            <w:hideMark/>
          </w:tcPr>
          <w:p w14:paraId="6696B688"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-2,1</w:t>
            </w:r>
          </w:p>
        </w:tc>
        <w:tc>
          <w:tcPr>
            <w:tcW w:w="656" w:type="pct"/>
            <w:shd w:val="clear" w:color="auto" w:fill="auto"/>
            <w:noWrap/>
            <w:vAlign w:val="center"/>
            <w:hideMark/>
          </w:tcPr>
          <w:p w14:paraId="3EE56323"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-2,0</w:t>
            </w:r>
          </w:p>
        </w:tc>
      </w:tr>
      <w:tr w:rsidR="00EB41E3" w:rsidRPr="00DE058F" w14:paraId="2C7C0973" w14:textId="77777777" w:rsidTr="00D0587E">
        <w:trPr>
          <w:trHeight w:val="227"/>
        </w:trPr>
        <w:tc>
          <w:tcPr>
            <w:tcW w:w="2376" w:type="pct"/>
            <w:shd w:val="clear" w:color="auto" w:fill="auto"/>
            <w:noWrap/>
            <w:vAlign w:val="bottom"/>
            <w:hideMark/>
          </w:tcPr>
          <w:p w14:paraId="381ABBE8" w14:textId="77777777" w:rsidR="00EB41E3" w:rsidRPr="00DE058F" w:rsidRDefault="00EB41E3" w:rsidP="00CE729E">
            <w:pPr>
              <w:spacing w:after="0" w:line="240" w:lineRule="auto"/>
              <w:ind w:left="255" w:hanging="360"/>
              <w:rPr>
                <w:rFonts w:cstheme="minorHAnsi"/>
                <w:color w:val="002060"/>
                <w:sz w:val="18"/>
                <w:lang w:val="sr-Cyrl-CS"/>
              </w:rPr>
            </w:pPr>
            <w:r w:rsidRPr="00DE058F">
              <w:rPr>
                <w:rFonts w:cstheme="minorHAnsi"/>
                <w:color w:val="002060"/>
                <w:sz w:val="18"/>
                <w:lang w:val="sr-Cyrl-CS"/>
              </w:rPr>
              <w:t>Бруто дуг опште државе, % БДП</w:t>
            </w:r>
          </w:p>
        </w:tc>
        <w:tc>
          <w:tcPr>
            <w:tcW w:w="656" w:type="pct"/>
            <w:shd w:val="clear" w:color="auto" w:fill="auto"/>
            <w:noWrap/>
            <w:vAlign w:val="center"/>
            <w:hideMark/>
          </w:tcPr>
          <w:p w14:paraId="74A78C98"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95,8</w:t>
            </w:r>
          </w:p>
        </w:tc>
        <w:tc>
          <w:tcPr>
            <w:tcW w:w="656" w:type="pct"/>
            <w:shd w:val="clear" w:color="auto" w:fill="auto"/>
            <w:noWrap/>
            <w:vAlign w:val="center"/>
            <w:hideMark/>
          </w:tcPr>
          <w:p w14:paraId="5AC99C4D"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92,0</w:t>
            </w:r>
          </w:p>
        </w:tc>
        <w:tc>
          <w:tcPr>
            <w:tcW w:w="656" w:type="pct"/>
            <w:shd w:val="clear" w:color="auto" w:fill="auto"/>
            <w:noWrap/>
            <w:vAlign w:val="center"/>
            <w:hideMark/>
          </w:tcPr>
          <w:p w14:paraId="037E2432"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89,6</w:t>
            </w:r>
          </w:p>
        </w:tc>
        <w:tc>
          <w:tcPr>
            <w:tcW w:w="656" w:type="pct"/>
            <w:shd w:val="clear" w:color="auto" w:fill="auto"/>
            <w:noWrap/>
            <w:vAlign w:val="center"/>
            <w:hideMark/>
          </w:tcPr>
          <w:p w14:paraId="193F4D0F"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88,7</w:t>
            </w:r>
          </w:p>
        </w:tc>
      </w:tr>
      <w:tr w:rsidR="00EB41E3" w:rsidRPr="00DE058F" w14:paraId="0FAE5F40" w14:textId="77777777" w:rsidTr="00D0587E">
        <w:trPr>
          <w:trHeight w:val="227"/>
        </w:trPr>
        <w:tc>
          <w:tcPr>
            <w:tcW w:w="2376" w:type="pct"/>
            <w:tcBorders>
              <w:bottom w:val="single" w:sz="4" w:space="0" w:color="002060"/>
            </w:tcBorders>
            <w:shd w:val="clear" w:color="auto" w:fill="auto"/>
            <w:noWrap/>
            <w:vAlign w:val="bottom"/>
            <w:hideMark/>
          </w:tcPr>
          <w:p w14:paraId="2D8341D1" w14:textId="150A23C4" w:rsidR="00EB41E3" w:rsidRPr="00DE058F" w:rsidRDefault="00EB41E3" w:rsidP="00CE729E">
            <w:pPr>
              <w:spacing w:after="0" w:line="240" w:lineRule="auto"/>
              <w:ind w:left="255" w:hanging="360"/>
              <w:rPr>
                <w:rFonts w:cstheme="minorHAnsi"/>
                <w:color w:val="002060"/>
                <w:sz w:val="18"/>
                <w:lang w:val="sr-Cyrl-CS"/>
              </w:rPr>
            </w:pPr>
            <w:r w:rsidRPr="00DE058F">
              <w:rPr>
                <w:rFonts w:cstheme="minorHAnsi"/>
                <w:color w:val="002060"/>
                <w:sz w:val="18"/>
                <w:lang w:val="sr-Cyrl-CS"/>
              </w:rPr>
              <w:t>Салдо текућег рачуна, %</w:t>
            </w:r>
            <w:r w:rsidR="00DD37C8" w:rsidRPr="00DE058F">
              <w:rPr>
                <w:rFonts w:cstheme="minorHAnsi"/>
                <w:color w:val="002060"/>
                <w:sz w:val="18"/>
                <w:lang w:val="sr-Cyrl-CS"/>
              </w:rPr>
              <w:t xml:space="preserve"> </w:t>
            </w:r>
            <w:r w:rsidRPr="00DE058F">
              <w:rPr>
                <w:rFonts w:cstheme="minorHAnsi"/>
                <w:color w:val="002060"/>
                <w:sz w:val="18"/>
                <w:lang w:val="sr-Cyrl-CS"/>
              </w:rPr>
              <w:t>БДП</w:t>
            </w:r>
          </w:p>
        </w:tc>
        <w:tc>
          <w:tcPr>
            <w:tcW w:w="656" w:type="pct"/>
            <w:tcBorders>
              <w:bottom w:val="single" w:sz="4" w:space="0" w:color="002060"/>
            </w:tcBorders>
            <w:shd w:val="clear" w:color="auto" w:fill="auto"/>
            <w:noWrap/>
            <w:vAlign w:val="center"/>
            <w:hideMark/>
          </w:tcPr>
          <w:p w14:paraId="1F80BBE1"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2,5</w:t>
            </w:r>
          </w:p>
        </w:tc>
        <w:tc>
          <w:tcPr>
            <w:tcW w:w="656" w:type="pct"/>
            <w:tcBorders>
              <w:bottom w:val="single" w:sz="4" w:space="0" w:color="002060"/>
            </w:tcBorders>
            <w:shd w:val="clear" w:color="auto" w:fill="auto"/>
            <w:noWrap/>
            <w:vAlign w:val="center"/>
            <w:hideMark/>
          </w:tcPr>
          <w:p w14:paraId="28B46F1F"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1,7</w:t>
            </w:r>
          </w:p>
        </w:tc>
        <w:tc>
          <w:tcPr>
            <w:tcW w:w="656" w:type="pct"/>
            <w:tcBorders>
              <w:bottom w:val="single" w:sz="4" w:space="0" w:color="002060"/>
            </w:tcBorders>
            <w:shd w:val="clear" w:color="auto" w:fill="auto"/>
            <w:noWrap/>
            <w:vAlign w:val="center"/>
            <w:hideMark/>
          </w:tcPr>
          <w:p w14:paraId="2D17BD92" w14:textId="77777777" w:rsidR="00EB41E3" w:rsidRPr="00DE058F" w:rsidRDefault="00EB41E3" w:rsidP="008527D6">
            <w:pPr>
              <w:spacing w:after="0" w:line="240" w:lineRule="auto"/>
              <w:jc w:val="center"/>
              <w:rPr>
                <w:rFonts w:cstheme="minorHAnsi"/>
                <w:color w:val="002060"/>
                <w:sz w:val="18"/>
                <w:lang w:val="sr-Cyrl-CS"/>
              </w:rPr>
            </w:pPr>
            <w:r w:rsidRPr="00DE058F">
              <w:rPr>
                <w:rFonts w:cstheme="minorHAnsi"/>
                <w:color w:val="002060"/>
                <w:sz w:val="18"/>
                <w:lang w:val="sr-Cyrl-CS"/>
              </w:rPr>
              <w:t>2,2</w:t>
            </w:r>
          </w:p>
        </w:tc>
        <w:tc>
          <w:tcPr>
            <w:tcW w:w="656" w:type="pct"/>
            <w:tcBorders>
              <w:bottom w:val="single" w:sz="4" w:space="0" w:color="002060"/>
            </w:tcBorders>
            <w:shd w:val="clear" w:color="auto" w:fill="auto"/>
            <w:noWrap/>
            <w:vAlign w:val="center"/>
            <w:hideMark/>
          </w:tcPr>
          <w:p w14:paraId="02D0648E" w14:textId="77777777" w:rsidR="00EB41E3" w:rsidRPr="00DE058F" w:rsidRDefault="00EB41E3" w:rsidP="00CE729E">
            <w:pPr>
              <w:spacing w:after="0" w:line="240" w:lineRule="auto"/>
              <w:jc w:val="center"/>
              <w:rPr>
                <w:rFonts w:cstheme="minorHAnsi"/>
                <w:color w:val="002060"/>
                <w:sz w:val="18"/>
                <w:lang w:val="sr-Cyrl-CS"/>
              </w:rPr>
            </w:pPr>
            <w:r w:rsidRPr="00DE058F">
              <w:rPr>
                <w:rFonts w:cstheme="minorHAnsi"/>
                <w:color w:val="002060"/>
                <w:sz w:val="18"/>
                <w:lang w:val="sr-Cyrl-CS"/>
              </w:rPr>
              <w:t>2,5</w:t>
            </w:r>
          </w:p>
        </w:tc>
      </w:tr>
    </w:tbl>
    <w:p w14:paraId="2F88CE8E" w14:textId="77777777" w:rsidR="00EB41E3" w:rsidRPr="00DE058F" w:rsidRDefault="00EB41E3" w:rsidP="008527D6">
      <w:pPr>
        <w:spacing w:before="40"/>
        <w:rPr>
          <w:sz w:val="16"/>
          <w:lang w:val="sr-Cyrl-CS"/>
        </w:rPr>
      </w:pPr>
      <w:r w:rsidRPr="00DE058F">
        <w:rPr>
          <w:sz w:val="16"/>
          <w:lang w:val="sr-Cyrl-CS"/>
        </w:rPr>
        <w:t>Извор: Макроекономске пројекције стручњака ЕЦБ за подручје еврозоне, март 2022.</w:t>
      </w:r>
    </w:p>
    <w:p w14:paraId="3C3C23AF" w14:textId="77777777" w:rsidR="003C3685" w:rsidRPr="00DE058F" w:rsidRDefault="003C3685" w:rsidP="003C3685">
      <w:pPr>
        <w:rPr>
          <w:lang w:val="sr-Cyrl-CS"/>
        </w:rPr>
      </w:pPr>
    </w:p>
    <w:p w14:paraId="309BA189" w14:textId="6D5AF7AA" w:rsidR="00EB41E3" w:rsidRPr="00DE058F" w:rsidRDefault="00EB41E3">
      <w:pPr>
        <w:jc w:val="left"/>
        <w:rPr>
          <w:lang w:val="sr-Cyrl-CS"/>
        </w:rPr>
      </w:pPr>
      <w:r w:rsidRPr="00DE058F">
        <w:rPr>
          <w:lang w:val="sr-Cyrl-CS"/>
        </w:rPr>
        <w:br w:type="page"/>
      </w:r>
    </w:p>
    <w:p w14:paraId="6103B3FC" w14:textId="77777777" w:rsidR="00EB41E3" w:rsidRPr="00DE058F" w:rsidRDefault="00EB41E3" w:rsidP="001476C8">
      <w:pPr>
        <w:pStyle w:val="Heading2"/>
        <w:jc w:val="center"/>
        <w:rPr>
          <w:rFonts w:asciiTheme="minorHAnsi" w:hAnsiTheme="minorHAnsi" w:cstheme="minorHAnsi"/>
          <w:b/>
          <w:sz w:val="24"/>
          <w:lang w:val="sr-Cyrl-CS"/>
        </w:rPr>
      </w:pPr>
      <w:bookmarkStart w:id="8" w:name="_Toc530041994"/>
      <w:bookmarkStart w:id="9" w:name="_Toc23342462"/>
      <w:bookmarkStart w:id="10" w:name="_Toc104899603"/>
      <w:r w:rsidRPr="00DE058F">
        <w:rPr>
          <w:rFonts w:asciiTheme="minorHAnsi" w:hAnsiTheme="minorHAnsi" w:cstheme="minorHAnsi"/>
          <w:b/>
          <w:sz w:val="24"/>
          <w:lang w:val="sr-Cyrl-CS"/>
        </w:rPr>
        <w:lastRenderedPageBreak/>
        <w:t>3. Текућа макроекономска кретања у Републици Србији и изгледи</w:t>
      </w:r>
      <w:r w:rsidRPr="00DE058F">
        <w:rPr>
          <w:rFonts w:asciiTheme="minorHAnsi" w:hAnsiTheme="minorHAnsi" w:cstheme="minorHAnsi"/>
          <w:b/>
          <w:sz w:val="24"/>
          <w:lang w:val="sr-Cyrl-CS"/>
        </w:rPr>
        <w:br w:type="textWrapping" w:clear="all"/>
        <w:t>за период 2023–2025. године</w:t>
      </w:r>
      <w:bookmarkEnd w:id="8"/>
      <w:bookmarkEnd w:id="9"/>
      <w:bookmarkEnd w:id="10"/>
    </w:p>
    <w:p w14:paraId="661CACDA" w14:textId="77777777" w:rsidR="00EB41E3" w:rsidRPr="00DE058F" w:rsidRDefault="00EB41E3" w:rsidP="00B435B3">
      <w:pPr>
        <w:rPr>
          <w:lang w:val="sr-Cyrl-CS"/>
        </w:rPr>
      </w:pPr>
      <w:r w:rsidRPr="00DE058F">
        <w:rPr>
          <w:rFonts w:cstheme="minorHAnsi"/>
          <w:noProof/>
          <w:color w:val="FF0000"/>
        </w:rPr>
        <mc:AlternateContent>
          <mc:Choice Requires="wps">
            <w:drawing>
              <wp:anchor distT="0" distB="0" distL="114300" distR="114300" simplePos="0" relativeHeight="251674112" behindDoc="1" locked="0" layoutInCell="1" allowOverlap="1" wp14:anchorId="24135C41" wp14:editId="15C6FB37">
                <wp:simplePos x="0" y="0"/>
                <wp:positionH relativeFrom="margin">
                  <wp:posOffset>-198408</wp:posOffset>
                </wp:positionH>
                <wp:positionV relativeFrom="paragraph">
                  <wp:posOffset>185756</wp:posOffset>
                </wp:positionV>
                <wp:extent cx="6334760" cy="7315200"/>
                <wp:effectExtent l="0" t="0" r="8890" b="0"/>
                <wp:wrapNone/>
                <wp:docPr id="65" name="Rectangle 65"/>
                <wp:cNvGraphicFramePr/>
                <a:graphic xmlns:a="http://schemas.openxmlformats.org/drawingml/2006/main">
                  <a:graphicData uri="http://schemas.microsoft.com/office/word/2010/wordprocessingShape">
                    <wps:wsp>
                      <wps:cNvSpPr/>
                      <wps:spPr>
                        <a:xfrm>
                          <a:off x="0" y="0"/>
                          <a:ext cx="6334760" cy="7315200"/>
                        </a:xfrm>
                        <a:prstGeom prst="rect">
                          <a:avLst/>
                        </a:prstGeom>
                        <a:pattFill prst="pct25">
                          <a:fgClr>
                            <a:schemeClr val="bg1">
                              <a:lumMod val="8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E7CB2E" id="Rectangle 65" o:spid="_x0000_s1026" style="position:absolute;margin-left:-15.6pt;margin-top:14.65pt;width:498.8pt;height:8in;z-index:-251642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" fillcolor="#d8d8d8 [2732]" stroked="f" strokeweight="1pt">
                <v:fill r:id="rId28" o:title="" color2="white [3212]" type="pattern"/>
                <w10:wrap anchorx="margin"/>
              </v:rect>
            </w:pict>
          </mc:Fallback>
        </mc:AlternateContent>
      </w:r>
    </w:p>
    <w:p w14:paraId="75200D05" w14:textId="77777777" w:rsidR="00EB41E3" w:rsidRPr="00DE058F" w:rsidRDefault="00EB41E3" w:rsidP="00B435B3">
      <w:pPr>
        <w:rPr>
          <w:lang w:val="sr-Cyrl-CS"/>
        </w:rPr>
        <w:sectPr w:rsidR="00EB41E3" w:rsidRPr="00DE058F" w:rsidSect="008527D6">
          <w:headerReference w:type="even" r:id="rId29"/>
          <w:headerReference w:type="default" r:id="rId30"/>
          <w:footerReference w:type="even" r:id="rId31"/>
          <w:footerReference w:type="default" r:id="rId32"/>
          <w:type w:val="continuous"/>
          <w:pgSz w:w="12240" w:h="15840" w:code="1"/>
          <w:pgMar w:top="1440" w:right="1440" w:bottom="1440" w:left="1440" w:header="720" w:footer="720" w:gutter="0"/>
          <w:cols w:space="720"/>
          <w:docGrid w:linePitch="360"/>
        </w:sectPr>
      </w:pPr>
    </w:p>
    <w:p w14:paraId="69A0733F" w14:textId="4C309785" w:rsidR="00EB41E3" w:rsidRPr="00DE058F" w:rsidRDefault="00EB41E3" w:rsidP="008527D6">
      <w:pPr>
        <w:rPr>
          <w:rFonts w:cstheme="minorHAnsi"/>
          <w:color w:val="0070C0"/>
          <w:lang w:val="sr-Cyrl-CS"/>
        </w:rPr>
      </w:pPr>
      <w:r w:rsidRPr="00DE058F">
        <w:rPr>
          <w:rFonts w:cstheme="minorHAnsi"/>
          <w:bCs/>
          <w:color w:val="0070C0"/>
          <w:szCs w:val="72"/>
          <w:lang w:val="sr-Cyrl-CS"/>
        </w:rPr>
        <w:t>Привреда Србије је током две године глобалне кризе изазване пандемијом коронавируса остварила добре резултате. Кумулативни раст БДП у овом периоду износио је 6,4%, што представља један од најбољих резултата у Европи. Пакет економских мера током две кризне године допринео је повећању ликвидности привредних субјеката и олакшању пословања, док је кроз давања становништву подстицао домаћу тражњу и на тај начин индиректно утицао на економску активност. Поред ових привремених фактора који су позитивно допринели расту БДП дошло је и до структурних побољшања. Она се пре свега огледају у активирању нових и проширењу постојећих извозно конкурентних производних капацитета, као и у даљем убрзаном развоју путне и железничке инфраструктуре којима се трајно повећао потенцијал домаће привреде.</w:t>
      </w:r>
      <w:r w:rsidRPr="00DE058F">
        <w:rPr>
          <w:rFonts w:cstheme="minorHAnsi"/>
          <w:color w:val="0070C0"/>
          <w:lang w:val="sr-Cyrl-CS"/>
        </w:rPr>
        <w:t xml:space="preserve"> </w:t>
      </w:r>
      <w:r w:rsidRPr="00DE058F">
        <w:rPr>
          <w:rFonts w:cstheme="minorHAnsi"/>
          <w:bCs/>
          <w:color w:val="0070C0"/>
          <w:szCs w:val="72"/>
          <w:lang w:val="sr-Cyrl-CS"/>
        </w:rPr>
        <w:t xml:space="preserve">Раст економске активности и пакет економске подршке резултирали су стабилним кретањима на тржишту рада. Очувана су радна места и зараде, како у приватном тако и у јавном сектору, а стопа незапослености у 2021. години била је испод предпандемијског нивоа. Истовремено, није нарушена ни унутрашња нити спољна равнотежа уз стабилан прилив </w:t>
      </w:r>
      <w:r w:rsidR="00BB6CCF" w:rsidRPr="00DE058F">
        <w:rPr>
          <w:rFonts w:cstheme="minorHAnsi"/>
          <w:bCs/>
          <w:color w:val="0070C0"/>
          <w:szCs w:val="72"/>
          <w:lang w:val="sr-Cyrl-CS"/>
        </w:rPr>
        <w:t>СДИ</w:t>
      </w:r>
      <w:r w:rsidRPr="00DE058F">
        <w:rPr>
          <w:rFonts w:cstheme="minorHAnsi"/>
          <w:bCs/>
          <w:color w:val="0070C0"/>
          <w:szCs w:val="72"/>
          <w:lang w:val="sr-Cyrl-CS"/>
        </w:rPr>
        <w:t xml:space="preserve"> које су обезбеђивале више него пуну покривеност дефицита текућег рачуна. Повећана експанзивност фискалне политике није угрозила одрживост јавних финансија. Боља наплата прихода, пре свега пореских, услед бржег од очекиваног раста привреде одразила се на очување фискалне стабилности.</w:t>
      </w:r>
    </w:p>
    <w:p w14:paraId="4B723099" w14:textId="384C3534" w:rsidR="00EB41E3" w:rsidRPr="00DE058F" w:rsidRDefault="00EB41E3" w:rsidP="008527D6">
      <w:pPr>
        <w:rPr>
          <w:rFonts w:cstheme="minorHAnsi"/>
          <w:bCs/>
          <w:color w:val="0070C0"/>
          <w:szCs w:val="72"/>
          <w:lang w:val="sr-Cyrl-CS"/>
        </w:rPr>
      </w:pPr>
      <w:r w:rsidRPr="00DE058F">
        <w:rPr>
          <w:rFonts w:cstheme="minorHAnsi"/>
          <w:bCs/>
          <w:color w:val="0070C0"/>
          <w:szCs w:val="72"/>
          <w:lang w:val="sr-Cyrl-CS"/>
        </w:rPr>
        <w:t xml:space="preserve">Текућа макроекономска кретања почетком 2022. године генерално су на нивоу пројектованих претходном Фискалном стратегијом, али су изгледи значајно погоршани. У тренуцима када се коначно назирао крај пандемије дошло је до новог глобалног шока изазваног сукобом </w:t>
      </w:r>
      <w:r w:rsidRPr="00DE058F">
        <w:rPr>
          <w:rFonts w:cstheme="minorHAnsi"/>
          <w:bCs/>
          <w:color w:val="0070C0"/>
          <w:spacing w:val="-2"/>
          <w:szCs w:val="72"/>
          <w:lang w:val="sr-Cyrl-CS"/>
        </w:rPr>
        <w:t>у Украјини. Иако је у првом кварталу 2022. године остварен раст БДП Србије од 4,3% мг</w:t>
      </w:r>
      <w:r w:rsidR="00314A83" w:rsidRPr="00DE058F">
        <w:rPr>
          <w:rFonts w:cstheme="minorHAnsi"/>
          <w:bCs/>
          <w:color w:val="0070C0"/>
          <w:spacing w:val="-2"/>
          <w:szCs w:val="72"/>
          <w:lang w:val="sr-Cyrl-CS"/>
        </w:rPr>
        <w:t>.</w:t>
      </w:r>
      <w:r w:rsidRPr="00DE058F">
        <w:rPr>
          <w:rFonts w:cstheme="minorHAnsi"/>
          <w:bCs/>
          <w:color w:val="0070C0"/>
          <w:spacing w:val="-2"/>
          <w:szCs w:val="72"/>
          <w:lang w:val="sr-Cyrl-CS"/>
        </w:rPr>
        <w:t xml:space="preserve">, изостали су значајнији </w:t>
      </w:r>
      <w:r w:rsidRPr="00DE058F">
        <w:rPr>
          <w:rFonts w:cstheme="minorHAnsi"/>
          <w:bCs/>
          <w:color w:val="0070C0"/>
          <w:szCs w:val="72"/>
          <w:lang w:val="sr-Cyrl-CS"/>
        </w:rPr>
        <w:t xml:space="preserve">негативни ефекти ових геополитичких дешавања </w:t>
      </w:r>
      <w:r w:rsidRPr="00DE058F">
        <w:rPr>
          <w:rFonts w:cstheme="minorHAnsi"/>
          <w:bCs/>
          <w:color w:val="0070C0"/>
          <w:szCs w:val="72"/>
          <w:lang w:val="sr-Cyrl-CS"/>
        </w:rPr>
        <w:t>на динамику домаће привредне активности. Међутим, ескалација сукоба и заоштравање међународних економских и политичких односа, праћени рекордним ценама енергената и последично смањеној глобалној трговини и спољној тражњи, неминовно ће се одразити и на домаћу економску активност у наредном периоду. У складу са тим, ревидирана је пројекција привредног раста за 2022. годину на 3,5% услед мањих од претходно очекиваних стопа раста у другој половини године, а за 1,0 п.п. смањена је и пројекција раста БДП у 2023. години. Рекордне цене енергената уз повећање увезених количина одразиће се на погоршање платнобилансних кретања, те се под утицајем ових фактора очекује већи дефицит текућег рачуна од претходно пројектованог и током ове и у наредној години. Раст цена током последњег квартала 2021. године, за који се очекивало да ће бити привременог карактера</w:t>
      </w:r>
      <w:r w:rsidR="00FC2EB6" w:rsidRPr="00DE058F">
        <w:rPr>
          <w:rFonts w:cstheme="minorHAnsi"/>
          <w:bCs/>
          <w:color w:val="0070C0"/>
          <w:szCs w:val="72"/>
          <w:lang w:val="sr-Cyrl-CS"/>
        </w:rPr>
        <w:t>,</w:t>
      </w:r>
      <w:r w:rsidRPr="00DE058F">
        <w:rPr>
          <w:rFonts w:cstheme="minorHAnsi"/>
          <w:bCs/>
          <w:color w:val="0070C0"/>
          <w:szCs w:val="72"/>
          <w:lang w:val="sr-Cyrl-CS"/>
        </w:rPr>
        <w:t xml:space="preserve"> као последица постепеног ишчезавања ефеката пандемије, додатно је убрзан пре свега услед рекордних цена енергената и хране изазваних сукобом у Украјини. То је условило ревизију навише очекиване инфлације током ове и наредне године на 9,2% и 5,3%, респективно.</w:t>
      </w:r>
    </w:p>
    <w:p w14:paraId="76BF28F5" w14:textId="77777777" w:rsidR="00EB41E3" w:rsidRPr="00DE058F" w:rsidRDefault="00EB41E3" w:rsidP="008527D6">
      <w:pPr>
        <w:rPr>
          <w:rFonts w:cstheme="minorHAnsi"/>
          <w:bCs/>
          <w:color w:val="0070C0"/>
          <w:szCs w:val="72"/>
          <w:lang w:val="sr-Cyrl-CS"/>
        </w:rPr>
      </w:pPr>
      <w:r w:rsidRPr="00DE058F">
        <w:rPr>
          <w:rFonts w:cstheme="minorHAnsi"/>
          <w:bCs/>
          <w:color w:val="0070C0"/>
          <w:szCs w:val="72"/>
          <w:lang w:val="sr-Cyrl-CS"/>
        </w:rPr>
        <w:t>Неизвесност присутна код пројекција датих у овом документу далеко је већа од уобичајене због природе и обима шокова на глобалном нивоу. Влада континуирано доноси мере које имају за циљ ублажавање последица изузетно неповољног утицаја међународног окружења на привреду и становништво и очување енергетске стабилности. Оваква оријентација остаће у фокусу креатора економске политике и у наредном периоду, а задржавање јавног дуга испод 60% биће и даље основно сидро за вођење фискалне политике. Поред тога, препозната је неопходност проналажења нових извора раста, па су иновације, истраживање и развој и креативне индустрије у сталном фокусу приликом дефинисања будућих политика.</w:t>
      </w:r>
    </w:p>
    <w:p w14:paraId="1E9334DE" w14:textId="77777777" w:rsidR="00EB41E3" w:rsidRPr="00DE058F" w:rsidRDefault="00EB41E3" w:rsidP="008527D6">
      <w:pPr>
        <w:rPr>
          <w:rFonts w:cstheme="minorHAnsi"/>
          <w:bCs/>
          <w:color w:val="0070C0"/>
          <w:szCs w:val="72"/>
          <w:lang w:val="sr-Cyrl-CS"/>
        </w:rPr>
        <w:sectPr w:rsidR="00EB41E3" w:rsidRPr="00DE058F" w:rsidSect="00CE5657">
          <w:type w:val="continuous"/>
          <w:pgSz w:w="12240" w:h="15840"/>
          <w:pgMar w:top="1440" w:right="1440" w:bottom="1440" w:left="1440" w:header="720" w:footer="720" w:gutter="0"/>
          <w:cols w:num="2" w:space="720"/>
          <w:docGrid w:linePitch="360"/>
          <w15:footnoteColumns w:val="1"/>
        </w:sectPr>
      </w:pPr>
    </w:p>
    <w:p w14:paraId="105FF7DA" w14:textId="77777777" w:rsidR="00EB41E3" w:rsidRPr="00DE058F" w:rsidRDefault="00EB41E3" w:rsidP="00B435B3">
      <w:pPr>
        <w:pStyle w:val="NoSpacing"/>
        <w:jc w:val="center"/>
        <w:rPr>
          <w:rFonts w:cstheme="minorHAnsi"/>
          <w:color w:val="002060"/>
          <w:spacing w:val="-6"/>
          <w:lang w:val="sr-Cyrl-CS"/>
        </w:rPr>
      </w:pPr>
    </w:p>
    <w:p w14:paraId="4CB41972" w14:textId="77777777" w:rsidR="00EB41E3" w:rsidRPr="00DE058F" w:rsidRDefault="00EB41E3">
      <w:pPr>
        <w:jc w:val="left"/>
        <w:rPr>
          <w:rFonts w:cstheme="minorHAnsi"/>
          <w:b/>
          <w:color w:val="002060"/>
          <w:spacing w:val="-6"/>
          <w:lang w:val="sr-Cyrl-CS"/>
        </w:rPr>
      </w:pPr>
      <w:r w:rsidRPr="00DE058F">
        <w:rPr>
          <w:rFonts w:cstheme="minorHAnsi"/>
          <w:color w:val="002060"/>
          <w:spacing w:val="-6"/>
          <w:lang w:val="sr-Cyrl-CS"/>
        </w:rPr>
        <w:br w:type="page"/>
      </w:r>
    </w:p>
    <w:p w14:paraId="34410D8C" w14:textId="77777777" w:rsidR="00EB41E3" w:rsidRPr="00DE058F" w:rsidRDefault="00EB41E3" w:rsidP="00B435B3">
      <w:pPr>
        <w:pStyle w:val="NoSpacing"/>
        <w:jc w:val="center"/>
        <w:rPr>
          <w:rFonts w:cstheme="minorHAnsi"/>
          <w:color w:val="002060"/>
          <w:spacing w:val="-6"/>
          <w:lang w:val="sr-Cyrl-CS"/>
        </w:rPr>
      </w:pPr>
      <w:r w:rsidRPr="00DE058F">
        <w:rPr>
          <w:rFonts w:cstheme="minorHAnsi"/>
          <w:color w:val="002060"/>
          <w:spacing w:val="-6"/>
          <w:lang w:val="sr-Cyrl-CS"/>
        </w:rPr>
        <w:lastRenderedPageBreak/>
        <w:t>Ревизија кретања основних макроекономских агрегата у односу на претходну Фискалну стратегију</w:t>
      </w:r>
    </w:p>
    <w:p w14:paraId="3EB17340" w14:textId="77777777" w:rsidR="00EB41E3" w:rsidRPr="00DE058F" w:rsidRDefault="00EB41E3" w:rsidP="00B435B3">
      <w:pPr>
        <w:spacing w:after="0"/>
        <w:rPr>
          <w:color w:val="002060"/>
          <w:sz w:val="10"/>
          <w:lang w:val="sr-Cyrl-CS"/>
        </w:rPr>
      </w:pPr>
    </w:p>
    <w:p w14:paraId="389F2B5A" w14:textId="77777777" w:rsidR="00EB41E3" w:rsidRPr="00DE058F" w:rsidRDefault="00EB41E3" w:rsidP="00B435B3">
      <w:pPr>
        <w:jc w:val="center"/>
        <w:rPr>
          <w:b/>
          <w:color w:val="002060"/>
          <w:szCs w:val="21"/>
          <w:lang w:val="sr-Cyrl-CS"/>
        </w:rPr>
      </w:pPr>
      <w:r w:rsidRPr="00DE058F">
        <w:rPr>
          <w:b/>
          <w:color w:val="002060"/>
          <w:szCs w:val="21"/>
          <w:lang w:val="sr-Cyrl-CS"/>
        </w:rPr>
        <w:t>Реални раст БДП, %</w:t>
      </w:r>
    </w:p>
    <w:p w14:paraId="4D4EF203" w14:textId="77777777" w:rsidR="00EB41E3" w:rsidRPr="00DE058F" w:rsidRDefault="00EB41E3" w:rsidP="00B435B3">
      <w:pPr>
        <w:spacing w:after="0"/>
        <w:rPr>
          <w:lang w:val="sr-Cyrl-CS"/>
        </w:rPr>
      </w:pPr>
      <w:r w:rsidRPr="00DE058F">
        <w:rPr>
          <w:noProof/>
        </w:rPr>
        <w:drawing>
          <wp:inline distT="0" distB="0" distL="0" distR="0" wp14:anchorId="0DA0190B" wp14:editId="51ED66FA">
            <wp:extent cx="1332000" cy="1224000"/>
            <wp:effectExtent l="0" t="0" r="0" b="0"/>
            <wp:docPr id="21" name="Chart 21">
              <a:extLst xmlns:a="http://schemas.openxmlformats.org/drawingml/2006/main">
                <a:ext uri="{FF2B5EF4-FFF2-40B4-BE49-F238E27FC236}">
                  <a16:creationId xmlns:a16="http://schemas.microsoft.com/office/drawing/2014/main"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Pr="00DE058F">
        <w:rPr>
          <w:lang w:val="sr-Cyrl-CS"/>
        </w:rPr>
        <w:t xml:space="preserve">  </w:t>
      </w:r>
      <w:r w:rsidRPr="00DE058F">
        <w:rPr>
          <w:noProof/>
        </w:rPr>
        <w:drawing>
          <wp:inline distT="0" distB="0" distL="0" distR="0" wp14:anchorId="1B947690" wp14:editId="299541D0">
            <wp:extent cx="1332000" cy="1224000"/>
            <wp:effectExtent l="0" t="0" r="1905" b="0"/>
            <wp:docPr id="22" name="Chart 22">
              <a:extLst xmlns:a="http://schemas.openxmlformats.org/drawingml/2006/main">
                <a:ext uri="{FF2B5EF4-FFF2-40B4-BE49-F238E27FC236}">
                  <a16:creationId xmlns:a16="http://schemas.microsoft.com/office/drawing/2014/main" id="{00000000-0008-0000-0900-00002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8A74084" w14:textId="77777777" w:rsidR="00EB41E3" w:rsidRPr="00DE058F" w:rsidRDefault="00EB41E3" w:rsidP="00B435B3">
      <w:pPr>
        <w:spacing w:after="0"/>
        <w:rPr>
          <w:lang w:val="sr-Cyrl-CS"/>
        </w:rPr>
      </w:pPr>
    </w:p>
    <w:p w14:paraId="73630994" w14:textId="77777777" w:rsidR="00EB41E3" w:rsidRPr="00DE058F" w:rsidRDefault="00EB41E3" w:rsidP="008527D6">
      <w:pPr>
        <w:jc w:val="center"/>
        <w:rPr>
          <w:b/>
          <w:color w:val="002060"/>
          <w:szCs w:val="21"/>
          <w:lang w:val="sr-Cyrl-CS"/>
        </w:rPr>
      </w:pPr>
      <w:r w:rsidRPr="00DE058F">
        <w:rPr>
          <w:b/>
          <w:color w:val="002060"/>
          <w:szCs w:val="21"/>
          <w:lang w:val="sr-Cyrl-CS"/>
        </w:rPr>
        <w:t>Салдо текућег рачуна, % БДП</w:t>
      </w:r>
    </w:p>
    <w:p w14:paraId="397355BF" w14:textId="77777777" w:rsidR="00EB41E3" w:rsidRPr="00DE058F" w:rsidRDefault="00EB41E3" w:rsidP="00B435B3">
      <w:pPr>
        <w:spacing w:after="0"/>
        <w:jc w:val="left"/>
        <w:rPr>
          <w:lang w:val="sr-Cyrl-CS"/>
        </w:rPr>
      </w:pPr>
      <w:r w:rsidRPr="00DE058F">
        <w:rPr>
          <w:noProof/>
        </w:rPr>
        <w:drawing>
          <wp:inline distT="0" distB="0" distL="0" distR="0" wp14:anchorId="5E0A97AF" wp14:editId="576A0D95">
            <wp:extent cx="1332000" cy="1224000"/>
            <wp:effectExtent l="0" t="0" r="1905" b="0"/>
            <wp:docPr id="18" name="Chart 18">
              <a:extLst xmlns:a="http://schemas.openxmlformats.org/drawingml/2006/main">
                <a:ext uri="{FF2B5EF4-FFF2-40B4-BE49-F238E27FC236}">
                  <a16:creationId xmlns:a16="http://schemas.microsoft.com/office/drawing/2014/main" id="{00000000-0008-0000-0900-00002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DE058F">
        <w:rPr>
          <w:lang w:val="sr-Cyrl-CS"/>
        </w:rPr>
        <w:t xml:space="preserve">  </w:t>
      </w:r>
      <w:r w:rsidRPr="00DE058F">
        <w:rPr>
          <w:noProof/>
        </w:rPr>
        <w:drawing>
          <wp:inline distT="0" distB="0" distL="0" distR="0" wp14:anchorId="1A97F462" wp14:editId="5287129E">
            <wp:extent cx="1332000" cy="1224000"/>
            <wp:effectExtent l="0" t="0" r="1905" b="0"/>
            <wp:docPr id="34" name="Chart 34">
              <a:extLst xmlns:a="http://schemas.openxmlformats.org/drawingml/2006/main">
                <a:ext uri="{FF2B5EF4-FFF2-40B4-BE49-F238E27FC236}">
                  <a16:creationId xmlns:a16="http://schemas.microsoft.com/office/drawing/2014/main" id="{00000000-0008-0000-0900-00002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8AD5848" w14:textId="77777777" w:rsidR="00EB41E3" w:rsidRPr="00DE058F" w:rsidRDefault="00EB41E3" w:rsidP="00B435B3">
      <w:pPr>
        <w:spacing w:after="0"/>
        <w:rPr>
          <w:lang w:val="sr-Cyrl-CS"/>
        </w:rPr>
      </w:pPr>
    </w:p>
    <w:p w14:paraId="4D20781B" w14:textId="77777777" w:rsidR="00EB41E3" w:rsidRPr="00DE058F" w:rsidRDefault="00EB41E3" w:rsidP="00B435B3">
      <w:pPr>
        <w:spacing w:after="0"/>
        <w:jc w:val="center"/>
        <w:rPr>
          <w:b/>
          <w:color w:val="002060"/>
          <w:szCs w:val="21"/>
          <w:lang w:val="sr-Cyrl-CS"/>
        </w:rPr>
      </w:pPr>
      <w:r w:rsidRPr="00DE058F">
        <w:rPr>
          <w:b/>
          <w:color w:val="002060"/>
          <w:szCs w:val="21"/>
          <w:lang w:val="sr-Cyrl-CS"/>
        </w:rPr>
        <w:t>Инфлација, просек периода, %</w:t>
      </w:r>
    </w:p>
    <w:p w14:paraId="71AC7541" w14:textId="77777777" w:rsidR="00EB41E3" w:rsidRPr="00DE058F" w:rsidRDefault="00EB41E3" w:rsidP="00B435B3">
      <w:pPr>
        <w:spacing w:after="0"/>
        <w:rPr>
          <w:lang w:val="sr-Cyrl-CS"/>
        </w:rPr>
      </w:pPr>
      <w:r w:rsidRPr="00DE058F">
        <w:rPr>
          <w:noProof/>
        </w:rPr>
        <w:drawing>
          <wp:inline distT="0" distB="0" distL="0" distR="0" wp14:anchorId="22E20806" wp14:editId="545A92BD">
            <wp:extent cx="1332000" cy="1008000"/>
            <wp:effectExtent l="0" t="0" r="0" b="0"/>
            <wp:docPr id="7" name="Chart 7">
              <a:extLst xmlns:a="http://schemas.openxmlformats.org/drawingml/2006/main">
                <a:ext uri="{FF2B5EF4-FFF2-40B4-BE49-F238E27FC236}">
                  <a16:creationId xmlns:a16="http://schemas.microsoft.com/office/drawing/2014/main" id="{00000000-0008-0000-0900-00003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Pr="00DE058F">
        <w:rPr>
          <w:lang w:val="sr-Cyrl-CS"/>
        </w:rPr>
        <w:t xml:space="preserve">  </w:t>
      </w:r>
      <w:r w:rsidRPr="00DE058F">
        <w:rPr>
          <w:noProof/>
        </w:rPr>
        <w:drawing>
          <wp:inline distT="0" distB="0" distL="0" distR="0" wp14:anchorId="31BC3E38" wp14:editId="1DABB0DB">
            <wp:extent cx="1332000" cy="1008000"/>
            <wp:effectExtent l="0" t="0" r="0" b="0"/>
            <wp:docPr id="10" name="Chart 10">
              <a:extLst xmlns:a="http://schemas.openxmlformats.org/drawingml/2006/main">
                <a:ext uri="{FF2B5EF4-FFF2-40B4-BE49-F238E27FC236}">
                  <a16:creationId xmlns:a16="http://schemas.microsoft.com/office/drawing/2014/main" id="{00000000-0008-0000-0900-00003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01B2977" w14:textId="77777777" w:rsidR="00EB41E3" w:rsidRPr="00DE058F" w:rsidRDefault="00EB41E3" w:rsidP="008527D6">
      <w:pPr>
        <w:spacing w:after="120"/>
        <w:rPr>
          <w:rFonts w:cstheme="minorHAnsi"/>
          <w:szCs w:val="72"/>
          <w:lang w:val="sr-Cyrl-CS"/>
        </w:rPr>
      </w:pPr>
    </w:p>
    <w:p w14:paraId="2D126E9B" w14:textId="77777777" w:rsidR="00EB41E3" w:rsidRPr="00DE058F" w:rsidRDefault="00EB41E3" w:rsidP="008527D6">
      <w:pPr>
        <w:spacing w:after="0"/>
        <w:jc w:val="center"/>
        <w:rPr>
          <w:b/>
          <w:color w:val="002060"/>
          <w:szCs w:val="21"/>
          <w:lang w:val="sr-Cyrl-CS"/>
        </w:rPr>
      </w:pPr>
      <w:r w:rsidRPr="00DE058F">
        <w:rPr>
          <w:b/>
          <w:color w:val="002060"/>
          <w:szCs w:val="21"/>
          <w:lang w:val="sr-Cyrl-CS"/>
        </w:rPr>
        <w:t>Фискални резултат, % БДП</w:t>
      </w:r>
    </w:p>
    <w:p w14:paraId="372A08E0" w14:textId="77777777" w:rsidR="00EB41E3" w:rsidRPr="00DE058F" w:rsidRDefault="00EB41E3" w:rsidP="00B435B3">
      <w:pPr>
        <w:spacing w:after="0"/>
        <w:rPr>
          <w:lang w:val="sr-Cyrl-CS"/>
        </w:rPr>
      </w:pPr>
      <w:r w:rsidRPr="00DE058F">
        <w:rPr>
          <w:noProof/>
        </w:rPr>
        <w:drawing>
          <wp:inline distT="0" distB="0" distL="0" distR="0" wp14:anchorId="5EAC721C" wp14:editId="18A290FD">
            <wp:extent cx="1332000" cy="1224000"/>
            <wp:effectExtent l="0" t="0" r="1905" b="0"/>
            <wp:docPr id="3" name="Chart 3">
              <a:extLst xmlns:a="http://schemas.openxmlformats.org/drawingml/2006/main">
                <a:ext uri="{FF2B5EF4-FFF2-40B4-BE49-F238E27FC236}">
                  <a16:creationId xmlns:a16="http://schemas.microsoft.com/office/drawing/2014/main" id="{00000000-0008-0000-0900-00003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Pr="00DE058F">
        <w:rPr>
          <w:lang w:val="sr-Cyrl-CS" w:eastAsia="en-GB"/>
        </w:rPr>
        <w:t xml:space="preserve">  </w:t>
      </w:r>
      <w:r w:rsidRPr="00DE058F">
        <w:rPr>
          <w:noProof/>
        </w:rPr>
        <w:drawing>
          <wp:inline distT="0" distB="0" distL="0" distR="0" wp14:anchorId="2FA0F435" wp14:editId="4CC554DE">
            <wp:extent cx="1332000" cy="1224000"/>
            <wp:effectExtent l="0" t="0" r="0" b="0"/>
            <wp:docPr id="20" name="Chart 20">
              <a:extLst xmlns:a="http://schemas.openxmlformats.org/drawingml/2006/main">
                <a:ext uri="{FF2B5EF4-FFF2-40B4-BE49-F238E27FC236}">
                  <a16:creationId xmlns:a16="http://schemas.microsoft.com/office/drawing/2014/main" id="{00000000-0008-0000-0900-00004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2A3560F" w14:textId="77777777" w:rsidR="00EB41E3" w:rsidRPr="00DE058F" w:rsidRDefault="00EB41E3" w:rsidP="008527D6">
      <w:pPr>
        <w:spacing w:after="0"/>
        <w:jc w:val="center"/>
        <w:rPr>
          <w:b/>
          <w:color w:val="002060"/>
          <w:szCs w:val="21"/>
          <w:lang w:val="sr-Cyrl-CS"/>
        </w:rPr>
      </w:pPr>
      <w:r w:rsidRPr="00DE058F">
        <w:rPr>
          <w:b/>
          <w:color w:val="002060"/>
          <w:szCs w:val="21"/>
          <w:lang w:val="sr-Cyrl-CS"/>
        </w:rPr>
        <w:t>Јавни дуг опште државе, % БДП</w:t>
      </w:r>
    </w:p>
    <w:p w14:paraId="2F2971BD" w14:textId="77777777" w:rsidR="00EB41E3" w:rsidRPr="00DE058F" w:rsidRDefault="00EB41E3" w:rsidP="008527D6">
      <w:pPr>
        <w:spacing w:after="0"/>
        <w:jc w:val="center"/>
        <w:rPr>
          <w:lang w:val="sr-Cyrl-CS"/>
        </w:rPr>
      </w:pPr>
      <w:r w:rsidRPr="00DE058F">
        <w:rPr>
          <w:noProof/>
        </w:rPr>
        <w:drawing>
          <wp:inline distT="0" distB="0" distL="0" distR="0" wp14:anchorId="4955AAA8" wp14:editId="7680B8FC">
            <wp:extent cx="1332000" cy="1224000"/>
            <wp:effectExtent l="0" t="0" r="0" b="0"/>
            <wp:docPr id="6" name="Chart 6">
              <a:extLst xmlns:a="http://schemas.openxmlformats.org/drawingml/2006/main">
                <a:ext uri="{FF2B5EF4-FFF2-40B4-BE49-F238E27FC236}">
                  <a16:creationId xmlns:a16="http://schemas.microsoft.com/office/drawing/2014/main" id="{00000000-0008-0000-0900-000041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Pr="00DE058F">
        <w:rPr>
          <w:lang w:val="sr-Cyrl-CS"/>
        </w:rPr>
        <w:t xml:space="preserve">  </w:t>
      </w:r>
      <w:r w:rsidRPr="00DE058F">
        <w:rPr>
          <w:noProof/>
        </w:rPr>
        <w:drawing>
          <wp:inline distT="0" distB="0" distL="0" distR="0" wp14:anchorId="4345801A" wp14:editId="5C50364B">
            <wp:extent cx="1332000" cy="1224000"/>
            <wp:effectExtent l="0" t="0" r="1905" b="0"/>
            <wp:docPr id="9" name="Chart 9">
              <a:extLst xmlns:a="http://schemas.openxmlformats.org/drawingml/2006/main">
                <a:ext uri="{FF2B5EF4-FFF2-40B4-BE49-F238E27FC236}">
                  <a16:creationId xmlns:a16="http://schemas.microsoft.com/office/drawing/2014/main" id="{00000000-0008-0000-0900-00004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63FD35E7" w14:textId="77777777" w:rsidR="00EB41E3" w:rsidRPr="00DE058F" w:rsidRDefault="00EB41E3" w:rsidP="008527D6">
      <w:pPr>
        <w:spacing w:before="240"/>
        <w:jc w:val="left"/>
        <w:rPr>
          <w:rFonts w:cstheme="minorHAnsi"/>
          <w:b/>
          <w:color w:val="2F5496" w:themeColor="accent1" w:themeShade="BF"/>
          <w:sz w:val="22"/>
          <w:lang w:val="sr-Cyrl-CS"/>
        </w:rPr>
      </w:pPr>
      <w:r w:rsidRPr="00DE058F">
        <w:rPr>
          <w:rFonts w:cstheme="minorHAnsi"/>
          <w:b/>
          <w:color w:val="2F5496" w:themeColor="accent1" w:themeShade="BF"/>
          <w:sz w:val="22"/>
          <w:lang w:val="sr-Cyrl-CS"/>
        </w:rPr>
        <w:t>Текућа кретања реалног сектора</w:t>
      </w:r>
    </w:p>
    <w:p w14:paraId="0409BB62" w14:textId="77777777" w:rsidR="00EB41E3" w:rsidRPr="00DE058F" w:rsidRDefault="00EB41E3" w:rsidP="008527D6">
      <w:pPr>
        <w:rPr>
          <w:rFonts w:cstheme="minorHAnsi"/>
          <w:bCs/>
          <w:szCs w:val="72"/>
          <w:lang w:val="sr-Cyrl-CS"/>
        </w:rPr>
      </w:pPr>
      <w:r w:rsidRPr="00DE058F">
        <w:rPr>
          <w:rFonts w:cstheme="minorHAnsi"/>
          <w:bCs/>
          <w:szCs w:val="72"/>
          <w:lang w:val="sr-Cyrl-CS"/>
        </w:rPr>
        <w:t>Према прелиминарним подацима РЗС добијених на бази кварталних обрачуна, привреда Србије је у 2021. години остварила снажан раст од 7,4%, што је за 0,4 п.п. више у односу на претходну процену. Овом резултату, поред постепеног релаксирања рестриктивних епидемиолошких мера и претходно успостављене макроекономске стабилности, у великој мери допринело је даље спровођење програма подршке привреди и становништву. Усвојени пакет мера током 2021. године додатно је осигурао ликвидност појединих делова привреде који су највише били погођени пандемијом коронавируса, попут туризма, угоститељства и саобраћаја, док је кроз подршку становништву допринео очувању домаће тражње. У таквим околностима, већ у првом кварталу 2021. године домаћа привреда је премашила ниво економске активности из предпандемијског периода, док је током последњег тромесечја БДП био већи за 6,7% у односу на ниво пре почетка пандемије.</w:t>
      </w:r>
    </w:p>
    <w:p w14:paraId="046657A0" w14:textId="77777777" w:rsidR="00EB41E3" w:rsidRPr="00DE058F" w:rsidRDefault="00EB41E3" w:rsidP="008527D6">
      <w:pPr>
        <w:rPr>
          <w:rFonts w:cstheme="minorHAnsi"/>
          <w:bCs/>
          <w:szCs w:val="72"/>
          <w:lang w:val="sr-Cyrl-CS"/>
        </w:rPr>
      </w:pPr>
      <w:r w:rsidRPr="00DE058F">
        <w:rPr>
          <w:rFonts w:cstheme="minorHAnsi"/>
          <w:bCs/>
          <w:szCs w:val="72"/>
          <w:lang w:val="sr-Cyrl-CS"/>
        </w:rPr>
        <w:t>Упркос растућим геополитичким тензијама, конфликту у Украјини, као и расту цена енергената, кретања у реалном сектору почетком 2022. године била су генерално у складу са очекивањима из претходне Фискалне стратегије. Међутим, треба напоменути да се значајнији негативни утицај ових фактора на домаћа привредна кретања очекује са одређеним временским помаком, током друге половине године.</w:t>
      </w:r>
    </w:p>
    <w:p w14:paraId="653C515E" w14:textId="378AFD7F" w:rsidR="00EB41E3" w:rsidRPr="00DE058F" w:rsidRDefault="00EB41E3" w:rsidP="008527D6">
      <w:pPr>
        <w:rPr>
          <w:rFonts w:cstheme="minorHAnsi"/>
          <w:bCs/>
          <w:szCs w:val="72"/>
          <w:lang w:val="sr-Cyrl-CS"/>
        </w:rPr>
      </w:pPr>
      <w:r w:rsidRPr="00DE058F">
        <w:rPr>
          <w:rFonts w:cstheme="minorHAnsi"/>
          <w:bCs/>
          <w:szCs w:val="72"/>
          <w:lang w:val="sr-Cyrl-CS"/>
        </w:rPr>
        <w:t>Према флеш процени РЗС, раст БДП у првом кварталу 2022. године износио је 4,3% мг.</w:t>
      </w:r>
      <w:r w:rsidR="00E86D14" w:rsidRPr="00DE058F">
        <w:rPr>
          <w:rFonts w:cstheme="minorHAnsi"/>
          <w:bCs/>
          <w:szCs w:val="72"/>
          <w:lang w:val="sr-Cyrl-CS"/>
        </w:rPr>
        <w:t>,</w:t>
      </w:r>
      <w:r w:rsidRPr="00DE058F">
        <w:rPr>
          <w:rFonts w:cstheme="minorHAnsi"/>
          <w:bCs/>
          <w:szCs w:val="72"/>
          <w:lang w:val="sr-Cyrl-CS"/>
        </w:rPr>
        <w:t xml:space="preserve"> што је нешто изнад иницијалне пројекције за овај период, а која је подразумевала годишњу путању раста од 4,5%.</w:t>
      </w:r>
    </w:p>
    <w:p w14:paraId="560A5E7C" w14:textId="133BA012" w:rsidR="00EB41E3" w:rsidRPr="00DE058F" w:rsidRDefault="00EB41E3" w:rsidP="008527D6">
      <w:pPr>
        <w:rPr>
          <w:rFonts w:cstheme="minorHAnsi"/>
          <w:bCs/>
          <w:szCs w:val="72"/>
          <w:lang w:val="sr-Cyrl-CS"/>
        </w:rPr>
      </w:pPr>
      <w:r w:rsidRPr="00DE058F">
        <w:rPr>
          <w:rFonts w:cstheme="minorHAnsi"/>
          <w:bCs/>
          <w:szCs w:val="72"/>
          <w:lang w:val="sr-Cyrl-CS"/>
        </w:rPr>
        <w:t xml:space="preserve">Посматрано са производне стране, према процени Министарства финансија, економски раст у првом кварталу 2022. године био је вођен услужним сектором. Повећање економске активности забележено је код свих услужних делатности, а најзначајнији допринос расту дошао је од трговине, саобраћаја, туризма и ИКТ услуга, који опредељују око половине укупног раста БДП у првом кварталу. Упркос значајно мањем обиму </w:t>
      </w:r>
      <w:r w:rsidRPr="00DE058F">
        <w:rPr>
          <w:rFonts w:cstheme="minorHAnsi"/>
          <w:bCs/>
          <w:szCs w:val="72"/>
          <w:lang w:val="sr-Cyrl-CS"/>
        </w:rPr>
        <w:lastRenderedPageBreak/>
        <w:t>производње електричне енергије, позитиван допринос забележила је и укупна индустријска производња, са растом од 1,9% мг</w:t>
      </w:r>
      <w:r w:rsidR="008D38D5" w:rsidRPr="00DE058F">
        <w:rPr>
          <w:rFonts w:cstheme="minorHAnsi"/>
          <w:bCs/>
          <w:szCs w:val="72"/>
          <w:lang w:val="sr-Cyrl-CS"/>
        </w:rPr>
        <w:t>.</w:t>
      </w:r>
      <w:r w:rsidRPr="00DE058F">
        <w:rPr>
          <w:rFonts w:cstheme="minorHAnsi"/>
          <w:bCs/>
          <w:szCs w:val="72"/>
          <w:lang w:val="sr-Cyrl-CS"/>
        </w:rPr>
        <w:t>, као резултат добрих кретања прерађивачког сектора и рударства. Благ негативан допринос потекао је од грађевинарства делом и због високе базе из истог периода претходне године, док је пољопривреда под претпоставком просечне пољопривредне сезоне забележила стагнативна кретања у првом кварталу.</w:t>
      </w:r>
    </w:p>
    <w:p w14:paraId="66D7A4FE" w14:textId="77777777" w:rsidR="00EB41E3" w:rsidRPr="00DE058F" w:rsidRDefault="00EB41E3" w:rsidP="008527D6">
      <w:pPr>
        <w:jc w:val="center"/>
        <w:rPr>
          <w:b/>
          <w:color w:val="002060"/>
          <w:szCs w:val="21"/>
          <w:lang w:val="sr-Cyrl-CS"/>
        </w:rPr>
      </w:pPr>
      <w:r w:rsidRPr="00DE058F">
        <w:rPr>
          <w:b/>
          <w:color w:val="002060"/>
          <w:szCs w:val="21"/>
          <w:lang w:val="sr-Cyrl-CS"/>
        </w:rPr>
        <w:t>Доприноси стопи реалног раста БДП, производни приступ, п.п.</w:t>
      </w:r>
    </w:p>
    <w:p w14:paraId="79E19E54" w14:textId="77777777" w:rsidR="00EB41E3" w:rsidRPr="00DE058F" w:rsidRDefault="00EB41E3" w:rsidP="008527D6">
      <w:pPr>
        <w:rPr>
          <w:rFonts w:cstheme="minorHAnsi"/>
          <w:bCs/>
          <w:szCs w:val="72"/>
          <w:lang w:val="sr-Cyrl-CS"/>
        </w:rPr>
      </w:pPr>
      <w:r w:rsidRPr="00DE058F">
        <w:rPr>
          <w:noProof/>
        </w:rPr>
        <w:drawing>
          <wp:inline distT="0" distB="0" distL="0" distR="0" wp14:anchorId="0C3FB4B7" wp14:editId="03047F51">
            <wp:extent cx="2743200" cy="2399385"/>
            <wp:effectExtent l="0" t="0" r="0" b="1270"/>
            <wp:docPr id="25" name="Chart 25">
              <a:extLst xmlns:a="http://schemas.openxmlformats.org/drawingml/2006/main">
                <a:ext uri="{FF2B5EF4-FFF2-40B4-BE49-F238E27FC236}">
                  <a16:creationId xmlns:a16="http://schemas.microsoft.com/office/drawing/2014/main" id="{00000000-0008-0000-0B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F83F898" w14:textId="77777777" w:rsidR="00EB41E3" w:rsidRPr="00DE058F" w:rsidRDefault="00EB41E3" w:rsidP="008527D6">
      <w:pPr>
        <w:rPr>
          <w:rFonts w:cstheme="minorHAnsi"/>
          <w:bCs/>
          <w:sz w:val="14"/>
          <w:szCs w:val="72"/>
          <w:lang w:val="sr-Cyrl-CS"/>
        </w:rPr>
      </w:pPr>
      <w:r w:rsidRPr="00DE058F">
        <w:rPr>
          <w:rFonts w:cstheme="minorHAnsi"/>
          <w:bCs/>
          <w:sz w:val="14"/>
          <w:szCs w:val="72"/>
          <w:lang w:val="sr-Cyrl-CS"/>
        </w:rPr>
        <w:t>* Процена Министарства финансија</w:t>
      </w:r>
    </w:p>
    <w:p w14:paraId="64E4D7A0" w14:textId="0F8C890E" w:rsidR="00EB41E3" w:rsidRPr="00DE058F" w:rsidRDefault="00EB41E3" w:rsidP="008527D6">
      <w:pPr>
        <w:rPr>
          <w:rFonts w:cstheme="minorHAnsi"/>
          <w:bCs/>
          <w:szCs w:val="72"/>
          <w:lang w:val="sr-Cyrl-CS"/>
        </w:rPr>
      </w:pPr>
      <w:r w:rsidRPr="00DE058F">
        <w:rPr>
          <w:rFonts w:cstheme="minorHAnsi"/>
          <w:bCs/>
          <w:szCs w:val="72"/>
          <w:lang w:val="sr-Cyrl-CS"/>
        </w:rPr>
        <w:t xml:space="preserve">Посматрано по агрегатима употребе, раст БДП у првом кварталу 2022. године био је у потпуности вођен домаћом тражњом, док је допринос нето извоза био негативан. Солидна кретања на тржишту рада која се огледају у реалном повећању зарада и већој запослености, праћена једнократним давањима одређеним категоријама становништва, резултирала су растом расположивог дохотка, што се у знатно бољим епидемиолошким условима одразило на снажан раст приватне потрошње, који је према процени Министарства финансија износио око 8% мг. Благи позитиван допринос забележила је и државна потрошња, док су инвестиције имала неутралан допринос стопи раста БДП. Извозно оријентисани </w:t>
      </w:r>
      <w:r w:rsidRPr="00DE058F">
        <w:rPr>
          <w:rFonts w:cstheme="minorHAnsi"/>
          <w:bCs/>
          <w:szCs w:val="72"/>
          <w:lang w:val="sr-Cyrl-CS"/>
        </w:rPr>
        <w:t xml:space="preserve">капацитета као резултат ефектуирања </w:t>
      </w:r>
      <w:r w:rsidR="00895CD6" w:rsidRPr="00DE058F">
        <w:rPr>
          <w:rFonts w:cstheme="minorHAnsi"/>
          <w:bCs/>
          <w:szCs w:val="72"/>
          <w:lang w:val="sr-Cyrl-CS"/>
        </w:rPr>
        <w:t>СДИ</w:t>
      </w:r>
      <w:r w:rsidRPr="00DE058F">
        <w:rPr>
          <w:rFonts w:cstheme="minorHAnsi"/>
          <w:bCs/>
          <w:szCs w:val="72"/>
          <w:lang w:val="sr-Cyrl-CS"/>
        </w:rPr>
        <w:t xml:space="preserve"> из претходног периода, уз опоравак спољне тражње, резултирали су растом реалног извоза током првог квартала 2022. године од око 17% мг. Истовремено, увозна активност забележила је снажан раст од око 25% услед повећаног увоза репроматеријала за потребе привреде, али и енергената како би се осигурала сигурност снабдевања домаћих потрошача и обезбедио одређен ниво залиха. То се истовремено одразило и на значајан позитиван допринос залиха расту БДП у првом кварталу 2022. године.</w:t>
      </w:r>
    </w:p>
    <w:p w14:paraId="3A31115B" w14:textId="77777777" w:rsidR="00EB41E3" w:rsidRPr="00DE058F" w:rsidRDefault="00EB41E3" w:rsidP="008527D6">
      <w:pPr>
        <w:jc w:val="center"/>
        <w:rPr>
          <w:b/>
          <w:color w:val="002060"/>
          <w:szCs w:val="21"/>
          <w:lang w:val="sr-Cyrl-CS"/>
        </w:rPr>
      </w:pPr>
      <w:r w:rsidRPr="00DE058F">
        <w:rPr>
          <w:b/>
          <w:color w:val="002060"/>
          <w:szCs w:val="21"/>
          <w:lang w:val="sr-Cyrl-CS"/>
        </w:rPr>
        <w:t>Доприноси стопи реалног раста БДП, расходни приступ, п.п.</w:t>
      </w:r>
    </w:p>
    <w:p w14:paraId="0773B00C" w14:textId="77777777" w:rsidR="00EB41E3" w:rsidRPr="00DE058F" w:rsidRDefault="00EB41E3" w:rsidP="008527D6">
      <w:pPr>
        <w:rPr>
          <w:rFonts w:cstheme="minorHAnsi"/>
          <w:bCs/>
          <w:szCs w:val="72"/>
          <w:lang w:val="sr-Cyrl-CS"/>
        </w:rPr>
      </w:pPr>
      <w:r w:rsidRPr="00DE058F">
        <w:rPr>
          <w:noProof/>
        </w:rPr>
        <w:drawing>
          <wp:inline distT="0" distB="0" distL="0" distR="0" wp14:anchorId="5E94E7B1" wp14:editId="11896406">
            <wp:extent cx="2743200" cy="2465222"/>
            <wp:effectExtent l="0" t="0" r="0" b="0"/>
            <wp:docPr id="26" name="Chart 26">
              <a:extLst xmlns:a="http://schemas.openxmlformats.org/drawingml/2006/main">
                <a:ext uri="{FF2B5EF4-FFF2-40B4-BE49-F238E27FC236}">
                  <a16:creationId xmlns:a16="http://schemas.microsoft.com/office/drawing/2014/main" id="{00000000-0008-0000-0B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C35639E" w14:textId="77777777" w:rsidR="00EB41E3" w:rsidRPr="00DE058F" w:rsidRDefault="00EB41E3" w:rsidP="008527D6">
      <w:pPr>
        <w:rPr>
          <w:rFonts w:cstheme="minorHAnsi"/>
          <w:bCs/>
          <w:sz w:val="14"/>
          <w:szCs w:val="72"/>
          <w:lang w:val="sr-Cyrl-CS"/>
        </w:rPr>
      </w:pPr>
      <w:r w:rsidRPr="00DE058F">
        <w:rPr>
          <w:rFonts w:cstheme="minorHAnsi"/>
          <w:bCs/>
          <w:sz w:val="14"/>
          <w:szCs w:val="72"/>
          <w:lang w:val="sr-Cyrl-CS"/>
        </w:rPr>
        <w:t>* Процена Министарства финансија</w:t>
      </w:r>
    </w:p>
    <w:p w14:paraId="56B976F8" w14:textId="3F13C4B3" w:rsidR="004B2AEA" w:rsidRPr="00DE058F" w:rsidRDefault="00EB41E3" w:rsidP="008527D6">
      <w:pPr>
        <w:rPr>
          <w:rFonts w:cstheme="minorHAnsi"/>
          <w:bCs/>
          <w:szCs w:val="72"/>
          <w:lang w:val="sr-Cyrl-CS"/>
        </w:rPr>
      </w:pPr>
      <w:r w:rsidRPr="00DE058F">
        <w:rPr>
          <w:rFonts w:cstheme="minorHAnsi"/>
          <w:bCs/>
          <w:szCs w:val="72"/>
          <w:lang w:val="sr-Cyrl-CS"/>
        </w:rPr>
        <w:t>Високофреквентни индикатори економске активности такође указују на солидну привредну динамику почетком 2022. године. То потврђује и Индикатор привредне активности (ИПАС)</w:t>
      </w:r>
      <w:r w:rsidRPr="00DE058F">
        <w:rPr>
          <w:rStyle w:val="FootnoteReference"/>
          <w:rFonts w:cstheme="minorHAnsi"/>
          <w:bCs/>
          <w:szCs w:val="72"/>
          <w:lang w:val="sr-Cyrl-CS"/>
        </w:rPr>
        <w:footnoteReference w:id="1"/>
      </w:r>
      <w:r w:rsidRPr="00DE058F">
        <w:rPr>
          <w:rFonts w:cstheme="minorHAnsi"/>
          <w:bCs/>
          <w:szCs w:val="72"/>
          <w:lang w:val="sr-Cyrl-CS"/>
        </w:rPr>
        <w:t xml:space="preserve"> који Министарство финансија израђује за потребе сагледавања месечне динамике укупне економске активности. Према овом индикатору, у прва три месеца 2022. године бележе се стабилне стопе раста месечног БДП међугодишње посматрано. И даље је присутан растући тренд, док је ниво мартовске економске активности био за 9,9% већи у односу на предпандемијски ниво из марта 2020. године.</w:t>
      </w:r>
    </w:p>
    <w:p w14:paraId="746DEB47" w14:textId="77777777" w:rsidR="0087767C" w:rsidRPr="00DE058F" w:rsidRDefault="0087767C" w:rsidP="008527D6">
      <w:pPr>
        <w:rPr>
          <w:rFonts w:cstheme="minorHAnsi"/>
          <w:bCs/>
          <w:szCs w:val="72"/>
          <w:lang w:val="sr-Cyrl-CS"/>
        </w:rPr>
        <w:sectPr w:rsidR="0087767C" w:rsidRPr="00DE058F" w:rsidSect="00CE5657">
          <w:type w:val="continuous"/>
          <w:pgSz w:w="12240" w:h="15840"/>
          <w:pgMar w:top="1440" w:right="1440" w:bottom="1440" w:left="1440" w:header="720" w:footer="720" w:gutter="0"/>
          <w:cols w:num="2" w:space="720"/>
          <w:docGrid w:linePitch="360"/>
          <w15:footnoteColumns w:val="1"/>
        </w:sectPr>
      </w:pPr>
    </w:p>
    <w:p w14:paraId="273BAB7F" w14:textId="508D45BE" w:rsidR="00EB41E3" w:rsidRPr="00DE058F" w:rsidRDefault="00EB41E3" w:rsidP="008527D6">
      <w:pPr>
        <w:rPr>
          <w:rFonts w:cstheme="minorHAnsi"/>
          <w:bCs/>
          <w:szCs w:val="72"/>
          <w:lang w:val="sr-Cyrl-CS"/>
        </w:rPr>
      </w:pPr>
    </w:p>
    <w:p w14:paraId="372EEDCC" w14:textId="77777777" w:rsidR="00EB41E3" w:rsidRPr="00DE058F" w:rsidRDefault="00EB41E3" w:rsidP="008527D6">
      <w:pPr>
        <w:rPr>
          <w:rFonts w:cstheme="minorHAnsi"/>
          <w:bCs/>
          <w:szCs w:val="72"/>
          <w:lang w:val="sr-Cyrl-CS"/>
        </w:rPr>
      </w:pPr>
    </w:p>
    <w:p w14:paraId="1E65699A" w14:textId="77777777" w:rsidR="00EB41E3" w:rsidRPr="00DE058F" w:rsidRDefault="00EB41E3" w:rsidP="008527D6">
      <w:pPr>
        <w:jc w:val="center"/>
        <w:rPr>
          <w:rFonts w:cstheme="minorHAnsi"/>
          <w:b/>
          <w:bCs/>
          <w:color w:val="002060"/>
          <w:szCs w:val="72"/>
          <w:lang w:val="sr-Cyrl-CS"/>
        </w:rPr>
      </w:pPr>
      <w:r w:rsidRPr="00DE058F">
        <w:rPr>
          <w:rFonts w:cstheme="minorHAnsi"/>
          <w:b/>
          <w:bCs/>
          <w:color w:val="002060"/>
          <w:szCs w:val="72"/>
          <w:lang w:val="sr-Cyrl-CS"/>
        </w:rPr>
        <w:lastRenderedPageBreak/>
        <w:t>Индикатор привредне активности Србије (ИПАС) по секторима (доприноси расту, п.п.)</w:t>
      </w:r>
    </w:p>
    <w:p w14:paraId="3390FF27" w14:textId="77777777" w:rsidR="00EB41E3" w:rsidRPr="00DE058F" w:rsidRDefault="00EB41E3" w:rsidP="00352961">
      <w:pPr>
        <w:rPr>
          <w:rFonts w:cstheme="minorHAnsi"/>
          <w:bCs/>
          <w:szCs w:val="72"/>
          <w:lang w:val="sr-Cyrl-CS"/>
        </w:rPr>
      </w:pPr>
      <w:r w:rsidRPr="00DE058F">
        <w:rPr>
          <w:noProof/>
        </w:rPr>
        <w:drawing>
          <wp:inline distT="0" distB="0" distL="0" distR="0" wp14:anchorId="5ECEE1D1" wp14:editId="41B9EC23">
            <wp:extent cx="2743200" cy="2055571"/>
            <wp:effectExtent l="0" t="0" r="0" b="1905"/>
            <wp:docPr id="23" name="Chart 23">
              <a:extLst xmlns:a="http://schemas.openxmlformats.org/drawingml/2006/main">
                <a:ext uri="{FF2B5EF4-FFF2-40B4-BE49-F238E27FC236}">
                  <a16:creationId xmlns:a16="http://schemas.microsoft.com/office/drawing/2014/main" id="{00000000-0008-0000-0C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C995C93" w14:textId="77777777" w:rsidR="00EB41E3" w:rsidRPr="00DE058F" w:rsidRDefault="00EB41E3" w:rsidP="008527D6">
      <w:pPr>
        <w:jc w:val="center"/>
        <w:rPr>
          <w:rFonts w:cstheme="minorHAnsi"/>
          <w:b/>
          <w:bCs/>
          <w:color w:val="002060"/>
          <w:szCs w:val="72"/>
          <w:lang w:val="sr-Cyrl-CS"/>
        </w:rPr>
      </w:pPr>
      <w:r w:rsidRPr="00DE058F">
        <w:rPr>
          <w:rFonts w:cstheme="minorHAnsi"/>
          <w:b/>
          <w:bCs/>
          <w:color w:val="002060"/>
          <w:szCs w:val="72"/>
          <w:lang w:val="sr-Cyrl-CS"/>
        </w:rPr>
        <w:t>Индикатор привредне активности Србије (ИПАС), мил. РСД, уланчане мере обима</w:t>
      </w:r>
    </w:p>
    <w:p w14:paraId="02815257" w14:textId="77777777" w:rsidR="00EB41E3" w:rsidRPr="00DE058F" w:rsidRDefault="00EB41E3" w:rsidP="00352961">
      <w:pPr>
        <w:rPr>
          <w:rFonts w:cstheme="minorHAnsi"/>
          <w:bCs/>
          <w:szCs w:val="72"/>
          <w:lang w:val="sr-Cyrl-CS"/>
        </w:rPr>
      </w:pPr>
      <w:r w:rsidRPr="00DE058F">
        <w:rPr>
          <w:noProof/>
        </w:rPr>
        <w:drawing>
          <wp:inline distT="0" distB="0" distL="0" distR="0" wp14:anchorId="14A4D30F" wp14:editId="12419FD9">
            <wp:extent cx="2743200" cy="2443277"/>
            <wp:effectExtent l="0" t="0" r="0" b="0"/>
            <wp:docPr id="15" name="Chart 15">
              <a:extLst xmlns:a="http://schemas.openxmlformats.org/drawingml/2006/main">
                <a:ext uri="{FF2B5EF4-FFF2-40B4-BE49-F238E27FC236}">
                  <a16:creationId xmlns:a16="http://schemas.microsoft.com/office/drawing/2014/main" id="{00000000-0008-0000-0C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36408C67" w14:textId="17A87288" w:rsidR="00EB41E3" w:rsidRPr="00DE058F" w:rsidRDefault="00EB41E3" w:rsidP="008527D6">
      <w:pPr>
        <w:rPr>
          <w:rFonts w:cstheme="minorHAnsi"/>
          <w:bCs/>
          <w:szCs w:val="72"/>
          <w:lang w:val="sr-Cyrl-CS"/>
        </w:rPr>
      </w:pPr>
      <w:r w:rsidRPr="00DE058F">
        <w:rPr>
          <w:rFonts w:cstheme="minorHAnsi"/>
          <w:bCs/>
          <w:iCs/>
          <w:szCs w:val="72"/>
          <w:lang w:val="sr-Cyrl-CS"/>
        </w:rPr>
        <w:t xml:space="preserve">Након раста од 6,4% у 2021. години позитивна динамика индустријске производње настављена је и почетком текуће године. У прва три месеца укупна индустријска производња већа је за 1,9% мг. упркос смањеном обиму производње електричне енергије од 19,1% мг. Томе је у значајној мери допринео солидан раст прерађивачке индустрије од 4,1%, као и повећање производње рударства од 39,0%. У ова два сектора присутни су значајни ефекти на страни понуде услед реализација </w:t>
      </w:r>
      <w:r w:rsidR="00C247C3" w:rsidRPr="00DE058F">
        <w:rPr>
          <w:rFonts w:cstheme="minorHAnsi"/>
          <w:bCs/>
          <w:iCs/>
          <w:szCs w:val="72"/>
          <w:lang w:val="sr-Cyrl-CS"/>
        </w:rPr>
        <w:t>СДИ</w:t>
      </w:r>
      <w:r w:rsidRPr="00DE058F">
        <w:rPr>
          <w:rFonts w:cstheme="minorHAnsi"/>
          <w:bCs/>
          <w:iCs/>
          <w:szCs w:val="72"/>
          <w:lang w:val="sr-Cyrl-CS"/>
        </w:rPr>
        <w:t xml:space="preserve"> из претходног периода и активирања нових производних капацитета.</w:t>
      </w:r>
    </w:p>
    <w:p w14:paraId="6557191E" w14:textId="614CDB42" w:rsidR="00EB41E3" w:rsidRPr="00DE058F" w:rsidRDefault="00EB41E3" w:rsidP="008527D6">
      <w:pPr>
        <w:rPr>
          <w:rFonts w:cstheme="minorHAnsi"/>
          <w:bCs/>
          <w:iCs/>
          <w:szCs w:val="72"/>
          <w:lang w:val="sr-Cyrl-CS"/>
        </w:rPr>
      </w:pPr>
      <w:r w:rsidRPr="00DE058F">
        <w:rPr>
          <w:rFonts w:cstheme="minorHAnsi"/>
          <w:bCs/>
          <w:iCs/>
          <w:szCs w:val="72"/>
          <w:lang w:val="sr-Cyrl-CS"/>
        </w:rPr>
        <w:t xml:space="preserve">Посматрано по областима прерађивачке индустрије, у прва три месеца остварен је </w:t>
      </w:r>
      <w:r w:rsidRPr="00DE058F">
        <w:rPr>
          <w:rFonts w:cstheme="minorHAnsi"/>
          <w:bCs/>
          <w:iCs/>
          <w:spacing w:val="-2"/>
          <w:szCs w:val="72"/>
          <w:lang w:val="sr-Cyrl-CS"/>
        </w:rPr>
        <w:t>диверсификован раст у 17 од 24 делатности. Најзначајнији позитиван допринос међугодишњем расту овог сектора потекао је од нафтне индустрије опредељујући две петине</w:t>
      </w:r>
      <w:r w:rsidRPr="00DE058F">
        <w:rPr>
          <w:rFonts w:cstheme="minorHAnsi"/>
          <w:bCs/>
          <w:iCs/>
          <w:szCs w:val="72"/>
          <w:lang w:val="sr-Cyrl-CS"/>
        </w:rPr>
        <w:t xml:space="preserve"> укупног раста. Динамика производње нафтне индустрије у овом периоду је у значајној мери била под утицајем базног ефекта услед спровођења прошлогодишњег ремонта, те је у прва два месеца забележен међугодишњи пад производње, док је у марту физички обим био три пута већи, резултујући растом од 20,2% мг. на нивоу квартала. Производња металних производа од почетка године позитивно доприноси кретању прерађивачке индустрије, и у прва три месеца бележи раст од 7,6% мг. У овом периоду, производња прехрамбене индустрије је повећана за 2,0% мг</w:t>
      </w:r>
      <w:r w:rsidR="00314A83" w:rsidRPr="00DE058F">
        <w:rPr>
          <w:rFonts w:cstheme="minorHAnsi"/>
          <w:bCs/>
          <w:iCs/>
          <w:szCs w:val="72"/>
          <w:lang w:val="sr-Cyrl-CS"/>
        </w:rPr>
        <w:t>.</w:t>
      </w:r>
      <w:r w:rsidRPr="00DE058F">
        <w:rPr>
          <w:rFonts w:cstheme="minorHAnsi"/>
          <w:bCs/>
          <w:iCs/>
          <w:szCs w:val="72"/>
          <w:lang w:val="sr-Cyrl-CS"/>
        </w:rPr>
        <w:t>, а следе остала саобраћајна средстава, хемијска и фармацеутска индустрија са растом од 59,6%, 6,8% и 5,6%, респективно. Истовремено, физички обим производње металске индустрије је повећан за 6,6% мг. Поред тога, након забране увоза челика из Белорусије и Русије, Европска комисија је средином марта усвојила Уредбу о прерасподели квота, којом су и Србији повећане квоте за извоз појединих врста челика у ЕУ, што ће позитивно деловати и на већу извозну активност ове делатности у наредном периоду. С друге стране, делатности које су оствариле пад производње збирно су имале негативан утицај на кретање прерађивачке индустрије од око 1,3 п.п. Аутомобилска индустрија је забележила пад производње од 8,3% мг</w:t>
      </w:r>
      <w:r w:rsidR="008D38D5" w:rsidRPr="00DE058F">
        <w:rPr>
          <w:rFonts w:cstheme="minorHAnsi"/>
          <w:bCs/>
          <w:iCs/>
          <w:szCs w:val="72"/>
          <w:lang w:val="sr-Cyrl-CS"/>
        </w:rPr>
        <w:t>.</w:t>
      </w:r>
      <w:r w:rsidRPr="00DE058F">
        <w:rPr>
          <w:rFonts w:cstheme="minorHAnsi"/>
          <w:bCs/>
          <w:iCs/>
          <w:szCs w:val="72"/>
          <w:lang w:val="sr-Cyrl-CS"/>
        </w:rPr>
        <w:t>, док је физички обим текстилне индустрије и прераде дрвета опао за четвртину, уз пад производње намештаја за 11,3%.</w:t>
      </w:r>
    </w:p>
    <w:p w14:paraId="596B929A" w14:textId="497B631B" w:rsidR="00EB41E3" w:rsidRPr="00DE058F" w:rsidRDefault="00EB41E3" w:rsidP="008527D6">
      <w:pPr>
        <w:rPr>
          <w:rFonts w:cstheme="minorHAnsi"/>
          <w:bCs/>
          <w:iCs/>
          <w:szCs w:val="72"/>
          <w:lang w:val="sr-Cyrl-CS"/>
        </w:rPr>
      </w:pPr>
      <w:r w:rsidRPr="00DE058F">
        <w:rPr>
          <w:rFonts w:cstheme="minorHAnsi"/>
          <w:bCs/>
          <w:iCs/>
          <w:szCs w:val="72"/>
          <w:lang w:val="sr-Cyrl-CS"/>
        </w:rPr>
        <w:t>Повишена неизвесност у међународном окружењу услед геополитичких тензија опредељуј</w:t>
      </w:r>
      <w:r w:rsidR="00815CC2" w:rsidRPr="00DE058F">
        <w:rPr>
          <w:rFonts w:cstheme="minorHAnsi"/>
          <w:bCs/>
          <w:iCs/>
          <w:szCs w:val="72"/>
          <w:lang w:val="sr-Cyrl-CS"/>
        </w:rPr>
        <w:t>е</w:t>
      </w:r>
      <w:r w:rsidRPr="00DE058F">
        <w:rPr>
          <w:rFonts w:cstheme="minorHAnsi"/>
          <w:bCs/>
          <w:iCs/>
          <w:szCs w:val="72"/>
          <w:lang w:val="sr-Cyrl-CS"/>
        </w:rPr>
        <w:t xml:space="preserve"> значајне негативне ризике, што ће уз смањену спољну тражњу наших најзначајнијих спољнотрговинских партнера, као и застоје у глобалним ланцима снабдевања имати негативан утицај на динамику прерађивачке индустрије у наредном периоду. Поред тога раст цена енергената и сировина повећавају трошковне притиске, а због војног сукоба Русије и Украјине јавља се потреба за проналажењем нових тржишта</w:t>
      </w:r>
      <w:r w:rsidR="00291CA6" w:rsidRPr="00DE058F">
        <w:rPr>
          <w:rFonts w:cstheme="minorHAnsi"/>
          <w:bCs/>
          <w:iCs/>
          <w:szCs w:val="72"/>
          <w:lang w:val="sr-Cyrl-CS"/>
        </w:rPr>
        <w:t>,</w:t>
      </w:r>
      <w:r w:rsidRPr="00DE058F">
        <w:rPr>
          <w:rFonts w:cstheme="minorHAnsi"/>
          <w:bCs/>
          <w:iCs/>
          <w:szCs w:val="72"/>
          <w:lang w:val="sr-Cyrl-CS"/>
        </w:rPr>
        <w:t xml:space="preserve"> што у кратком року може да буде отежавајуће.</w:t>
      </w:r>
    </w:p>
    <w:p w14:paraId="0EE3FDB5" w14:textId="77777777" w:rsidR="00EB41E3" w:rsidRPr="00DE058F" w:rsidRDefault="00EB41E3" w:rsidP="00352961">
      <w:pPr>
        <w:rPr>
          <w:rFonts w:cstheme="minorHAnsi"/>
          <w:bCs/>
          <w:szCs w:val="72"/>
          <w:lang w:val="sr-Cyrl-CS"/>
        </w:rPr>
        <w:sectPr w:rsidR="00EB41E3" w:rsidRPr="00DE058F" w:rsidSect="00CE5657">
          <w:type w:val="continuous"/>
          <w:pgSz w:w="12240" w:h="15840"/>
          <w:pgMar w:top="1440" w:right="1440" w:bottom="1440" w:left="1440" w:header="720" w:footer="720" w:gutter="0"/>
          <w:cols w:num="2" w:space="720"/>
          <w:docGrid w:linePitch="360"/>
          <w15:footnoteColumns w:val="1"/>
        </w:sectPr>
      </w:pPr>
    </w:p>
    <w:p w14:paraId="0C48473B" w14:textId="77777777" w:rsidR="00C247C3" w:rsidRPr="00DE058F" w:rsidRDefault="00C247C3">
      <w:pPr>
        <w:jc w:val="left"/>
        <w:rPr>
          <w:rFonts w:cstheme="minorHAnsi"/>
          <w:b/>
          <w:color w:val="002060"/>
          <w:lang w:val="sr-Cyrl-CS"/>
        </w:rPr>
      </w:pPr>
      <w:r w:rsidRPr="00DE058F">
        <w:rPr>
          <w:rFonts w:cstheme="minorHAnsi"/>
          <w:b/>
          <w:color w:val="002060"/>
          <w:lang w:val="sr-Cyrl-CS"/>
        </w:rPr>
        <w:br w:type="page"/>
      </w:r>
    </w:p>
    <w:p w14:paraId="5B88C179" w14:textId="736F34C4" w:rsidR="00EB41E3" w:rsidRPr="00DE058F" w:rsidRDefault="00EB41E3" w:rsidP="008527D6">
      <w:pPr>
        <w:spacing w:after="60" w:line="240" w:lineRule="auto"/>
        <w:jc w:val="center"/>
        <w:rPr>
          <w:rFonts w:cstheme="minorHAnsi"/>
          <w:b/>
          <w:color w:val="002060"/>
          <w:lang w:val="sr-Cyrl-CS"/>
        </w:rPr>
      </w:pPr>
      <w:r w:rsidRPr="00DE058F">
        <w:rPr>
          <w:rFonts w:cstheme="minorHAnsi"/>
          <w:b/>
          <w:color w:val="002060"/>
          <w:lang w:val="sr-Cyrl-CS"/>
        </w:rPr>
        <w:lastRenderedPageBreak/>
        <w:t>Индекси физичког обима водећих делатности индустријске производње, 2021=100</w:t>
      </w:r>
    </w:p>
    <w:tbl>
      <w:tblPr>
        <w:tblStyle w:val="TableGrid5"/>
        <w:tblW w:w="0" w:type="auto"/>
        <w:tblBorders>
          <w:top w:val="none" w:sz="0" w:space="0" w:color="auto"/>
          <w:left w:val="none" w:sz="0" w:space="0" w:color="auto"/>
          <w:bottom w:val="dashSmallGap" w:sz="4" w:space="0" w:color="BFBFBF" w:themeColor="background1" w:themeShade="BF"/>
          <w:right w:val="none" w:sz="0" w:space="0" w:color="auto"/>
          <w:insideH w:val="dashSmallGap" w:sz="4" w:space="0" w:color="BFBFBF" w:themeColor="background1" w:themeShade="BF"/>
          <w:insideV w:val="dashSmallGap" w:sz="4" w:space="0" w:color="BFBFBF" w:themeColor="background1" w:themeShade="BF"/>
        </w:tblBorders>
        <w:tblLook w:val="04A0" w:firstRow="1" w:lastRow="0" w:firstColumn="1" w:lastColumn="0" w:noHBand="0" w:noVBand="1"/>
      </w:tblPr>
      <w:tblGrid>
        <w:gridCol w:w="4681"/>
        <w:gridCol w:w="4679"/>
      </w:tblGrid>
      <w:tr w:rsidR="00EB41E3" w:rsidRPr="00DE058F" w14:paraId="3C3DD714" w14:textId="77777777" w:rsidTr="008527D6">
        <w:tc>
          <w:tcPr>
            <w:tcW w:w="4681" w:type="dxa"/>
          </w:tcPr>
          <w:p w14:paraId="28732C0E" w14:textId="77777777" w:rsidR="00EB41E3" w:rsidRPr="00DE058F" w:rsidRDefault="00EB41E3" w:rsidP="008527D6">
            <w:pPr>
              <w:spacing w:before="40" w:after="20"/>
              <w:jc w:val="center"/>
              <w:rPr>
                <w:lang w:val="sr-Cyrl-CS"/>
              </w:rPr>
            </w:pPr>
            <w:r w:rsidRPr="00DE058F">
              <w:rPr>
                <w:lang w:val="sr-Cyrl-CS"/>
              </w:rPr>
              <w:t>Прерађивачка индустрија</w:t>
            </w:r>
          </w:p>
          <w:p w14:paraId="656DDA8B" w14:textId="77777777" w:rsidR="00EB41E3" w:rsidRPr="00DE058F" w:rsidRDefault="00EB41E3" w:rsidP="008527D6">
            <w:pPr>
              <w:spacing w:before="40" w:after="20"/>
              <w:jc w:val="center"/>
              <w:rPr>
                <w:lang w:val="sr-Cyrl-CS"/>
              </w:rPr>
            </w:pPr>
            <w:r w:rsidRPr="00DE058F">
              <w:rPr>
                <w:noProof/>
              </w:rPr>
              <w:drawing>
                <wp:inline distT="0" distB="0" distL="0" distR="0" wp14:anchorId="7A9E008D" wp14:editId="1A880E52">
                  <wp:extent cx="2880000" cy="1278000"/>
                  <wp:effectExtent l="0" t="0" r="0" b="0"/>
                  <wp:docPr id="14" name="Chart 14">
                    <a:extLst xmlns:a="http://schemas.openxmlformats.org/drawingml/2006/main">
                      <a:ext uri="{FF2B5EF4-FFF2-40B4-BE49-F238E27FC236}">
                        <a16:creationId xmlns:a16="http://schemas.microsoft.com/office/drawing/2014/main" id="{00000000-0008-0000-1900-00002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c>
          <w:tcPr>
            <w:tcW w:w="4679" w:type="dxa"/>
          </w:tcPr>
          <w:p w14:paraId="4265EEF2" w14:textId="77777777" w:rsidR="00EB41E3" w:rsidRPr="00DE058F" w:rsidRDefault="00EB41E3" w:rsidP="008527D6">
            <w:pPr>
              <w:spacing w:before="40" w:after="20"/>
              <w:jc w:val="center"/>
              <w:rPr>
                <w:lang w:val="sr-Cyrl-CS"/>
              </w:rPr>
            </w:pPr>
            <w:r w:rsidRPr="00DE058F">
              <w:rPr>
                <w:lang w:val="sr-Cyrl-CS"/>
              </w:rPr>
              <w:t>Производња прехрамбених производа</w:t>
            </w:r>
          </w:p>
          <w:p w14:paraId="5B8C9BB2" w14:textId="77777777" w:rsidR="00EB41E3" w:rsidRPr="00DE058F" w:rsidRDefault="00EB41E3" w:rsidP="008527D6">
            <w:pPr>
              <w:spacing w:before="40" w:after="20"/>
              <w:jc w:val="center"/>
              <w:rPr>
                <w:lang w:val="sr-Cyrl-CS"/>
              </w:rPr>
            </w:pPr>
            <w:r w:rsidRPr="00DE058F">
              <w:rPr>
                <w:noProof/>
              </w:rPr>
              <w:drawing>
                <wp:inline distT="0" distB="0" distL="0" distR="0" wp14:anchorId="709A253F" wp14:editId="6493CA56">
                  <wp:extent cx="2880000" cy="1278000"/>
                  <wp:effectExtent l="0" t="0" r="0" b="0"/>
                  <wp:docPr id="17" name="Chart 17">
                    <a:extLst xmlns:a="http://schemas.openxmlformats.org/drawingml/2006/main">
                      <a:ext uri="{FF2B5EF4-FFF2-40B4-BE49-F238E27FC236}">
                        <a16:creationId xmlns:a16="http://schemas.microsoft.com/office/drawing/2014/main" id="{00000000-0008-0000-1900-00001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r w:rsidR="00EB41E3" w:rsidRPr="00DE058F" w14:paraId="5A76D677" w14:textId="77777777" w:rsidTr="008527D6">
        <w:tc>
          <w:tcPr>
            <w:tcW w:w="4681" w:type="dxa"/>
          </w:tcPr>
          <w:p w14:paraId="2B70E4D2" w14:textId="77777777" w:rsidR="00EB41E3" w:rsidRPr="00DE058F" w:rsidRDefault="00EB41E3" w:rsidP="008527D6">
            <w:pPr>
              <w:spacing w:before="40" w:after="20"/>
              <w:jc w:val="center"/>
              <w:rPr>
                <w:lang w:val="sr-Cyrl-CS"/>
              </w:rPr>
            </w:pPr>
            <w:r w:rsidRPr="00DE058F">
              <w:rPr>
                <w:lang w:val="sr-Cyrl-CS"/>
              </w:rPr>
              <w:t>Производња кокса и деривата нафте</w:t>
            </w:r>
          </w:p>
          <w:p w14:paraId="25071BDD" w14:textId="77777777" w:rsidR="00EB41E3" w:rsidRPr="00DE058F" w:rsidRDefault="00EB41E3" w:rsidP="008527D6">
            <w:pPr>
              <w:spacing w:before="40" w:after="20"/>
              <w:jc w:val="center"/>
              <w:rPr>
                <w:lang w:val="sr-Cyrl-CS"/>
              </w:rPr>
            </w:pPr>
            <w:r w:rsidRPr="00DE058F">
              <w:rPr>
                <w:noProof/>
              </w:rPr>
              <w:drawing>
                <wp:inline distT="0" distB="0" distL="0" distR="0" wp14:anchorId="14C6272D" wp14:editId="4EE36356">
                  <wp:extent cx="2880000" cy="1278000"/>
                  <wp:effectExtent l="0" t="0" r="0" b="0"/>
                  <wp:docPr id="27" name="Chart 27">
                    <a:extLst xmlns:a="http://schemas.openxmlformats.org/drawingml/2006/main">
                      <a:ext uri="{FF2B5EF4-FFF2-40B4-BE49-F238E27FC236}">
                        <a16:creationId xmlns:a16="http://schemas.microsoft.com/office/drawing/2014/main" id="{00000000-0008-0000-1900-00001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c>
          <w:tcPr>
            <w:tcW w:w="4679" w:type="dxa"/>
          </w:tcPr>
          <w:p w14:paraId="1CC4C361" w14:textId="77777777" w:rsidR="00EB41E3" w:rsidRPr="00DE058F" w:rsidRDefault="00EB41E3" w:rsidP="008527D6">
            <w:pPr>
              <w:spacing w:before="40" w:after="20"/>
              <w:jc w:val="center"/>
              <w:rPr>
                <w:lang w:val="sr-Cyrl-CS"/>
              </w:rPr>
            </w:pPr>
            <w:r w:rsidRPr="00DE058F">
              <w:rPr>
                <w:lang w:val="sr-Cyrl-CS"/>
              </w:rPr>
              <w:t>Производња хемикалија и хемијских производа</w:t>
            </w:r>
          </w:p>
          <w:p w14:paraId="43882EC3" w14:textId="77777777" w:rsidR="00EB41E3" w:rsidRPr="00DE058F" w:rsidRDefault="00EB41E3" w:rsidP="008527D6">
            <w:pPr>
              <w:spacing w:before="40" w:after="20"/>
              <w:jc w:val="center"/>
              <w:rPr>
                <w:lang w:val="sr-Cyrl-CS"/>
              </w:rPr>
            </w:pPr>
            <w:r w:rsidRPr="00DE058F">
              <w:rPr>
                <w:noProof/>
              </w:rPr>
              <w:drawing>
                <wp:inline distT="0" distB="0" distL="0" distR="0" wp14:anchorId="09B5218F" wp14:editId="04D514EA">
                  <wp:extent cx="2880000" cy="1278000"/>
                  <wp:effectExtent l="0" t="0" r="0" b="0"/>
                  <wp:docPr id="19" name="Chart 19">
                    <a:extLst xmlns:a="http://schemas.openxmlformats.org/drawingml/2006/main">
                      <a:ext uri="{FF2B5EF4-FFF2-40B4-BE49-F238E27FC236}">
                        <a16:creationId xmlns:a16="http://schemas.microsoft.com/office/drawing/2014/main" id="{00000000-0008-0000-1900-00001B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r w:rsidR="00EB41E3" w:rsidRPr="00DE058F" w14:paraId="76779CDF" w14:textId="77777777" w:rsidTr="008527D6">
        <w:tc>
          <w:tcPr>
            <w:tcW w:w="4681" w:type="dxa"/>
          </w:tcPr>
          <w:p w14:paraId="1C0E7517" w14:textId="77777777" w:rsidR="00EB41E3" w:rsidRPr="00DE058F" w:rsidRDefault="00EB41E3" w:rsidP="008527D6">
            <w:pPr>
              <w:spacing w:before="40" w:after="20"/>
              <w:jc w:val="center"/>
              <w:rPr>
                <w:lang w:val="sr-Cyrl-CS"/>
              </w:rPr>
            </w:pPr>
            <w:r w:rsidRPr="00DE058F">
              <w:rPr>
                <w:lang w:val="sr-Cyrl-CS"/>
              </w:rPr>
              <w:t>Производња металних производа, осим машина</w:t>
            </w:r>
          </w:p>
          <w:p w14:paraId="71AEAF5F" w14:textId="77777777" w:rsidR="00EB41E3" w:rsidRPr="00DE058F" w:rsidRDefault="00EB41E3" w:rsidP="008527D6">
            <w:pPr>
              <w:spacing w:before="40" w:after="20"/>
              <w:jc w:val="center"/>
              <w:rPr>
                <w:lang w:val="sr-Cyrl-CS"/>
              </w:rPr>
            </w:pPr>
            <w:r w:rsidRPr="00DE058F">
              <w:rPr>
                <w:noProof/>
              </w:rPr>
              <w:drawing>
                <wp:inline distT="0" distB="0" distL="0" distR="0" wp14:anchorId="7D8FFDB1" wp14:editId="15811649">
                  <wp:extent cx="2880000" cy="1278000"/>
                  <wp:effectExtent l="0" t="0" r="0" b="0"/>
                  <wp:docPr id="16" name="Chart 16">
                    <a:extLst xmlns:a="http://schemas.openxmlformats.org/drawingml/2006/main">
                      <a:ext uri="{FF2B5EF4-FFF2-40B4-BE49-F238E27FC236}">
                        <a16:creationId xmlns:a16="http://schemas.microsoft.com/office/drawing/2014/main" id="{00000000-0008-0000-1900-00003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c>
          <w:tcPr>
            <w:tcW w:w="4679" w:type="dxa"/>
          </w:tcPr>
          <w:p w14:paraId="558ABC4E" w14:textId="77777777" w:rsidR="00EB41E3" w:rsidRPr="00DE058F" w:rsidRDefault="00EB41E3" w:rsidP="008527D6">
            <w:pPr>
              <w:spacing w:before="40" w:after="20"/>
              <w:jc w:val="center"/>
              <w:rPr>
                <w:lang w:val="sr-Cyrl-CS"/>
              </w:rPr>
            </w:pPr>
            <w:r w:rsidRPr="00DE058F">
              <w:rPr>
                <w:lang w:val="sr-Cyrl-CS"/>
              </w:rPr>
              <w:t>Производња основних метала</w:t>
            </w:r>
          </w:p>
          <w:p w14:paraId="4666F2A6" w14:textId="77777777" w:rsidR="00EB41E3" w:rsidRPr="00DE058F" w:rsidRDefault="00EB41E3" w:rsidP="008527D6">
            <w:pPr>
              <w:spacing w:before="40" w:after="20"/>
              <w:jc w:val="center"/>
              <w:rPr>
                <w:lang w:val="sr-Cyrl-CS"/>
              </w:rPr>
            </w:pPr>
            <w:r w:rsidRPr="00DE058F">
              <w:rPr>
                <w:noProof/>
              </w:rPr>
              <w:drawing>
                <wp:inline distT="0" distB="0" distL="0" distR="0" wp14:anchorId="7B173220" wp14:editId="43EAE891">
                  <wp:extent cx="2880000" cy="1278000"/>
                  <wp:effectExtent l="0" t="0" r="0" b="0"/>
                  <wp:docPr id="41" name="Chart 41">
                    <a:extLst xmlns:a="http://schemas.openxmlformats.org/drawingml/2006/main">
                      <a:ext uri="{FF2B5EF4-FFF2-40B4-BE49-F238E27FC236}">
                        <a16:creationId xmlns:a16="http://schemas.microsoft.com/office/drawing/2014/main" id="{00000000-0008-0000-1900-00001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r w:rsidR="00EB41E3" w:rsidRPr="00DE058F" w14:paraId="715D0D89" w14:textId="77777777" w:rsidTr="008527D6">
        <w:tc>
          <w:tcPr>
            <w:tcW w:w="4681" w:type="dxa"/>
          </w:tcPr>
          <w:p w14:paraId="65CA1DA8" w14:textId="77777777" w:rsidR="00EB41E3" w:rsidRPr="00DE058F" w:rsidRDefault="00EB41E3" w:rsidP="008527D6">
            <w:pPr>
              <w:spacing w:before="40" w:after="20"/>
              <w:jc w:val="center"/>
              <w:rPr>
                <w:lang w:val="sr-Cyrl-CS"/>
              </w:rPr>
            </w:pPr>
            <w:r w:rsidRPr="00DE058F">
              <w:rPr>
                <w:lang w:val="sr-Cyrl-CS"/>
              </w:rPr>
              <w:t>Производња машина и опреме на другом месту непоменуте</w:t>
            </w:r>
          </w:p>
          <w:p w14:paraId="15E09F9C" w14:textId="77777777" w:rsidR="00EB41E3" w:rsidRPr="00DE058F" w:rsidRDefault="00EB41E3" w:rsidP="008527D6">
            <w:pPr>
              <w:spacing w:before="40" w:after="20"/>
              <w:jc w:val="center"/>
              <w:rPr>
                <w:lang w:val="sr-Cyrl-CS"/>
              </w:rPr>
            </w:pPr>
            <w:r w:rsidRPr="00DE058F">
              <w:rPr>
                <w:noProof/>
              </w:rPr>
              <w:drawing>
                <wp:inline distT="0" distB="0" distL="0" distR="0" wp14:anchorId="25E8CEBB" wp14:editId="6F4F9D6B">
                  <wp:extent cx="2881465" cy="1278000"/>
                  <wp:effectExtent l="0" t="0" r="0" b="0"/>
                  <wp:docPr id="28" name="Chart 28">
                    <a:extLst xmlns:a="http://schemas.openxmlformats.org/drawingml/2006/main">
                      <a:ext uri="{FF2B5EF4-FFF2-40B4-BE49-F238E27FC236}">
                        <a16:creationId xmlns:a16="http://schemas.microsoft.com/office/drawing/2014/main" id="{00000000-0008-0000-1900-00003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c>
          <w:tcPr>
            <w:tcW w:w="4679" w:type="dxa"/>
          </w:tcPr>
          <w:p w14:paraId="6557D486" w14:textId="77777777" w:rsidR="00EB41E3" w:rsidRPr="00DE058F" w:rsidRDefault="00EB41E3" w:rsidP="008527D6">
            <w:pPr>
              <w:spacing w:before="40" w:after="20"/>
              <w:jc w:val="center"/>
              <w:rPr>
                <w:lang w:val="sr-Cyrl-CS"/>
              </w:rPr>
            </w:pPr>
            <w:r w:rsidRPr="00DE058F">
              <w:rPr>
                <w:lang w:val="sr-Cyrl-CS"/>
              </w:rPr>
              <w:t>Производња основних фармацеутских производа и препарата</w:t>
            </w:r>
          </w:p>
          <w:p w14:paraId="75810300" w14:textId="77777777" w:rsidR="00EB41E3" w:rsidRPr="00DE058F" w:rsidRDefault="00EB41E3" w:rsidP="008527D6">
            <w:pPr>
              <w:spacing w:before="40" w:after="20"/>
              <w:jc w:val="center"/>
              <w:rPr>
                <w:sz w:val="18"/>
                <w:lang w:val="sr-Cyrl-CS"/>
              </w:rPr>
            </w:pPr>
            <w:r w:rsidRPr="00DE058F">
              <w:rPr>
                <w:noProof/>
              </w:rPr>
              <w:drawing>
                <wp:inline distT="0" distB="0" distL="0" distR="0" wp14:anchorId="5C5708A2" wp14:editId="11F304F3">
                  <wp:extent cx="2880000" cy="1278000"/>
                  <wp:effectExtent l="0" t="0" r="0" b="0"/>
                  <wp:docPr id="44" name="Chart 44">
                    <a:extLst xmlns:a="http://schemas.openxmlformats.org/drawingml/2006/main">
                      <a:ext uri="{FF2B5EF4-FFF2-40B4-BE49-F238E27FC236}">
                        <a16:creationId xmlns:a16="http://schemas.microsoft.com/office/drawing/2014/main" id="{00000000-0008-0000-1900-00001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r w:rsidR="00EB41E3" w:rsidRPr="00DE058F" w14:paraId="3BF2E828" w14:textId="77777777" w:rsidTr="008527D6">
        <w:tc>
          <w:tcPr>
            <w:tcW w:w="4681" w:type="dxa"/>
          </w:tcPr>
          <w:p w14:paraId="19DD2866" w14:textId="77777777" w:rsidR="00EB41E3" w:rsidRPr="00DE058F" w:rsidRDefault="00EB41E3" w:rsidP="008527D6">
            <w:pPr>
              <w:spacing w:before="40" w:after="20"/>
              <w:jc w:val="center"/>
              <w:rPr>
                <w:lang w:val="sr-Cyrl-CS"/>
              </w:rPr>
            </w:pPr>
            <w:r w:rsidRPr="00DE058F">
              <w:rPr>
                <w:lang w:val="sr-Cyrl-CS"/>
              </w:rPr>
              <w:t>Производња производа од неметалних минерала</w:t>
            </w:r>
          </w:p>
          <w:p w14:paraId="54638C9F" w14:textId="77777777" w:rsidR="00EB41E3" w:rsidRPr="00DE058F" w:rsidRDefault="00EB41E3" w:rsidP="008527D6">
            <w:pPr>
              <w:spacing w:before="40" w:after="20"/>
              <w:jc w:val="center"/>
              <w:rPr>
                <w:lang w:val="sr-Cyrl-CS"/>
              </w:rPr>
            </w:pPr>
            <w:r w:rsidRPr="00DE058F">
              <w:rPr>
                <w:noProof/>
              </w:rPr>
              <w:drawing>
                <wp:inline distT="0" distB="0" distL="0" distR="0" wp14:anchorId="33118671" wp14:editId="425F5E50">
                  <wp:extent cx="2881465" cy="1278000"/>
                  <wp:effectExtent l="0" t="0" r="0" b="0"/>
                  <wp:docPr id="47" name="Chart 47">
                    <a:extLst xmlns:a="http://schemas.openxmlformats.org/drawingml/2006/main">
                      <a:ext uri="{FF2B5EF4-FFF2-40B4-BE49-F238E27FC236}">
                        <a16:creationId xmlns:a16="http://schemas.microsoft.com/office/drawing/2014/main" id="{00000000-0008-0000-1900-00003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c>
          <w:tcPr>
            <w:tcW w:w="4679" w:type="dxa"/>
          </w:tcPr>
          <w:p w14:paraId="0A16991D" w14:textId="77777777" w:rsidR="00EB41E3" w:rsidRPr="00DE058F" w:rsidRDefault="00EB41E3" w:rsidP="008527D6">
            <w:pPr>
              <w:spacing w:before="40" w:after="20"/>
              <w:jc w:val="center"/>
              <w:rPr>
                <w:lang w:val="sr-Cyrl-CS"/>
              </w:rPr>
            </w:pPr>
            <w:r w:rsidRPr="00DE058F">
              <w:rPr>
                <w:lang w:val="sr-Cyrl-CS"/>
              </w:rPr>
              <w:t>Производња производа од гуме и пластике</w:t>
            </w:r>
          </w:p>
          <w:p w14:paraId="1FFCAFD9" w14:textId="77777777" w:rsidR="00EB41E3" w:rsidRPr="00DE058F" w:rsidRDefault="00EB41E3" w:rsidP="008527D6">
            <w:pPr>
              <w:spacing w:before="40" w:after="20"/>
              <w:jc w:val="center"/>
              <w:rPr>
                <w:lang w:val="sr-Cyrl-CS"/>
              </w:rPr>
            </w:pPr>
            <w:r w:rsidRPr="00DE058F">
              <w:rPr>
                <w:noProof/>
              </w:rPr>
              <w:drawing>
                <wp:inline distT="0" distB="0" distL="0" distR="0" wp14:anchorId="5FB204EB" wp14:editId="4B738DC0">
                  <wp:extent cx="2880000" cy="1278000"/>
                  <wp:effectExtent l="0" t="0" r="0" b="0"/>
                  <wp:docPr id="45" name="Chart 45">
                    <a:extLst xmlns:a="http://schemas.openxmlformats.org/drawingml/2006/main">
                      <a:ext uri="{FF2B5EF4-FFF2-40B4-BE49-F238E27FC236}">
                        <a16:creationId xmlns:a16="http://schemas.microsoft.com/office/drawing/2014/main" id="{00000000-0008-0000-1900-00001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p w14:paraId="70C11594" w14:textId="77777777" w:rsidR="00EB41E3" w:rsidRPr="00DE058F" w:rsidRDefault="00EB41E3" w:rsidP="008527D6">
      <w:pPr>
        <w:spacing w:before="20" w:after="0" w:line="240" w:lineRule="auto"/>
        <w:jc w:val="center"/>
        <w:rPr>
          <w:rFonts w:cstheme="minorHAnsi"/>
          <w:b/>
          <w:bCs/>
          <w:sz w:val="18"/>
          <w:szCs w:val="72"/>
          <w:lang w:val="sr-Cyrl-CS"/>
        </w:rPr>
      </w:pPr>
      <w:r w:rsidRPr="00DE058F">
        <w:rPr>
          <w:noProof/>
        </w:rPr>
        <w:drawing>
          <wp:inline distT="0" distB="0" distL="0" distR="0" wp14:anchorId="2B11EB8C" wp14:editId="698629CE">
            <wp:extent cx="4371429" cy="219048"/>
            <wp:effectExtent l="0" t="0" r="0" b="0"/>
            <wp:docPr id="5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pic:cNvPicPr>
                      <a:picLocks noChangeAspect="1"/>
                    </pic:cNvPicPr>
                  </pic:nvPicPr>
                  <pic:blipFill>
                    <a:blip r:embed="rId57"/>
                    <a:stretch>
                      <a:fillRect/>
                    </a:stretch>
                  </pic:blipFill>
                  <pic:spPr>
                    <a:xfrm>
                      <a:off x="0" y="0"/>
                      <a:ext cx="4371429" cy="219048"/>
                    </a:xfrm>
                    <a:prstGeom prst="rect">
                      <a:avLst/>
                    </a:prstGeom>
                  </pic:spPr>
                </pic:pic>
              </a:graphicData>
            </a:graphic>
          </wp:inline>
        </w:drawing>
      </w:r>
    </w:p>
    <w:p w14:paraId="3A65C0CF" w14:textId="77777777" w:rsidR="00EB41E3" w:rsidRPr="00DE058F" w:rsidRDefault="00EB41E3" w:rsidP="008527D6">
      <w:pPr>
        <w:spacing w:after="0" w:line="240" w:lineRule="auto"/>
        <w:jc w:val="left"/>
        <w:rPr>
          <w:rFonts w:cstheme="minorHAnsi"/>
          <w:b/>
          <w:bCs/>
          <w:sz w:val="14"/>
          <w:szCs w:val="72"/>
          <w:lang w:val="sr-Cyrl-CS"/>
        </w:rPr>
      </w:pPr>
      <w:r w:rsidRPr="00DE058F">
        <w:rPr>
          <w:rFonts w:cstheme="minorHAnsi"/>
          <w:bCs/>
          <w:sz w:val="16"/>
          <w:szCs w:val="72"/>
          <w:lang w:val="sr-Cyrl-CS"/>
        </w:rPr>
        <w:t>Извор: Министарство финансија</w:t>
      </w:r>
    </w:p>
    <w:p w14:paraId="6CA28A5B" w14:textId="77777777" w:rsidR="00EB41E3" w:rsidRPr="00DE058F" w:rsidRDefault="00EB41E3" w:rsidP="008527D6">
      <w:pPr>
        <w:spacing w:after="0" w:line="240" w:lineRule="auto"/>
        <w:rPr>
          <w:rFonts w:cstheme="minorHAnsi"/>
          <w:b/>
          <w:bCs/>
          <w:szCs w:val="72"/>
          <w:lang w:val="sr-Cyrl-CS"/>
        </w:rPr>
        <w:sectPr w:rsidR="00EB41E3" w:rsidRPr="00DE058F" w:rsidSect="00B435B3">
          <w:type w:val="continuous"/>
          <w:pgSz w:w="12240" w:h="15840"/>
          <w:pgMar w:top="1440" w:right="1440" w:bottom="1440" w:left="1440" w:header="720" w:footer="720" w:gutter="0"/>
          <w:cols w:space="720"/>
          <w:docGrid w:linePitch="360"/>
          <w15:footnoteColumns w:val="1"/>
        </w:sectPr>
      </w:pPr>
    </w:p>
    <w:p w14:paraId="32A2B800" w14:textId="099ADC10" w:rsidR="00EB41E3" w:rsidRPr="00DE058F" w:rsidRDefault="00EB41E3" w:rsidP="008527D6">
      <w:pPr>
        <w:rPr>
          <w:rFonts w:cstheme="minorHAnsi"/>
          <w:bCs/>
          <w:szCs w:val="72"/>
          <w:lang w:val="sr-Cyrl-CS"/>
        </w:rPr>
      </w:pPr>
      <w:r w:rsidRPr="00DE058F">
        <w:rPr>
          <w:rFonts w:cstheme="minorHAnsi"/>
          <w:bCs/>
          <w:szCs w:val="72"/>
          <w:lang w:val="sr-Cyrl-CS"/>
        </w:rPr>
        <w:lastRenderedPageBreak/>
        <w:t>Након изразито негативних утицаја пандемије коронавируса током 2020. године, уследио је брз опоравак услужног сектора, при чему је предпандемијски ниво активности премашен већ у првом кварталу 2021. године, а у две пандемијске године остварен је кумулативни раст од 7,</w:t>
      </w:r>
      <w:r w:rsidR="00C74C70" w:rsidRPr="00DE058F">
        <w:rPr>
          <w:rFonts w:cstheme="minorHAnsi"/>
          <w:bCs/>
          <w:szCs w:val="72"/>
          <w:lang w:val="sr-Cyrl-CS"/>
        </w:rPr>
        <w:t>3</w:t>
      </w:r>
      <w:r w:rsidRPr="00DE058F">
        <w:rPr>
          <w:rFonts w:cstheme="minorHAnsi"/>
          <w:bCs/>
          <w:szCs w:val="72"/>
          <w:lang w:val="sr-Cyrl-CS"/>
        </w:rPr>
        <w:t xml:space="preserve">%. Ово је пре свега резултат повољних кретања у трговини, ИКТ и финансијским услугама који су у обе пандемијске године бележиле раст и биле носиоци опоравка услужног сектора, али и последица саме структура привреде и малог учешћа туризма и услуга уметности, забаве и рекреације у </w:t>
      </w:r>
      <w:r w:rsidR="008E7638" w:rsidRPr="00DE058F">
        <w:rPr>
          <w:rFonts w:cstheme="minorHAnsi"/>
          <w:bCs/>
          <w:szCs w:val="72"/>
          <w:lang w:val="sr-Cyrl-CS"/>
        </w:rPr>
        <w:t>укупној бруто додатој вредности (у даљем тексту:</w:t>
      </w:r>
      <w:r w:rsidRPr="00DE058F">
        <w:rPr>
          <w:rFonts w:cstheme="minorHAnsi"/>
          <w:bCs/>
          <w:szCs w:val="72"/>
          <w:lang w:val="sr-Cyrl-CS"/>
        </w:rPr>
        <w:t xml:space="preserve"> БДВ</w:t>
      </w:r>
      <w:r w:rsidR="008E7638" w:rsidRPr="00DE058F">
        <w:rPr>
          <w:rFonts w:cstheme="minorHAnsi"/>
          <w:bCs/>
          <w:szCs w:val="72"/>
          <w:lang w:val="sr-Cyrl-CS"/>
        </w:rPr>
        <w:t>)</w:t>
      </w:r>
      <w:r w:rsidRPr="00DE058F">
        <w:rPr>
          <w:rFonts w:cstheme="minorHAnsi"/>
          <w:bCs/>
          <w:szCs w:val="72"/>
          <w:lang w:val="sr-Cyrl-CS"/>
        </w:rPr>
        <w:t>, чиме је избегнут знатно већи пад услужн</w:t>
      </w:r>
      <w:r w:rsidR="00815CC2" w:rsidRPr="00DE058F">
        <w:rPr>
          <w:rFonts w:cstheme="minorHAnsi"/>
          <w:bCs/>
          <w:szCs w:val="72"/>
          <w:lang w:val="sr-Cyrl-CS"/>
        </w:rPr>
        <w:t>их</w:t>
      </w:r>
      <w:r w:rsidRPr="00DE058F">
        <w:rPr>
          <w:rFonts w:cstheme="minorHAnsi"/>
          <w:bCs/>
          <w:szCs w:val="72"/>
          <w:lang w:val="sr-Cyrl-CS"/>
        </w:rPr>
        <w:t xml:space="preserve"> активности током 2020. године.</w:t>
      </w:r>
    </w:p>
    <w:p w14:paraId="2779A40E" w14:textId="77777777" w:rsidR="00EB41E3" w:rsidRPr="00DE058F" w:rsidRDefault="00EB41E3" w:rsidP="008527D6">
      <w:pPr>
        <w:spacing w:after="80"/>
        <w:jc w:val="center"/>
        <w:rPr>
          <w:rFonts w:cstheme="minorHAnsi"/>
          <w:b/>
          <w:color w:val="002060"/>
          <w:lang w:val="sr-Cyrl-CS"/>
        </w:rPr>
      </w:pPr>
      <w:r w:rsidRPr="00DE058F">
        <w:rPr>
          <w:rFonts w:cstheme="minorHAnsi"/>
          <w:b/>
          <w:color w:val="002060"/>
          <w:lang w:val="sr-Cyrl-CS"/>
        </w:rPr>
        <w:t>Реални раст делатности услужног сектора</w:t>
      </w:r>
      <w:r w:rsidRPr="00DE058F">
        <w:rPr>
          <w:rStyle w:val="FootnoteReference"/>
          <w:rFonts w:cstheme="minorHAnsi"/>
          <w:b/>
          <w:color w:val="002060"/>
          <w:lang w:val="sr-Cyrl-CS"/>
        </w:rPr>
        <w:footnoteReference w:id="2"/>
      </w:r>
      <w:r w:rsidRPr="00DE058F">
        <w:rPr>
          <w:rFonts w:cstheme="minorHAnsi"/>
          <w:b/>
          <w:color w:val="002060"/>
          <w:lang w:val="sr-Cyrl-CS"/>
        </w:rPr>
        <w:t>, у %</w:t>
      </w:r>
    </w:p>
    <w:p w14:paraId="00976E94" w14:textId="77777777" w:rsidR="00EB41E3" w:rsidRPr="00DE058F" w:rsidRDefault="00EB41E3" w:rsidP="008527D6">
      <w:pPr>
        <w:spacing w:after="20"/>
        <w:rPr>
          <w:rFonts w:cstheme="minorHAnsi"/>
          <w:bCs/>
          <w:szCs w:val="72"/>
          <w:lang w:val="sr-Cyrl-CS"/>
        </w:rPr>
      </w:pPr>
      <w:r w:rsidRPr="00DE058F">
        <w:rPr>
          <w:noProof/>
        </w:rPr>
        <w:drawing>
          <wp:inline distT="0" distB="0" distL="0" distR="0" wp14:anchorId="5AFEBCC5" wp14:editId="799CB1D9">
            <wp:extent cx="2743200" cy="2228850"/>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4C79CDCD" w14:textId="77777777" w:rsidR="00EB41E3" w:rsidRPr="00DE058F" w:rsidRDefault="00EB41E3" w:rsidP="008527D6">
      <w:pPr>
        <w:rPr>
          <w:rFonts w:cstheme="minorHAnsi"/>
          <w:bCs/>
          <w:sz w:val="16"/>
          <w:szCs w:val="72"/>
          <w:lang w:val="sr-Cyrl-CS"/>
        </w:rPr>
      </w:pPr>
      <w:r w:rsidRPr="00DE058F">
        <w:rPr>
          <w:rFonts w:cstheme="minorHAnsi"/>
          <w:bCs/>
          <w:sz w:val="16"/>
          <w:szCs w:val="72"/>
          <w:lang w:val="sr-Cyrl-CS"/>
        </w:rPr>
        <w:t>Извор: РЗС</w:t>
      </w:r>
    </w:p>
    <w:p w14:paraId="77D9077D" w14:textId="6561F9FE" w:rsidR="00EB41E3" w:rsidRPr="00DE058F" w:rsidRDefault="00EB41E3" w:rsidP="008527D6">
      <w:pPr>
        <w:rPr>
          <w:rFonts w:cstheme="minorHAnsi"/>
          <w:bCs/>
          <w:szCs w:val="72"/>
          <w:lang w:val="sr-Cyrl-CS"/>
        </w:rPr>
      </w:pPr>
      <w:r w:rsidRPr="00DE058F">
        <w:rPr>
          <w:rFonts w:cstheme="minorHAnsi"/>
          <w:bCs/>
          <w:szCs w:val="72"/>
          <w:lang w:val="sr-Cyrl-CS"/>
        </w:rPr>
        <w:t xml:space="preserve">Повољна динамика услужног сектора настављена је и почетком 2022. године. У прва три месеца промет робе у трговини на мало повећан је за 10,6% мг. Овоме је допринео раст расположивог дохотка становништва, пре свега услед раста реалних зарада и запослености подржано додатним давањима појединим категоријама становништва, али је једним делом и последица импулсивне куповине услед почетка сукоба у Украјини. </w:t>
      </w:r>
      <w:r w:rsidRPr="00DE058F">
        <w:rPr>
          <w:rFonts w:cstheme="minorHAnsi"/>
          <w:bCs/>
          <w:spacing w:val="-2"/>
          <w:szCs w:val="72"/>
          <w:lang w:val="sr-Cyrl-CS"/>
        </w:rPr>
        <w:t>Приметан је раст тражња потрошача за моторним горивом и прехрамбеним производима (храна, пића и дуван), тако да је промет ових категорија био реално већи за 18,5% и 2,9% мг</w:t>
      </w:r>
      <w:r w:rsidR="008D38D5" w:rsidRPr="00DE058F">
        <w:rPr>
          <w:rFonts w:cstheme="minorHAnsi"/>
          <w:bCs/>
          <w:spacing w:val="-2"/>
          <w:szCs w:val="72"/>
          <w:lang w:val="sr-Cyrl-CS"/>
        </w:rPr>
        <w:t>.</w:t>
      </w:r>
      <w:r w:rsidRPr="00DE058F">
        <w:rPr>
          <w:rFonts w:cstheme="minorHAnsi"/>
          <w:bCs/>
          <w:spacing w:val="-2"/>
          <w:szCs w:val="72"/>
          <w:lang w:val="sr-Cyrl-CS"/>
        </w:rPr>
        <w:t>, док</w:t>
      </w:r>
      <w:r w:rsidRPr="00DE058F">
        <w:rPr>
          <w:rFonts w:cstheme="minorHAnsi"/>
          <w:bCs/>
          <w:szCs w:val="72"/>
          <w:lang w:val="sr-Cyrl-CS"/>
        </w:rPr>
        <w:t xml:space="preserve"> је промет непрехрамбених производа повећан за </w:t>
      </w:r>
      <w:r w:rsidRPr="00DE058F">
        <w:rPr>
          <w:rFonts w:cstheme="minorHAnsi"/>
          <w:bCs/>
          <w:szCs w:val="72"/>
          <w:lang w:val="sr-Cyrl-CS"/>
        </w:rPr>
        <w:t xml:space="preserve">16,4%. Сектор информационо комуникационих технологија је током две пандемијске године остварио кумулативни раст БДВ од 14,3%, и био је праћен растом извоза ИКТ услуга од 30,6%. Почетком 2022. године настављен је снажан раст извоза ИКТ услуга, који је у прва два месеца био већи за 42,7% мг. Са опоравком економске активности и укидањем епидемиолошких мера значајно је повећан обим путничког и теретног саобраћаја у 2021. години (раст од 41,0% и 27,1%, респективно). Међутим, укупан обим саобраћаја био је и даље нижи за </w:t>
      </w:r>
      <w:r w:rsidR="0094755B" w:rsidRPr="00DE058F">
        <w:rPr>
          <w:rFonts w:cstheme="minorHAnsi"/>
          <w:bCs/>
          <w:szCs w:val="72"/>
          <w:lang w:val="sr-Cyrl-CS"/>
        </w:rPr>
        <w:t>око 14</w:t>
      </w:r>
      <w:r w:rsidRPr="00DE058F">
        <w:rPr>
          <w:rFonts w:cstheme="minorHAnsi"/>
          <w:bCs/>
          <w:szCs w:val="72"/>
          <w:lang w:val="sr-Cyrl-CS"/>
        </w:rPr>
        <w:t>% у односу на ниво из 2019. године, услед снажнијег утицаја пандемије на путнички саобраћај и његовог споријег опоравка (у периоду 2020–2021.</w:t>
      </w:r>
      <w:r w:rsidR="00F76559" w:rsidRPr="00DE058F">
        <w:rPr>
          <w:rFonts w:cstheme="minorHAnsi"/>
          <w:bCs/>
          <w:szCs w:val="72"/>
          <w:lang w:val="sr-Cyrl-CS"/>
        </w:rPr>
        <w:t xml:space="preserve"> године</w:t>
      </w:r>
      <w:r w:rsidRPr="00DE058F">
        <w:rPr>
          <w:rFonts w:cstheme="minorHAnsi"/>
          <w:bCs/>
          <w:szCs w:val="72"/>
          <w:lang w:val="sr-Cyrl-CS"/>
        </w:rPr>
        <w:t xml:space="preserve"> остварен је кумулативни пад од 31%). Почетком 2022. године, извоз транспортних услуга наставио је да расте и у прва два месеца био је већи за око трећину у односу на исти период претходне године.</w:t>
      </w:r>
    </w:p>
    <w:p w14:paraId="5C013FCB" w14:textId="77777777" w:rsidR="00EB41E3" w:rsidRPr="00DE058F" w:rsidRDefault="00EB41E3" w:rsidP="008527D6">
      <w:pPr>
        <w:spacing w:after="80"/>
        <w:jc w:val="center"/>
        <w:rPr>
          <w:rFonts w:cstheme="minorHAnsi"/>
          <w:b/>
          <w:color w:val="002060"/>
          <w:lang w:val="sr-Cyrl-CS"/>
        </w:rPr>
      </w:pPr>
      <w:r w:rsidRPr="00DE058F">
        <w:rPr>
          <w:rFonts w:cstheme="minorHAnsi"/>
          <w:b/>
          <w:color w:val="002060"/>
          <w:lang w:val="sr-Cyrl-CS"/>
        </w:rPr>
        <w:t>Индекс физичког обима саобраћаја (2020=100)</w:t>
      </w:r>
    </w:p>
    <w:p w14:paraId="36F9327A" w14:textId="77777777" w:rsidR="00EB41E3" w:rsidRPr="00DE058F" w:rsidRDefault="00EB41E3" w:rsidP="008527D6">
      <w:pPr>
        <w:spacing w:after="20"/>
        <w:rPr>
          <w:rFonts w:cstheme="minorHAnsi"/>
          <w:bCs/>
          <w:szCs w:val="72"/>
          <w:lang w:val="sr-Cyrl-CS"/>
        </w:rPr>
      </w:pPr>
      <w:r w:rsidRPr="00DE058F">
        <w:rPr>
          <w:noProof/>
        </w:rPr>
        <w:drawing>
          <wp:inline distT="0" distB="0" distL="0" distR="0" wp14:anchorId="0B5FBB56" wp14:editId="72A27C20">
            <wp:extent cx="2743200" cy="1979930"/>
            <wp:effectExtent l="0" t="0" r="0" b="1270"/>
            <wp:docPr id="29" name="Chart 29">
              <a:extLst xmlns:a="http://schemas.openxmlformats.org/drawingml/2006/main">
                <a:ext uri="{FF2B5EF4-FFF2-40B4-BE49-F238E27FC236}">
                  <a16:creationId xmlns:a16="http://schemas.microsoft.com/office/drawing/2014/main" id="{C3A22F6C-35C5-40F8-BB50-8B58EF750A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11124319" w14:textId="77777777" w:rsidR="00EB41E3" w:rsidRPr="00DE058F" w:rsidRDefault="00EB41E3" w:rsidP="008527D6">
      <w:pPr>
        <w:rPr>
          <w:rFonts w:cstheme="minorHAnsi"/>
          <w:bCs/>
          <w:sz w:val="16"/>
          <w:szCs w:val="72"/>
          <w:lang w:val="sr-Cyrl-CS"/>
        </w:rPr>
      </w:pPr>
      <w:r w:rsidRPr="00DE058F">
        <w:rPr>
          <w:rFonts w:cstheme="minorHAnsi"/>
          <w:bCs/>
          <w:sz w:val="16"/>
          <w:szCs w:val="72"/>
          <w:lang w:val="sr-Cyrl-CS"/>
        </w:rPr>
        <w:t>Извор: РЗС</w:t>
      </w:r>
    </w:p>
    <w:p w14:paraId="04A4C238" w14:textId="2A7CB136" w:rsidR="00EB41E3" w:rsidRPr="00DE058F" w:rsidRDefault="00EB41E3" w:rsidP="00B435B3">
      <w:pPr>
        <w:rPr>
          <w:rFonts w:cstheme="minorHAnsi"/>
          <w:bCs/>
          <w:szCs w:val="72"/>
          <w:lang w:val="sr-Cyrl-CS"/>
        </w:rPr>
      </w:pPr>
      <w:r w:rsidRPr="00DE058F">
        <w:rPr>
          <w:rFonts w:cstheme="minorHAnsi"/>
          <w:bCs/>
          <w:szCs w:val="72"/>
          <w:lang w:val="sr-Cyrl-CS"/>
        </w:rPr>
        <w:t>Делатности попут туризма, уметности, забаве и рекреације, које су посебно биле осетљиве на развој епидемиолошке ситуације, такође бележе значајан опоравак током 2021. године, уз наставак позитивних кретања почетком 2022.</w:t>
      </w:r>
      <w:r w:rsidR="00F76559" w:rsidRPr="00DE058F">
        <w:rPr>
          <w:rFonts w:cstheme="minorHAnsi"/>
          <w:bCs/>
          <w:szCs w:val="72"/>
          <w:lang w:val="sr-Cyrl-CS"/>
        </w:rPr>
        <w:t xml:space="preserve"> године</w:t>
      </w:r>
      <w:r w:rsidRPr="00DE058F">
        <w:rPr>
          <w:rFonts w:cstheme="minorHAnsi"/>
          <w:bCs/>
          <w:szCs w:val="72"/>
          <w:lang w:val="sr-Cyrl-CS"/>
        </w:rPr>
        <w:t xml:space="preserve"> Сектор уметности</w:t>
      </w:r>
      <w:r w:rsidR="00815CC2" w:rsidRPr="00DE058F">
        <w:rPr>
          <w:rFonts w:cstheme="minorHAnsi"/>
          <w:bCs/>
          <w:szCs w:val="72"/>
          <w:lang w:val="sr-Cyrl-CS"/>
        </w:rPr>
        <w:t>,</w:t>
      </w:r>
      <w:r w:rsidRPr="00DE058F">
        <w:rPr>
          <w:rFonts w:cstheme="minorHAnsi"/>
          <w:bCs/>
          <w:szCs w:val="72"/>
          <w:lang w:val="sr-Cyrl-CS"/>
        </w:rPr>
        <w:t xml:space="preserve"> забаве и рекреације у периоду 2020–2021. </w:t>
      </w:r>
      <w:r w:rsidR="00F76559" w:rsidRPr="00DE058F">
        <w:rPr>
          <w:rFonts w:cstheme="minorHAnsi"/>
          <w:bCs/>
          <w:szCs w:val="72"/>
          <w:lang w:val="sr-Cyrl-CS"/>
        </w:rPr>
        <w:t xml:space="preserve">године </w:t>
      </w:r>
      <w:r w:rsidRPr="00DE058F">
        <w:rPr>
          <w:rFonts w:cstheme="minorHAnsi"/>
          <w:bCs/>
          <w:szCs w:val="72"/>
          <w:lang w:val="sr-Cyrl-CS"/>
        </w:rPr>
        <w:t xml:space="preserve">забележио је кумулативни раст од 2,2%, док је сличан раст остварен и код стручних, научних, иновационих и техничких делатности (2,6%). И поред тога што је туристичка </w:t>
      </w:r>
      <w:r w:rsidRPr="00DE058F">
        <w:rPr>
          <w:rFonts w:cstheme="minorHAnsi"/>
          <w:bCs/>
          <w:szCs w:val="72"/>
          <w:lang w:val="sr-Cyrl-CS"/>
        </w:rPr>
        <w:lastRenderedPageBreak/>
        <w:t>активност мерена бројем долазака и ноћења туриста у периоду 2020–2021.</w:t>
      </w:r>
      <w:r w:rsidR="00B56F57" w:rsidRPr="00DE058F">
        <w:rPr>
          <w:rFonts w:cstheme="minorHAnsi"/>
          <w:bCs/>
          <w:szCs w:val="72"/>
          <w:lang w:val="sr-Cyrl-CS"/>
        </w:rPr>
        <w:t xml:space="preserve"> године</w:t>
      </w:r>
      <w:r w:rsidRPr="00DE058F">
        <w:rPr>
          <w:rFonts w:cstheme="minorHAnsi"/>
          <w:bCs/>
          <w:szCs w:val="72"/>
          <w:lang w:val="sr-Cyrl-CS"/>
        </w:rPr>
        <w:t xml:space="preserve"> остварила кумулативни пад од око 30% и 19% респективно, приметан је значајан опоравак. Активност домаћих туриста током 2021. </w:t>
      </w:r>
      <w:r w:rsidR="00B56F57" w:rsidRPr="00DE058F">
        <w:rPr>
          <w:rFonts w:cstheme="minorHAnsi"/>
          <w:bCs/>
          <w:szCs w:val="72"/>
          <w:lang w:val="sr-Cyrl-CS"/>
        </w:rPr>
        <w:t xml:space="preserve">године </w:t>
      </w:r>
      <w:r w:rsidRPr="00DE058F">
        <w:rPr>
          <w:rFonts w:cstheme="minorHAnsi"/>
          <w:bCs/>
          <w:szCs w:val="72"/>
          <w:lang w:val="sr-Cyrl-CS"/>
        </w:rPr>
        <w:t>била је близу преткризног нивоа из 2019. године, а у прва три месеца 2022.</w:t>
      </w:r>
      <w:r w:rsidR="00B56F57" w:rsidRPr="00DE058F">
        <w:rPr>
          <w:rFonts w:cstheme="minorHAnsi"/>
          <w:bCs/>
          <w:szCs w:val="72"/>
          <w:lang w:val="sr-Cyrl-CS"/>
        </w:rPr>
        <w:t xml:space="preserve"> године</w:t>
      </w:r>
      <w:r w:rsidRPr="00DE058F">
        <w:rPr>
          <w:rFonts w:cstheme="minorHAnsi"/>
          <w:bCs/>
          <w:szCs w:val="72"/>
          <w:lang w:val="sr-Cyrl-CS"/>
        </w:rPr>
        <w:t xml:space="preserve"> број њихових ноћења бележи раст од 18,8% мг. Истовремено, број ноћења страних туриста снажно расте и међугодишње је удвостручен, уз такође приближно повећање </w:t>
      </w:r>
      <w:r w:rsidRPr="00DE058F">
        <w:rPr>
          <w:rFonts w:cstheme="minorHAnsi"/>
          <w:bCs/>
          <w:szCs w:val="72"/>
          <w:lang w:val="sr-Cyrl-CS"/>
        </w:rPr>
        <w:t>учешћа страних туриста у укупном броју ноћења које износи 40%. Међутим и поред тога број ноћења страних туриста у првом кварталу 2022.</w:t>
      </w:r>
      <w:r w:rsidR="00B56F57" w:rsidRPr="00DE058F">
        <w:rPr>
          <w:rFonts w:cstheme="minorHAnsi"/>
          <w:bCs/>
          <w:szCs w:val="72"/>
          <w:lang w:val="sr-Cyrl-CS"/>
        </w:rPr>
        <w:t xml:space="preserve"> године</w:t>
      </w:r>
      <w:r w:rsidRPr="00DE058F">
        <w:rPr>
          <w:rFonts w:cstheme="minorHAnsi"/>
          <w:bCs/>
          <w:szCs w:val="72"/>
          <w:lang w:val="sr-Cyrl-CS"/>
        </w:rPr>
        <w:t xml:space="preserve"> је и даље нижи за око 12% у односу на исти период 2019. године. У прва два месеца 2022</w:t>
      </w:r>
      <w:r w:rsidR="00D344A4" w:rsidRPr="00DE058F">
        <w:rPr>
          <w:rFonts w:cstheme="minorHAnsi"/>
          <w:bCs/>
          <w:szCs w:val="72"/>
          <w:lang w:val="sr-Cyrl-CS"/>
        </w:rPr>
        <w:t>. године</w:t>
      </w:r>
      <w:r w:rsidRPr="00DE058F">
        <w:rPr>
          <w:rFonts w:cstheme="minorHAnsi"/>
          <w:bCs/>
          <w:szCs w:val="72"/>
          <w:lang w:val="sr-Cyrl-CS"/>
        </w:rPr>
        <w:t>, извоз туристичких услуга је међугодишње већи за 22%. Снажан раст промета у угоститељству забележен је током 2021. године уз наставак повољних кретања и почетком 2022. године.</w:t>
      </w:r>
    </w:p>
    <w:p w14:paraId="3FBB914C" w14:textId="77777777" w:rsidR="00EB41E3" w:rsidRPr="00DE058F" w:rsidRDefault="00EB41E3" w:rsidP="00B435B3">
      <w:pPr>
        <w:rPr>
          <w:rFonts w:cstheme="minorHAnsi"/>
          <w:b/>
          <w:bCs/>
          <w:szCs w:val="72"/>
          <w:lang w:val="sr-Cyrl-CS"/>
        </w:rPr>
        <w:sectPr w:rsidR="00EB41E3" w:rsidRPr="00DE058F" w:rsidSect="00CE5657">
          <w:type w:val="continuous"/>
          <w:pgSz w:w="12240" w:h="15840"/>
          <w:pgMar w:top="1440" w:right="1440" w:bottom="1440" w:left="1440" w:header="720" w:footer="720" w:gutter="0"/>
          <w:cols w:num="2" w:space="720"/>
          <w:docGrid w:linePitch="360"/>
          <w15:footnoteColumns w:val="1"/>
        </w:sectPr>
      </w:pPr>
    </w:p>
    <w:p w14:paraId="19C1D7DE" w14:textId="77777777" w:rsidR="00EB41E3" w:rsidRPr="00DE058F" w:rsidRDefault="00EB41E3" w:rsidP="008527D6">
      <w:pPr>
        <w:spacing w:before="240"/>
        <w:jc w:val="center"/>
        <w:rPr>
          <w:rFonts w:cstheme="minorHAnsi"/>
          <w:b/>
          <w:color w:val="002060"/>
          <w:lang w:val="sr-Cyrl-CS"/>
        </w:rPr>
      </w:pPr>
      <w:r w:rsidRPr="00DE058F">
        <w:rPr>
          <w:rFonts w:cstheme="minorHAnsi"/>
          <w:b/>
          <w:color w:val="002060"/>
          <w:lang w:val="sr-Cyrl-CS"/>
        </w:rPr>
        <w:t>Високофреквентни индикатори најзначајнијих услужних делатности, 2021=100</w:t>
      </w:r>
    </w:p>
    <w:tbl>
      <w:tblPr>
        <w:tblStyle w:val="TableGrid6"/>
        <w:tblW w:w="0" w:type="auto"/>
        <w:tblBorders>
          <w:top w:val="none" w:sz="0" w:space="0" w:color="auto"/>
          <w:left w:val="none" w:sz="0" w:space="0" w:color="auto"/>
          <w:bottom w:val="dashSmallGap" w:sz="4" w:space="0" w:color="BFBFBF" w:themeColor="background1" w:themeShade="BF"/>
          <w:right w:val="none" w:sz="0" w:space="0" w:color="auto"/>
          <w:insideH w:val="dashSmallGap" w:sz="4" w:space="0" w:color="BFBFBF" w:themeColor="background1" w:themeShade="BF"/>
          <w:insideV w:val="dashSmallGap" w:sz="4" w:space="0" w:color="BFBFBF" w:themeColor="background1" w:themeShade="BF"/>
        </w:tblBorders>
        <w:tblLook w:val="04A0" w:firstRow="1" w:lastRow="0" w:firstColumn="1" w:lastColumn="0" w:noHBand="0" w:noVBand="1"/>
      </w:tblPr>
      <w:tblGrid>
        <w:gridCol w:w="4679"/>
        <w:gridCol w:w="4681"/>
      </w:tblGrid>
      <w:tr w:rsidR="00EB41E3" w:rsidRPr="00DE058F" w14:paraId="0827A4AD" w14:textId="77777777" w:rsidTr="008527D6">
        <w:tc>
          <w:tcPr>
            <w:tcW w:w="4679" w:type="dxa"/>
          </w:tcPr>
          <w:p w14:paraId="3C832F86" w14:textId="77777777" w:rsidR="00EB41E3" w:rsidRPr="00DE058F" w:rsidRDefault="00EB41E3" w:rsidP="008527D6">
            <w:pPr>
              <w:jc w:val="center"/>
              <w:rPr>
                <w:lang w:val="sr-Cyrl-CS"/>
              </w:rPr>
            </w:pPr>
            <w:r w:rsidRPr="00DE058F">
              <w:rPr>
                <w:lang w:val="sr-Cyrl-CS"/>
              </w:rPr>
              <w:t>Извоз услужних делатности</w:t>
            </w:r>
          </w:p>
          <w:p w14:paraId="0FC2F349" w14:textId="77777777" w:rsidR="00EB41E3" w:rsidRPr="00DE058F" w:rsidRDefault="00EB41E3" w:rsidP="008527D6">
            <w:pPr>
              <w:jc w:val="center"/>
              <w:rPr>
                <w:lang w:val="sr-Cyrl-CS"/>
              </w:rPr>
            </w:pPr>
            <w:r w:rsidRPr="00DE058F">
              <w:rPr>
                <w:noProof/>
              </w:rPr>
              <w:drawing>
                <wp:inline distT="0" distB="0" distL="0" distR="0" wp14:anchorId="5E80C611" wp14:editId="0D3B707E">
                  <wp:extent cx="2880000" cy="1332000"/>
                  <wp:effectExtent l="0" t="0" r="0" b="1905"/>
                  <wp:docPr id="39" name="Chart 39">
                    <a:extLst xmlns:a="http://schemas.openxmlformats.org/drawingml/2006/main">
                      <a:ext uri="{FF2B5EF4-FFF2-40B4-BE49-F238E27FC236}">
                        <a16:creationId xmlns:a16="http://schemas.microsoft.com/office/drawing/2014/main" id="{00000000-0008-0000-1B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c>
          <w:tcPr>
            <w:tcW w:w="4681" w:type="dxa"/>
          </w:tcPr>
          <w:p w14:paraId="44FBF58F" w14:textId="77777777" w:rsidR="00EB41E3" w:rsidRPr="00DE058F" w:rsidRDefault="00EB41E3" w:rsidP="008527D6">
            <w:pPr>
              <w:jc w:val="center"/>
              <w:rPr>
                <w:lang w:val="sr-Cyrl-CS"/>
              </w:rPr>
            </w:pPr>
            <w:r w:rsidRPr="00DE058F">
              <w:rPr>
                <w:lang w:val="sr-Cyrl-CS"/>
              </w:rPr>
              <w:t>Промет у трговини на мало у сталним ценама</w:t>
            </w:r>
          </w:p>
          <w:p w14:paraId="11085814" w14:textId="77777777" w:rsidR="00EB41E3" w:rsidRPr="00DE058F" w:rsidRDefault="00EB41E3" w:rsidP="008527D6">
            <w:pPr>
              <w:jc w:val="center"/>
              <w:rPr>
                <w:lang w:val="sr-Cyrl-CS"/>
              </w:rPr>
            </w:pPr>
            <w:r w:rsidRPr="00DE058F">
              <w:rPr>
                <w:noProof/>
              </w:rPr>
              <w:drawing>
                <wp:inline distT="0" distB="0" distL="0" distR="0" wp14:anchorId="3C573DFB" wp14:editId="79F1A677">
                  <wp:extent cx="2881504" cy="1332000"/>
                  <wp:effectExtent l="0" t="0" r="0" b="1905"/>
                  <wp:docPr id="11" name="Chart 11">
                    <a:extLst xmlns:a="http://schemas.openxmlformats.org/drawingml/2006/main">
                      <a:ext uri="{FF2B5EF4-FFF2-40B4-BE49-F238E27FC236}">
                        <a16:creationId xmlns:a16="http://schemas.microsoft.com/office/drawing/2014/main" id="{00000000-0008-0000-1A00-00000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r w:rsidR="00EB41E3" w:rsidRPr="00DE058F" w14:paraId="5D92484A" w14:textId="77777777" w:rsidTr="008527D6">
        <w:tc>
          <w:tcPr>
            <w:tcW w:w="4679" w:type="dxa"/>
          </w:tcPr>
          <w:p w14:paraId="73E5372B" w14:textId="77777777" w:rsidR="00EB41E3" w:rsidRPr="00DE058F" w:rsidRDefault="00EB41E3" w:rsidP="008527D6">
            <w:pPr>
              <w:jc w:val="center"/>
              <w:rPr>
                <w:lang w:val="sr-Cyrl-CS"/>
              </w:rPr>
            </w:pPr>
            <w:r w:rsidRPr="00DE058F">
              <w:rPr>
                <w:lang w:val="sr-Cyrl-CS"/>
              </w:rPr>
              <w:t>Извоз услуга телекомуникација, компјутерских и информацијских услуга</w:t>
            </w:r>
          </w:p>
          <w:p w14:paraId="3B8260E9" w14:textId="77777777" w:rsidR="00EB41E3" w:rsidRPr="00DE058F" w:rsidRDefault="00EB41E3" w:rsidP="008527D6">
            <w:pPr>
              <w:spacing w:before="60"/>
              <w:jc w:val="center"/>
              <w:rPr>
                <w:lang w:val="sr-Cyrl-CS"/>
              </w:rPr>
            </w:pPr>
            <w:r w:rsidRPr="00DE058F">
              <w:rPr>
                <w:noProof/>
              </w:rPr>
              <w:drawing>
                <wp:inline distT="0" distB="0" distL="0" distR="0" wp14:anchorId="468C0CBB" wp14:editId="05D13230">
                  <wp:extent cx="2880000" cy="1332000"/>
                  <wp:effectExtent l="0" t="0" r="0" b="1905"/>
                  <wp:docPr id="12" name="Chart 12">
                    <a:extLst xmlns:a="http://schemas.openxmlformats.org/drawingml/2006/main">
                      <a:ext uri="{FF2B5EF4-FFF2-40B4-BE49-F238E27FC236}">
                        <a16:creationId xmlns:a16="http://schemas.microsoft.com/office/drawing/2014/main" id="{00000000-0008-0000-1B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c>
          <w:tcPr>
            <w:tcW w:w="4681" w:type="dxa"/>
          </w:tcPr>
          <w:p w14:paraId="13CCA0E4" w14:textId="77777777" w:rsidR="00EB41E3" w:rsidRPr="00DE058F" w:rsidRDefault="00EB41E3" w:rsidP="008527D6">
            <w:pPr>
              <w:spacing w:before="60"/>
              <w:jc w:val="center"/>
              <w:rPr>
                <w:lang w:val="sr-Cyrl-CS"/>
              </w:rPr>
            </w:pPr>
            <w:r w:rsidRPr="00DE058F">
              <w:rPr>
                <w:lang w:val="sr-Cyrl-CS"/>
              </w:rPr>
              <w:t>Извоз транспортних услуга</w:t>
            </w:r>
          </w:p>
          <w:p w14:paraId="2C4500EE" w14:textId="77777777" w:rsidR="00EB41E3" w:rsidRPr="00DE058F" w:rsidRDefault="00EB41E3" w:rsidP="008527D6">
            <w:pPr>
              <w:jc w:val="center"/>
              <w:rPr>
                <w:lang w:val="sr-Cyrl-CS"/>
              </w:rPr>
            </w:pPr>
          </w:p>
          <w:p w14:paraId="6E41637B" w14:textId="77777777" w:rsidR="00EB41E3" w:rsidRPr="00DE058F" w:rsidRDefault="00EB41E3" w:rsidP="008527D6">
            <w:pPr>
              <w:spacing w:before="60" w:after="60"/>
              <w:jc w:val="center"/>
              <w:rPr>
                <w:lang w:val="sr-Cyrl-CS"/>
              </w:rPr>
            </w:pPr>
            <w:r w:rsidRPr="00DE058F">
              <w:rPr>
                <w:noProof/>
              </w:rPr>
              <w:drawing>
                <wp:inline distT="0" distB="0" distL="0" distR="0" wp14:anchorId="457EFD28" wp14:editId="33C2B755">
                  <wp:extent cx="2880000" cy="1332000"/>
                  <wp:effectExtent l="0" t="0" r="0" b="1905"/>
                  <wp:docPr id="33" name="Chart 33">
                    <a:extLst xmlns:a="http://schemas.openxmlformats.org/drawingml/2006/main">
                      <a:ext uri="{FF2B5EF4-FFF2-40B4-BE49-F238E27FC236}">
                        <a16:creationId xmlns:a16="http://schemas.microsoft.com/office/drawing/2014/main" id="{00000000-0008-0000-1B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r w:rsidR="00EB41E3" w:rsidRPr="00DE058F" w14:paraId="2E37C01D" w14:textId="77777777" w:rsidTr="008527D6">
        <w:tc>
          <w:tcPr>
            <w:tcW w:w="4679" w:type="dxa"/>
          </w:tcPr>
          <w:p w14:paraId="4FEC1A38" w14:textId="77777777" w:rsidR="00EB41E3" w:rsidRPr="00DE058F" w:rsidRDefault="00EB41E3" w:rsidP="008527D6">
            <w:pPr>
              <w:spacing w:before="60"/>
              <w:jc w:val="center"/>
              <w:rPr>
                <w:lang w:val="sr-Cyrl-CS"/>
              </w:rPr>
            </w:pPr>
            <w:r w:rsidRPr="00DE058F">
              <w:rPr>
                <w:lang w:val="sr-Cyrl-CS"/>
              </w:rPr>
              <w:t>Ноћења туриста</w:t>
            </w:r>
          </w:p>
          <w:p w14:paraId="2FB6C04B" w14:textId="77777777" w:rsidR="00EB41E3" w:rsidRPr="00DE058F" w:rsidRDefault="00EB41E3" w:rsidP="008527D6">
            <w:pPr>
              <w:spacing w:before="60"/>
              <w:jc w:val="center"/>
              <w:rPr>
                <w:lang w:val="sr-Cyrl-CS"/>
              </w:rPr>
            </w:pPr>
            <w:r w:rsidRPr="00DE058F">
              <w:rPr>
                <w:noProof/>
              </w:rPr>
              <w:drawing>
                <wp:inline distT="0" distB="0" distL="0" distR="0" wp14:anchorId="4FFFFC83" wp14:editId="2A87161E">
                  <wp:extent cx="2880000" cy="1332000"/>
                  <wp:effectExtent l="0" t="0" r="0" b="1905"/>
                  <wp:docPr id="30" name="Chart 30">
                    <a:extLst xmlns:a="http://schemas.openxmlformats.org/drawingml/2006/main">
                      <a:ext uri="{FF2B5EF4-FFF2-40B4-BE49-F238E27FC236}">
                        <a16:creationId xmlns:a16="http://schemas.microsoft.com/office/drawing/2014/main" id="{00000000-0008-0000-1A00-000011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c>
          <w:tcPr>
            <w:tcW w:w="4681" w:type="dxa"/>
          </w:tcPr>
          <w:p w14:paraId="10FBD0F2" w14:textId="77777777" w:rsidR="00EB41E3" w:rsidRPr="00DE058F" w:rsidRDefault="00EB41E3" w:rsidP="008527D6">
            <w:pPr>
              <w:spacing w:before="60"/>
              <w:jc w:val="center"/>
              <w:rPr>
                <w:lang w:val="sr-Cyrl-CS"/>
              </w:rPr>
            </w:pPr>
            <w:r w:rsidRPr="00DE058F">
              <w:rPr>
                <w:lang w:val="sr-Cyrl-CS"/>
              </w:rPr>
              <w:t>Извоз туристичких услуга</w:t>
            </w:r>
          </w:p>
          <w:p w14:paraId="278B8345" w14:textId="77777777" w:rsidR="00EB41E3" w:rsidRPr="00DE058F" w:rsidRDefault="00EB41E3" w:rsidP="008527D6">
            <w:pPr>
              <w:spacing w:before="60"/>
              <w:jc w:val="center"/>
              <w:rPr>
                <w:lang w:val="sr-Cyrl-CS"/>
              </w:rPr>
            </w:pPr>
            <w:r w:rsidRPr="00DE058F">
              <w:rPr>
                <w:noProof/>
              </w:rPr>
              <w:drawing>
                <wp:inline distT="0" distB="0" distL="0" distR="0" wp14:anchorId="1B683F4A" wp14:editId="0950AAD1">
                  <wp:extent cx="2880000" cy="1332000"/>
                  <wp:effectExtent l="0" t="0" r="0" b="1905"/>
                  <wp:docPr id="36" name="Chart 36">
                    <a:extLst xmlns:a="http://schemas.openxmlformats.org/drawingml/2006/main">
                      <a:ext uri="{FF2B5EF4-FFF2-40B4-BE49-F238E27FC236}">
                        <a16:creationId xmlns:a16="http://schemas.microsoft.com/office/drawing/2014/main" id="{00000000-0008-0000-1B00-00000B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14:paraId="2BD1EE68" w14:textId="77777777" w:rsidR="00EB41E3" w:rsidRPr="00DE058F" w:rsidRDefault="00EB41E3" w:rsidP="008527D6">
      <w:pPr>
        <w:spacing w:before="120" w:after="0"/>
        <w:jc w:val="center"/>
        <w:rPr>
          <w:rFonts w:cstheme="minorHAnsi"/>
          <w:b/>
          <w:lang w:val="sr-Cyrl-CS"/>
        </w:rPr>
      </w:pPr>
      <w:r w:rsidRPr="00DE058F">
        <w:rPr>
          <w:noProof/>
        </w:rPr>
        <w:drawing>
          <wp:inline distT="0" distB="0" distL="0" distR="0" wp14:anchorId="76B5B87D" wp14:editId="347385D4">
            <wp:extent cx="4371429" cy="219048"/>
            <wp:effectExtent l="0" t="0" r="0" b="0"/>
            <wp:docPr id="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57"/>
                    <a:stretch>
                      <a:fillRect/>
                    </a:stretch>
                  </pic:blipFill>
                  <pic:spPr>
                    <a:xfrm>
                      <a:off x="0" y="0"/>
                      <a:ext cx="4371429" cy="219048"/>
                    </a:xfrm>
                    <a:prstGeom prst="rect">
                      <a:avLst/>
                    </a:prstGeom>
                  </pic:spPr>
                </pic:pic>
              </a:graphicData>
            </a:graphic>
          </wp:inline>
        </w:drawing>
      </w:r>
    </w:p>
    <w:p w14:paraId="2FB3C567" w14:textId="77777777" w:rsidR="00EB41E3" w:rsidRPr="00DE058F" w:rsidRDefault="00EB41E3">
      <w:pPr>
        <w:jc w:val="left"/>
        <w:rPr>
          <w:rFonts w:cstheme="minorHAnsi"/>
          <w:b/>
          <w:lang w:val="sr-Cyrl-CS"/>
        </w:rPr>
      </w:pPr>
      <w:r w:rsidRPr="00DE058F">
        <w:rPr>
          <w:rFonts w:cstheme="minorHAnsi"/>
          <w:bCs/>
          <w:sz w:val="16"/>
          <w:szCs w:val="72"/>
          <w:lang w:val="sr-Cyrl-CS"/>
        </w:rPr>
        <w:t>Извор: Министарство финансија</w:t>
      </w:r>
      <w:r w:rsidRPr="00DE058F">
        <w:rPr>
          <w:rFonts w:cstheme="minorHAnsi"/>
          <w:b/>
          <w:lang w:val="sr-Cyrl-CS"/>
        </w:rPr>
        <w:br w:type="page"/>
      </w:r>
    </w:p>
    <w:p w14:paraId="1EA8CE0C" w14:textId="77777777" w:rsidR="00EB41E3" w:rsidRPr="00DE058F" w:rsidRDefault="00EB41E3" w:rsidP="00B435B3">
      <w:pPr>
        <w:jc w:val="center"/>
        <w:rPr>
          <w:rFonts w:cstheme="minorHAnsi"/>
          <w:b/>
          <w:lang w:val="sr-Cyrl-CS"/>
        </w:rPr>
        <w:sectPr w:rsidR="00EB41E3" w:rsidRPr="00DE058F" w:rsidSect="00B435B3">
          <w:type w:val="continuous"/>
          <w:pgSz w:w="12240" w:h="15840"/>
          <w:pgMar w:top="1440" w:right="1440" w:bottom="1440" w:left="1440" w:header="720" w:footer="720" w:gutter="0"/>
          <w:cols w:space="720"/>
          <w:docGrid w:linePitch="360"/>
          <w15:footnoteColumns w:val="1"/>
        </w:sectPr>
      </w:pPr>
    </w:p>
    <w:p w14:paraId="4CF55CBA" w14:textId="591D8556" w:rsidR="00EB41E3" w:rsidRPr="00DE058F" w:rsidRDefault="00EB41E3" w:rsidP="008527D6">
      <w:pPr>
        <w:tabs>
          <w:tab w:val="left" w:pos="720"/>
          <w:tab w:val="left" w:pos="1440"/>
        </w:tabs>
        <w:rPr>
          <w:rFonts w:cstheme="minorHAnsi"/>
          <w:bCs/>
          <w:szCs w:val="72"/>
          <w:lang w:val="sr-Cyrl-CS"/>
        </w:rPr>
      </w:pPr>
      <w:r w:rsidRPr="00DE058F">
        <w:rPr>
          <w:rFonts w:cstheme="minorHAnsi"/>
          <w:bCs/>
          <w:szCs w:val="72"/>
          <w:lang w:val="sr-Cyrl-CS"/>
        </w:rPr>
        <w:lastRenderedPageBreak/>
        <w:t>Упркос остварењима у првом кварталу 2022. године која су генерално на нивоу пројектованих, Министарство финансија је, због очекиваног негативног утицаја растућих геополитичких тензија, енергетске кризе, као и повећане глобалне неизвесности, ревидирало наниже пројекцију раста БДП за 2022</w:t>
      </w:r>
      <w:r w:rsidR="00D76357" w:rsidRPr="00DE058F">
        <w:rPr>
          <w:rFonts w:cstheme="minorHAnsi"/>
          <w:bCs/>
          <w:szCs w:val="72"/>
          <w:lang w:val="sr-Cyrl-CS"/>
        </w:rPr>
        <w:t>.</w:t>
      </w:r>
      <w:r w:rsidRPr="00DE058F">
        <w:rPr>
          <w:rFonts w:cstheme="minorHAnsi"/>
          <w:bCs/>
          <w:szCs w:val="72"/>
          <w:lang w:val="sr-Cyrl-CS"/>
        </w:rPr>
        <w:t xml:space="preserve"> годину за 1,0 п.п</w:t>
      </w:r>
      <w:r w:rsidR="00007166" w:rsidRPr="00DE058F">
        <w:rPr>
          <w:rFonts w:cstheme="minorHAnsi"/>
          <w:bCs/>
          <w:szCs w:val="72"/>
          <w:lang w:val="sr-Cyrl-CS"/>
        </w:rPr>
        <w:t>.</w:t>
      </w:r>
      <w:r w:rsidRPr="00DE058F">
        <w:rPr>
          <w:rFonts w:cstheme="minorHAnsi"/>
          <w:bCs/>
          <w:szCs w:val="72"/>
          <w:lang w:val="sr-Cyrl-CS"/>
        </w:rPr>
        <w:t>, са 4,5% на 3,5%. Оваква годишња динамика подразумевала би раст БДП у другом кварталу од око 4% мг</w:t>
      </w:r>
      <w:r w:rsidR="008D38D5" w:rsidRPr="00DE058F">
        <w:rPr>
          <w:rFonts w:cstheme="minorHAnsi"/>
          <w:bCs/>
          <w:szCs w:val="72"/>
          <w:lang w:val="sr-Cyrl-CS"/>
        </w:rPr>
        <w:t>.</w:t>
      </w:r>
      <w:r w:rsidRPr="00DE058F">
        <w:rPr>
          <w:rFonts w:cstheme="minorHAnsi"/>
          <w:bCs/>
          <w:szCs w:val="72"/>
          <w:lang w:val="sr-Cyrl-CS"/>
        </w:rPr>
        <w:t>, што је на нивоу претходне пројекције, док се преливање утицаја текућих геополитичких дешавања на домаћу економску активност у овом сценарију очекује са одређеним временским помаком, што ће за последицу имати значајно мање стопе раста у другој половини године од првобитно пројектованих. Евентуална даља ескалација сукоба и додатно заоштравање политичких и економских односа могли би да се одразе да очекивани привредни раст у 2022. години буде и мањи од тренутне процене, те матрицу ризика оцењујемо као благо асиметричну наниже.</w:t>
      </w:r>
    </w:p>
    <w:p w14:paraId="7BF33883" w14:textId="77777777" w:rsidR="00EB41E3" w:rsidRPr="00DE058F" w:rsidRDefault="00EB41E3" w:rsidP="008527D6">
      <w:pPr>
        <w:spacing w:after="80"/>
        <w:jc w:val="center"/>
        <w:rPr>
          <w:rFonts w:cstheme="minorHAnsi"/>
          <w:b/>
          <w:color w:val="002060"/>
          <w:lang w:val="sr-Cyrl-CS"/>
        </w:rPr>
      </w:pPr>
      <w:r w:rsidRPr="00DE058F">
        <w:rPr>
          <w:rFonts w:cstheme="minorHAnsi"/>
          <w:b/>
          <w:color w:val="002060"/>
          <w:lang w:val="sr-Cyrl-CS"/>
        </w:rPr>
        <w:t>Кварталне стопе реалног раста БДП у 2022. години, %</w:t>
      </w:r>
    </w:p>
    <w:p w14:paraId="3CCBFDD7" w14:textId="77777777" w:rsidR="00EB41E3" w:rsidRPr="00DE058F" w:rsidRDefault="00EB41E3" w:rsidP="008527D6">
      <w:pPr>
        <w:tabs>
          <w:tab w:val="left" w:pos="720"/>
          <w:tab w:val="left" w:pos="1440"/>
        </w:tabs>
        <w:spacing w:after="0" w:line="240" w:lineRule="auto"/>
        <w:rPr>
          <w:rFonts w:cstheme="minorHAnsi"/>
          <w:bCs/>
          <w:szCs w:val="72"/>
          <w:lang w:val="sr-Cyrl-CS"/>
        </w:rPr>
      </w:pPr>
      <w:r w:rsidRPr="00DE058F">
        <w:rPr>
          <w:noProof/>
        </w:rPr>
        <w:drawing>
          <wp:inline distT="0" distB="0" distL="0" distR="0" wp14:anchorId="4EE1D794" wp14:editId="49182022">
            <wp:extent cx="2743200" cy="2410460"/>
            <wp:effectExtent l="0" t="0" r="0" b="8890"/>
            <wp:docPr id="43" name="Chart 43">
              <a:extLst xmlns:a="http://schemas.openxmlformats.org/drawingml/2006/main">
                <a:ext uri="{FF2B5EF4-FFF2-40B4-BE49-F238E27FC236}">
                  <a16:creationId xmlns:a16="http://schemas.microsoft.com/office/drawing/2014/main" id="{00000000-0008-0000-0B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78D5EB82" w14:textId="77777777" w:rsidR="00EB41E3" w:rsidRPr="00DE058F" w:rsidRDefault="00EB41E3" w:rsidP="008527D6">
      <w:pPr>
        <w:tabs>
          <w:tab w:val="left" w:pos="720"/>
          <w:tab w:val="left" w:pos="1440"/>
        </w:tabs>
        <w:spacing w:after="120" w:line="240" w:lineRule="auto"/>
        <w:rPr>
          <w:rFonts w:cstheme="minorHAnsi"/>
          <w:bCs/>
          <w:sz w:val="16"/>
          <w:szCs w:val="72"/>
          <w:lang w:val="sr-Cyrl-CS"/>
        </w:rPr>
      </w:pPr>
      <w:r w:rsidRPr="00DE058F">
        <w:rPr>
          <w:rFonts w:cstheme="minorHAnsi"/>
          <w:bCs/>
          <w:sz w:val="16"/>
          <w:szCs w:val="72"/>
          <w:lang w:val="sr-Cyrl-CS"/>
        </w:rPr>
        <w:t>Извор: Процене Министарства финансија</w:t>
      </w:r>
    </w:p>
    <w:p w14:paraId="41B8C23A" w14:textId="5F6BC339" w:rsidR="00EB41E3" w:rsidRPr="00DE058F" w:rsidRDefault="00EB41E3" w:rsidP="008527D6">
      <w:pPr>
        <w:tabs>
          <w:tab w:val="left" w:pos="720"/>
          <w:tab w:val="left" w:pos="1440"/>
        </w:tabs>
        <w:rPr>
          <w:rFonts w:cstheme="minorHAnsi"/>
          <w:bCs/>
          <w:szCs w:val="72"/>
          <w:lang w:val="sr-Cyrl-CS"/>
        </w:rPr>
      </w:pPr>
      <w:r w:rsidRPr="00DE058F">
        <w:rPr>
          <w:rFonts w:cstheme="minorHAnsi"/>
          <w:bCs/>
          <w:szCs w:val="72"/>
          <w:lang w:val="sr-Cyrl-CS"/>
        </w:rPr>
        <w:t xml:space="preserve">Посматрано по агрегатима употребе економски раст ће у 2022. години и у новој пројекцији бити у потпуности вођен домаћом тражњом. Већа инфлација од претходно очекиване одразиће се на нешто спорији раст реалне личне потрошње </w:t>
      </w:r>
      <w:r w:rsidRPr="00DE058F">
        <w:rPr>
          <w:rFonts w:cstheme="minorHAnsi"/>
          <w:bCs/>
          <w:szCs w:val="72"/>
          <w:lang w:val="sr-Cyrl-CS"/>
        </w:rPr>
        <w:t xml:space="preserve">домаћинстава упркос додатним једнократним давањима појединим категоријама становништва, док ће допринос државне потрошње бити готово неутралан. Растуће геополитичке тензије и аверзија инвеститора према ризику, уз раст цена инпута и смањења расположивог дохотка привредних субјеката по том основу, утицаће на спорији раст фиксних инвестиција од претходно пројектованог, те се уместо повећања од 6,4% очекује раст од 3%. Реализација </w:t>
      </w:r>
      <w:r w:rsidR="00F37874" w:rsidRPr="00DE058F">
        <w:rPr>
          <w:rFonts w:cstheme="minorHAnsi"/>
          <w:bCs/>
          <w:szCs w:val="72"/>
          <w:lang w:val="sr-Cyrl-CS"/>
        </w:rPr>
        <w:t>СДИ</w:t>
      </w:r>
      <w:r w:rsidRPr="00DE058F">
        <w:rPr>
          <w:rFonts w:cstheme="minorHAnsi"/>
          <w:bCs/>
          <w:szCs w:val="72"/>
          <w:lang w:val="sr-Cyrl-CS"/>
        </w:rPr>
        <w:t xml:space="preserve"> из претходног периода и с тим повезан значајни ефекат на страни понуде резултираће растом извоза од 9%, упркос нешто мањој спољној тражњи од претходно очекиване и ограничењима извоза појединих производа. С друге стране, повећани увоз енергената и репроматеријала одразиће се на већи раст реалног увоза у 2022. години од претходно пројектованог за око 1,0 п.п. и износиће 8,6%. Оваква динамика спољнотрговинских односа имаће за последицу негативан допринос нето извоза реалном расту БДП од 0,8 п.п.</w:t>
      </w:r>
    </w:p>
    <w:p w14:paraId="68000967" w14:textId="77777777" w:rsidR="00EB41E3" w:rsidRPr="00DE058F" w:rsidRDefault="00EB41E3" w:rsidP="008527D6">
      <w:pPr>
        <w:tabs>
          <w:tab w:val="left" w:pos="720"/>
          <w:tab w:val="left" w:pos="1440"/>
        </w:tabs>
        <w:rPr>
          <w:rFonts w:cstheme="minorHAnsi"/>
          <w:bCs/>
          <w:szCs w:val="72"/>
          <w:lang w:val="sr-Cyrl-CS"/>
        </w:rPr>
      </w:pPr>
      <w:r w:rsidRPr="00DE058F">
        <w:rPr>
          <w:rFonts w:cstheme="minorHAnsi"/>
          <w:bCs/>
          <w:spacing w:val="-2"/>
          <w:szCs w:val="72"/>
          <w:lang w:val="sr-Cyrl-CS"/>
        </w:rPr>
        <w:t>Посматрано са производне стране, најзначајнија ревизија у односу на претходну пројекцију, очекују су код индустријске производње и грађевинарства. Динамика активности у енергетском сектору имаће за последицу мањи обим производње електричне енергије од очекиваног, док ће се мања спољна тражња и раст цена енергената и репроматеријала негативно одразити на динамику прерађивачке индустрије.</w:t>
      </w:r>
      <w:r w:rsidRPr="00DE058F">
        <w:rPr>
          <w:rFonts w:cstheme="minorHAnsi"/>
          <w:bCs/>
          <w:szCs w:val="72"/>
          <w:lang w:val="sr-Cyrl-CS"/>
        </w:rPr>
        <w:t xml:space="preserve"> Под утицајем ових фактора раст индустрије у 2022. години је ревидиран са 6,5% на 3,7%. Мањи реални раст од претходно очекиваног забележиће и грађевинарство, пре свега као последица растуће глобалне неизвесности и мањег обима приватних инвестиција, али и услед снажног раста цена грађевинског материјала. </w:t>
      </w:r>
      <w:r w:rsidRPr="00DE058F">
        <w:rPr>
          <w:rFonts w:cstheme="minorHAnsi"/>
          <w:bCs/>
          <w:spacing w:val="-2"/>
          <w:szCs w:val="72"/>
          <w:lang w:val="sr-Cyrl-CS"/>
        </w:rPr>
        <w:t>Услужни сектор ће и у новој пројекцији, захваљујући наставку раста у трговини, саобраћају, туризму и угоститељству, као и информационо-комуникационим технологијама задржати улогу доминантног извора економског раста. И у тренутној процени економских кретања задржана је претпоставка просечне пољопривредне сезоне у 2022. години тако да пројектовани раст овог сектора износи 0,5%.</w:t>
      </w:r>
    </w:p>
    <w:p w14:paraId="6475A88E" w14:textId="77777777" w:rsidR="00EB41E3" w:rsidRPr="00DE058F" w:rsidRDefault="00EB41E3" w:rsidP="008527D6">
      <w:pPr>
        <w:rPr>
          <w:rFonts w:cstheme="minorHAnsi"/>
          <w:bCs/>
          <w:szCs w:val="72"/>
          <w:lang w:val="sr-Cyrl-CS"/>
        </w:rPr>
        <w:sectPr w:rsidR="00EB41E3" w:rsidRPr="00DE058F" w:rsidSect="008527D6">
          <w:type w:val="continuous"/>
          <w:pgSz w:w="12240" w:h="15840"/>
          <w:pgMar w:top="1440" w:right="1440" w:bottom="1440" w:left="1440" w:header="720" w:footer="720" w:gutter="0"/>
          <w:cols w:num="2" w:space="720"/>
          <w:docGrid w:linePitch="360"/>
        </w:sectPr>
      </w:pPr>
    </w:p>
    <w:p w14:paraId="10D03E42" w14:textId="77777777" w:rsidR="00EB41E3" w:rsidRPr="00DE058F" w:rsidRDefault="00EB41E3" w:rsidP="008527D6">
      <w:pPr>
        <w:rPr>
          <w:lang w:val="sr-Cyrl-CS"/>
        </w:rPr>
      </w:pPr>
    </w:p>
    <w:p w14:paraId="1FF12852" w14:textId="77777777" w:rsidR="00EB41E3" w:rsidRPr="00DE058F" w:rsidRDefault="00EB41E3" w:rsidP="008527D6">
      <w:pPr>
        <w:rPr>
          <w:lang w:val="sr-Cyrl-CS"/>
        </w:rPr>
      </w:pPr>
    </w:p>
    <w:p w14:paraId="01A48A10" w14:textId="6DDBAE8D" w:rsidR="00EB41E3" w:rsidRPr="00DE058F" w:rsidRDefault="00EB41E3" w:rsidP="00254447">
      <w:pPr>
        <w:spacing w:after="40"/>
        <w:jc w:val="center"/>
        <w:rPr>
          <w:rFonts w:ascii="Calibri" w:eastAsia="Calibri" w:hAnsi="Calibri" w:cs="Times New Roman"/>
          <w:color w:val="002060"/>
          <w:lang w:val="sr-Cyrl-CS"/>
        </w:rPr>
      </w:pPr>
      <w:r w:rsidRPr="00DE058F">
        <w:rPr>
          <w:rFonts w:ascii="Calibri" w:eastAsia="Calibri" w:hAnsi="Calibri" w:cs="Calibri"/>
          <w:b/>
          <w:color w:val="002060"/>
          <w:lang w:val="sr-Cyrl-CS"/>
        </w:rPr>
        <w:lastRenderedPageBreak/>
        <w:t xml:space="preserve">Табела 3. </w:t>
      </w:r>
      <w:r w:rsidR="00140BCF" w:rsidRPr="00DE058F">
        <w:rPr>
          <w:rFonts w:ascii="Calibri" w:eastAsia="Calibri" w:hAnsi="Calibri" w:cs="Calibri"/>
          <w:b/>
          <w:color w:val="002060"/>
          <w:lang w:val="sr-Cyrl-CS"/>
        </w:rPr>
        <w:t>БДП</w:t>
      </w:r>
      <w:r w:rsidRPr="00DE058F">
        <w:rPr>
          <w:rFonts w:ascii="Calibri" w:eastAsia="Calibri" w:hAnsi="Calibri" w:cs="Calibri"/>
          <w:b/>
          <w:color w:val="002060"/>
          <w:lang w:val="sr-Cyrl-CS"/>
        </w:rPr>
        <w:t>, стопе реалног раста, %</w:t>
      </w:r>
    </w:p>
    <w:tbl>
      <w:tblPr>
        <w:tblStyle w:val="TableGrid"/>
        <w:tblW w:w="4376"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2"/>
        <w:gridCol w:w="1276"/>
        <w:gridCol w:w="1276"/>
        <w:gridCol w:w="1276"/>
        <w:gridCol w:w="1277"/>
      </w:tblGrid>
      <w:tr w:rsidR="00EB41E3" w:rsidRPr="00DE058F" w14:paraId="43482DF9" w14:textId="77777777" w:rsidTr="00FA6BD0">
        <w:trPr>
          <w:jc w:val="center"/>
        </w:trPr>
        <w:tc>
          <w:tcPr>
            <w:tcW w:w="1882" w:type="pct"/>
            <w:tcBorders>
              <w:top w:val="single" w:sz="4" w:space="0" w:color="002060"/>
              <w:left w:val="single" w:sz="2" w:space="0" w:color="FFFFFF"/>
              <w:bottom w:val="single" w:sz="2" w:space="0" w:color="FFFFFF"/>
              <w:right w:val="single" w:sz="2" w:space="0" w:color="FFFFFF"/>
            </w:tcBorders>
          </w:tcPr>
          <w:p w14:paraId="20514B1A" w14:textId="77777777" w:rsidR="00EB41E3" w:rsidRPr="00DE058F" w:rsidRDefault="00EB41E3" w:rsidP="008527D6">
            <w:pPr>
              <w:rPr>
                <w:rFonts w:ascii="Calibri" w:eastAsia="Calibri" w:hAnsi="Calibri" w:cs="Calibri"/>
                <w:color w:val="002060"/>
                <w:sz w:val="18"/>
                <w:lang w:val="sr-Cyrl-CS"/>
              </w:rPr>
            </w:pPr>
          </w:p>
        </w:tc>
        <w:tc>
          <w:tcPr>
            <w:tcW w:w="779" w:type="pct"/>
            <w:tcBorders>
              <w:top w:val="single" w:sz="4" w:space="0" w:color="002060"/>
              <w:left w:val="single" w:sz="2" w:space="0" w:color="FFFFFF"/>
              <w:bottom w:val="single" w:sz="4" w:space="0" w:color="002060"/>
              <w:right w:val="single" w:sz="2" w:space="0" w:color="FFFFFF"/>
            </w:tcBorders>
            <w:vAlign w:val="center"/>
          </w:tcPr>
          <w:p w14:paraId="69BADC44" w14:textId="77777777" w:rsidR="00EB41E3" w:rsidRPr="00DE058F" w:rsidRDefault="00EB41E3" w:rsidP="008527D6">
            <w:pPr>
              <w:jc w:val="center"/>
              <w:rPr>
                <w:rFonts w:ascii="Calibri" w:eastAsia="Calibri" w:hAnsi="Calibri" w:cs="Calibri"/>
                <w:color w:val="002060"/>
                <w:sz w:val="18"/>
                <w:lang w:val="sr-Cyrl-CS"/>
              </w:rPr>
            </w:pPr>
            <w:r w:rsidRPr="00DE058F">
              <w:rPr>
                <w:rFonts w:ascii="Calibri" w:eastAsia="Calibri" w:hAnsi="Calibri" w:cs="Calibri"/>
                <w:color w:val="002060"/>
                <w:sz w:val="18"/>
                <w:lang w:val="sr-Cyrl-CS"/>
              </w:rPr>
              <w:t>2021</w:t>
            </w:r>
          </w:p>
        </w:tc>
        <w:tc>
          <w:tcPr>
            <w:tcW w:w="779" w:type="pct"/>
            <w:tcBorders>
              <w:top w:val="single" w:sz="4" w:space="0" w:color="002060"/>
              <w:left w:val="single" w:sz="2" w:space="0" w:color="FFFFFF"/>
              <w:bottom w:val="single" w:sz="4" w:space="0" w:color="002060"/>
              <w:right w:val="single" w:sz="2" w:space="0" w:color="FFFFFF"/>
            </w:tcBorders>
            <w:vAlign w:val="center"/>
          </w:tcPr>
          <w:p w14:paraId="40A10E68" w14:textId="77777777" w:rsidR="00EB41E3" w:rsidRPr="00DE058F" w:rsidRDefault="00EB41E3" w:rsidP="008527D6">
            <w:pPr>
              <w:jc w:val="center"/>
              <w:rPr>
                <w:rFonts w:ascii="Calibri" w:eastAsia="Calibri" w:hAnsi="Calibri" w:cs="Calibri"/>
                <w:color w:val="002060"/>
                <w:sz w:val="18"/>
                <w:lang w:val="sr-Cyrl-CS"/>
              </w:rPr>
            </w:pPr>
            <w:r w:rsidRPr="00DE058F">
              <w:rPr>
                <w:rFonts w:ascii="Calibri" w:eastAsia="Calibri" w:hAnsi="Calibri" w:cs="Calibri"/>
                <w:color w:val="002060"/>
                <w:sz w:val="18"/>
                <w:lang w:val="sr-Cyrl-CS"/>
              </w:rPr>
              <w:t>Q1 2022*</w:t>
            </w:r>
          </w:p>
        </w:tc>
        <w:tc>
          <w:tcPr>
            <w:tcW w:w="779" w:type="pct"/>
            <w:tcBorders>
              <w:top w:val="single" w:sz="4" w:space="0" w:color="002060"/>
              <w:left w:val="single" w:sz="2" w:space="0" w:color="FFFFFF"/>
              <w:bottom w:val="single" w:sz="4" w:space="0" w:color="002060"/>
              <w:right w:val="single" w:sz="2" w:space="0" w:color="FFFFFF"/>
            </w:tcBorders>
            <w:vAlign w:val="center"/>
          </w:tcPr>
          <w:p w14:paraId="7DB28AF0" w14:textId="77777777" w:rsidR="00EB41E3" w:rsidRPr="00DE058F" w:rsidRDefault="00EB41E3" w:rsidP="008527D6">
            <w:pPr>
              <w:jc w:val="center"/>
              <w:rPr>
                <w:rFonts w:ascii="Calibri" w:eastAsia="Calibri" w:hAnsi="Calibri" w:cs="Calibri"/>
                <w:color w:val="002060"/>
                <w:sz w:val="18"/>
                <w:lang w:val="sr-Cyrl-CS"/>
              </w:rPr>
            </w:pPr>
            <w:r w:rsidRPr="00DE058F">
              <w:rPr>
                <w:rFonts w:ascii="Calibri" w:eastAsia="Calibri" w:hAnsi="Calibri" w:cs="Calibri"/>
                <w:color w:val="002060"/>
                <w:sz w:val="18"/>
                <w:lang w:val="sr-Cyrl-CS"/>
              </w:rPr>
              <w:t>2022* (оригинална пројекција)</w:t>
            </w:r>
          </w:p>
        </w:tc>
        <w:tc>
          <w:tcPr>
            <w:tcW w:w="780" w:type="pct"/>
            <w:tcBorders>
              <w:top w:val="single" w:sz="4" w:space="0" w:color="002060"/>
              <w:left w:val="single" w:sz="2" w:space="0" w:color="FFFFFF"/>
              <w:bottom w:val="single" w:sz="4" w:space="0" w:color="002060"/>
              <w:right w:val="single" w:sz="2" w:space="0" w:color="FFFFFF"/>
            </w:tcBorders>
            <w:vAlign w:val="center"/>
          </w:tcPr>
          <w:p w14:paraId="45890D40" w14:textId="77777777" w:rsidR="00EB41E3" w:rsidRPr="00DE058F" w:rsidRDefault="00EB41E3" w:rsidP="008527D6">
            <w:pPr>
              <w:jc w:val="center"/>
              <w:rPr>
                <w:rFonts w:ascii="Calibri" w:eastAsia="Calibri" w:hAnsi="Calibri" w:cs="Calibri"/>
                <w:color w:val="002060"/>
                <w:sz w:val="18"/>
                <w:lang w:val="sr-Cyrl-CS"/>
              </w:rPr>
            </w:pPr>
            <w:r w:rsidRPr="00DE058F">
              <w:rPr>
                <w:rFonts w:ascii="Calibri" w:eastAsia="Calibri" w:hAnsi="Calibri" w:cs="Calibri"/>
                <w:color w:val="002060"/>
                <w:sz w:val="18"/>
                <w:lang w:val="sr-Cyrl-CS"/>
              </w:rPr>
              <w:t>2022*</w:t>
            </w:r>
          </w:p>
          <w:p w14:paraId="35CE3807" w14:textId="77777777" w:rsidR="00EB41E3" w:rsidRPr="00DE058F" w:rsidRDefault="00EB41E3" w:rsidP="008527D6">
            <w:pPr>
              <w:jc w:val="center"/>
              <w:rPr>
                <w:rFonts w:ascii="Calibri" w:eastAsia="Calibri" w:hAnsi="Calibri" w:cs="Calibri"/>
                <w:color w:val="002060"/>
                <w:sz w:val="18"/>
                <w:lang w:val="sr-Cyrl-CS"/>
              </w:rPr>
            </w:pPr>
            <w:r w:rsidRPr="00DE058F">
              <w:rPr>
                <w:rFonts w:ascii="Calibri" w:eastAsia="Calibri" w:hAnsi="Calibri" w:cs="Calibri"/>
                <w:color w:val="002060"/>
                <w:sz w:val="18"/>
                <w:lang w:val="sr-Cyrl-CS"/>
              </w:rPr>
              <w:t>(текућа процена)</w:t>
            </w:r>
          </w:p>
        </w:tc>
      </w:tr>
      <w:tr w:rsidR="00EB41E3" w:rsidRPr="00DE058F" w14:paraId="26BA5DFE" w14:textId="77777777" w:rsidTr="00FA6BD0">
        <w:trPr>
          <w:jc w:val="center"/>
        </w:trPr>
        <w:tc>
          <w:tcPr>
            <w:tcW w:w="1882" w:type="pct"/>
            <w:tcBorders>
              <w:top w:val="single" w:sz="2" w:space="0" w:color="FFFFFF"/>
            </w:tcBorders>
          </w:tcPr>
          <w:p w14:paraId="43188399" w14:textId="3B377AE3" w:rsidR="00EB41E3" w:rsidRPr="00DE058F" w:rsidRDefault="00140BCF" w:rsidP="008527D6">
            <w:pPr>
              <w:ind w:left="-15"/>
              <w:rPr>
                <w:rFonts w:ascii="Calibri" w:eastAsia="Calibri" w:hAnsi="Calibri" w:cs="Calibri"/>
                <w:color w:val="002060"/>
                <w:sz w:val="18"/>
                <w:lang w:val="sr-Cyrl-CS"/>
              </w:rPr>
            </w:pPr>
            <w:r w:rsidRPr="00DE058F">
              <w:rPr>
                <w:rFonts w:ascii="Calibri" w:eastAsia="Calibri" w:hAnsi="Calibri" w:cs="Calibri"/>
                <w:color w:val="002060"/>
                <w:sz w:val="18"/>
                <w:lang w:val="sr-Cyrl-CS"/>
              </w:rPr>
              <w:t>БДП</w:t>
            </w:r>
          </w:p>
        </w:tc>
        <w:tc>
          <w:tcPr>
            <w:tcW w:w="779" w:type="pct"/>
            <w:tcBorders>
              <w:top w:val="single" w:sz="4" w:space="0" w:color="002060"/>
            </w:tcBorders>
          </w:tcPr>
          <w:p w14:paraId="1E7D4BC4"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7,4</w:t>
            </w:r>
          </w:p>
        </w:tc>
        <w:tc>
          <w:tcPr>
            <w:tcW w:w="779" w:type="pct"/>
            <w:tcBorders>
              <w:top w:val="single" w:sz="4" w:space="0" w:color="002060"/>
            </w:tcBorders>
          </w:tcPr>
          <w:p w14:paraId="47D0671C"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4,3</w:t>
            </w:r>
          </w:p>
        </w:tc>
        <w:tc>
          <w:tcPr>
            <w:tcW w:w="779" w:type="pct"/>
            <w:tcBorders>
              <w:top w:val="single" w:sz="4" w:space="0" w:color="002060"/>
            </w:tcBorders>
          </w:tcPr>
          <w:p w14:paraId="21106CE6"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4,5</w:t>
            </w:r>
          </w:p>
        </w:tc>
        <w:tc>
          <w:tcPr>
            <w:tcW w:w="780" w:type="pct"/>
            <w:tcBorders>
              <w:top w:val="single" w:sz="4" w:space="0" w:color="002060"/>
            </w:tcBorders>
          </w:tcPr>
          <w:p w14:paraId="0E2E7139"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3,5</w:t>
            </w:r>
          </w:p>
        </w:tc>
      </w:tr>
      <w:tr w:rsidR="00EB41E3" w:rsidRPr="00DE058F" w14:paraId="01DDF69C" w14:textId="77777777" w:rsidTr="00FA6BD0">
        <w:trPr>
          <w:jc w:val="center"/>
        </w:trPr>
        <w:tc>
          <w:tcPr>
            <w:tcW w:w="1882" w:type="pct"/>
            <w:tcBorders>
              <w:top w:val="single" w:sz="2" w:space="0" w:color="FFFFFF"/>
            </w:tcBorders>
            <w:shd w:val="clear" w:color="auto" w:fill="E7E6E6"/>
          </w:tcPr>
          <w:p w14:paraId="56B49B49" w14:textId="77777777" w:rsidR="00EB41E3" w:rsidRPr="00DE058F" w:rsidRDefault="00EB41E3" w:rsidP="008527D6">
            <w:pPr>
              <w:jc w:val="right"/>
              <w:rPr>
                <w:rFonts w:ascii="Calibri" w:eastAsia="Calibri" w:hAnsi="Calibri" w:cs="Calibri"/>
                <w:color w:val="002060"/>
                <w:sz w:val="18"/>
                <w:lang w:val="sr-Cyrl-CS"/>
              </w:rPr>
            </w:pPr>
          </w:p>
        </w:tc>
        <w:tc>
          <w:tcPr>
            <w:tcW w:w="779" w:type="pct"/>
            <w:tcBorders>
              <w:top w:val="single" w:sz="2" w:space="0" w:color="FFFFFF"/>
            </w:tcBorders>
            <w:shd w:val="clear" w:color="auto" w:fill="E7E6E6"/>
          </w:tcPr>
          <w:p w14:paraId="69B61A55" w14:textId="77777777" w:rsidR="00EB41E3" w:rsidRPr="00DE058F" w:rsidRDefault="00EB41E3" w:rsidP="008527D6">
            <w:pPr>
              <w:ind w:right="397"/>
              <w:jc w:val="right"/>
              <w:rPr>
                <w:rFonts w:ascii="Calibri" w:eastAsia="Calibri" w:hAnsi="Calibri" w:cs="Calibri"/>
                <w:color w:val="002060"/>
                <w:sz w:val="18"/>
                <w:lang w:val="sr-Cyrl-CS"/>
              </w:rPr>
            </w:pPr>
          </w:p>
        </w:tc>
        <w:tc>
          <w:tcPr>
            <w:tcW w:w="779" w:type="pct"/>
            <w:tcBorders>
              <w:top w:val="single" w:sz="2" w:space="0" w:color="FFFFFF"/>
            </w:tcBorders>
            <w:shd w:val="clear" w:color="auto" w:fill="E7E6E6"/>
          </w:tcPr>
          <w:p w14:paraId="0A1D0E6B" w14:textId="77777777" w:rsidR="00EB41E3" w:rsidRPr="00DE058F" w:rsidRDefault="00EB41E3" w:rsidP="008527D6">
            <w:pPr>
              <w:ind w:right="397"/>
              <w:jc w:val="right"/>
              <w:rPr>
                <w:rFonts w:ascii="Calibri" w:eastAsia="Calibri" w:hAnsi="Calibri" w:cs="Calibri"/>
                <w:color w:val="002060"/>
                <w:sz w:val="18"/>
                <w:lang w:val="sr-Cyrl-CS"/>
              </w:rPr>
            </w:pPr>
          </w:p>
        </w:tc>
        <w:tc>
          <w:tcPr>
            <w:tcW w:w="779" w:type="pct"/>
            <w:tcBorders>
              <w:top w:val="single" w:sz="2" w:space="0" w:color="FFFFFF"/>
            </w:tcBorders>
            <w:shd w:val="clear" w:color="auto" w:fill="E7E6E6"/>
          </w:tcPr>
          <w:p w14:paraId="17BEC2B1" w14:textId="77777777" w:rsidR="00EB41E3" w:rsidRPr="00DE058F" w:rsidRDefault="00EB41E3" w:rsidP="008527D6">
            <w:pPr>
              <w:ind w:right="397"/>
              <w:jc w:val="right"/>
              <w:rPr>
                <w:rFonts w:ascii="Calibri" w:eastAsia="Calibri" w:hAnsi="Calibri" w:cs="Calibri"/>
                <w:color w:val="002060"/>
                <w:sz w:val="18"/>
                <w:lang w:val="sr-Cyrl-CS"/>
              </w:rPr>
            </w:pPr>
          </w:p>
        </w:tc>
        <w:tc>
          <w:tcPr>
            <w:tcW w:w="780" w:type="pct"/>
            <w:tcBorders>
              <w:top w:val="single" w:sz="2" w:space="0" w:color="FFFFFF"/>
            </w:tcBorders>
            <w:shd w:val="clear" w:color="auto" w:fill="E7E6E6"/>
          </w:tcPr>
          <w:p w14:paraId="0C3FAD09" w14:textId="77777777" w:rsidR="00EB41E3" w:rsidRPr="00DE058F" w:rsidRDefault="00EB41E3" w:rsidP="008527D6">
            <w:pPr>
              <w:ind w:right="397"/>
              <w:jc w:val="right"/>
              <w:rPr>
                <w:rFonts w:ascii="Calibri" w:eastAsia="Calibri" w:hAnsi="Calibri" w:cs="Calibri"/>
                <w:color w:val="002060"/>
                <w:sz w:val="18"/>
                <w:lang w:val="sr-Cyrl-CS"/>
              </w:rPr>
            </w:pPr>
          </w:p>
        </w:tc>
      </w:tr>
      <w:tr w:rsidR="00EB41E3" w:rsidRPr="00DE058F" w14:paraId="572898C5" w14:textId="77777777" w:rsidTr="00FA6BD0">
        <w:trPr>
          <w:jc w:val="center"/>
        </w:trPr>
        <w:tc>
          <w:tcPr>
            <w:tcW w:w="1882" w:type="pct"/>
          </w:tcPr>
          <w:p w14:paraId="3B4A64F6" w14:textId="77777777" w:rsidR="00EB41E3" w:rsidRPr="00DE058F" w:rsidRDefault="00EB41E3" w:rsidP="008527D6">
            <w:pPr>
              <w:ind w:left="-15"/>
              <w:rPr>
                <w:rFonts w:ascii="Calibri" w:eastAsia="Calibri" w:hAnsi="Calibri" w:cs="Calibri"/>
                <w:color w:val="002060"/>
                <w:sz w:val="18"/>
                <w:lang w:val="sr-Cyrl-CS"/>
              </w:rPr>
            </w:pPr>
            <w:r w:rsidRPr="00DE058F">
              <w:rPr>
                <w:rFonts w:ascii="Calibri" w:eastAsia="Calibri" w:hAnsi="Calibri" w:cs="Calibri"/>
                <w:color w:val="002060"/>
                <w:sz w:val="18"/>
                <w:lang w:val="sr-Cyrl-CS"/>
              </w:rPr>
              <w:t>Приватна потрошња</w:t>
            </w:r>
          </w:p>
        </w:tc>
        <w:tc>
          <w:tcPr>
            <w:tcW w:w="779" w:type="pct"/>
          </w:tcPr>
          <w:p w14:paraId="3010043E"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7,6</w:t>
            </w:r>
          </w:p>
        </w:tc>
        <w:tc>
          <w:tcPr>
            <w:tcW w:w="779" w:type="pct"/>
          </w:tcPr>
          <w:p w14:paraId="717F84F4"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7,9</w:t>
            </w:r>
          </w:p>
        </w:tc>
        <w:tc>
          <w:tcPr>
            <w:tcW w:w="779" w:type="pct"/>
          </w:tcPr>
          <w:p w14:paraId="441C7AF4"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3,7</w:t>
            </w:r>
          </w:p>
        </w:tc>
        <w:tc>
          <w:tcPr>
            <w:tcW w:w="780" w:type="pct"/>
          </w:tcPr>
          <w:p w14:paraId="13A5B54A"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3,1</w:t>
            </w:r>
          </w:p>
        </w:tc>
      </w:tr>
      <w:tr w:rsidR="00EB41E3" w:rsidRPr="00DE058F" w14:paraId="6651BFF3" w14:textId="77777777" w:rsidTr="00FA6BD0">
        <w:trPr>
          <w:jc w:val="center"/>
        </w:trPr>
        <w:tc>
          <w:tcPr>
            <w:tcW w:w="1882" w:type="pct"/>
          </w:tcPr>
          <w:p w14:paraId="4B79A2F2" w14:textId="77777777" w:rsidR="00EB41E3" w:rsidRPr="00DE058F" w:rsidRDefault="00EB41E3" w:rsidP="008527D6">
            <w:pPr>
              <w:ind w:left="-15"/>
              <w:rPr>
                <w:rFonts w:ascii="Calibri" w:eastAsia="Calibri" w:hAnsi="Calibri" w:cs="Calibri"/>
                <w:color w:val="002060"/>
                <w:sz w:val="18"/>
                <w:lang w:val="sr-Cyrl-CS"/>
              </w:rPr>
            </w:pPr>
            <w:r w:rsidRPr="00DE058F">
              <w:rPr>
                <w:rFonts w:ascii="Calibri" w:eastAsia="Calibri" w:hAnsi="Calibri" w:cs="Calibri"/>
                <w:color w:val="002060"/>
                <w:sz w:val="18"/>
                <w:lang w:val="sr-Cyrl-CS"/>
              </w:rPr>
              <w:t>Државна потрошња</w:t>
            </w:r>
          </w:p>
        </w:tc>
        <w:tc>
          <w:tcPr>
            <w:tcW w:w="779" w:type="pct"/>
          </w:tcPr>
          <w:p w14:paraId="146CEE8A"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2,7</w:t>
            </w:r>
          </w:p>
        </w:tc>
        <w:tc>
          <w:tcPr>
            <w:tcW w:w="779" w:type="pct"/>
          </w:tcPr>
          <w:p w14:paraId="3207E8B2"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2,1</w:t>
            </w:r>
          </w:p>
        </w:tc>
        <w:tc>
          <w:tcPr>
            <w:tcW w:w="779" w:type="pct"/>
          </w:tcPr>
          <w:p w14:paraId="7476AFDB"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2,3</w:t>
            </w:r>
          </w:p>
        </w:tc>
        <w:tc>
          <w:tcPr>
            <w:tcW w:w="780" w:type="pct"/>
          </w:tcPr>
          <w:p w14:paraId="0845516F"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-0,4</w:t>
            </w:r>
          </w:p>
        </w:tc>
      </w:tr>
      <w:tr w:rsidR="00EB41E3" w:rsidRPr="00DE058F" w14:paraId="66F490B1" w14:textId="77777777" w:rsidTr="00FA6BD0">
        <w:trPr>
          <w:jc w:val="center"/>
        </w:trPr>
        <w:tc>
          <w:tcPr>
            <w:tcW w:w="1882" w:type="pct"/>
          </w:tcPr>
          <w:p w14:paraId="693DC90F" w14:textId="696964DA" w:rsidR="00EB41E3" w:rsidRPr="00DE058F" w:rsidRDefault="00EB41E3" w:rsidP="008527D6">
            <w:pPr>
              <w:ind w:left="-15"/>
              <w:rPr>
                <w:rFonts w:ascii="Calibri" w:eastAsia="Calibri" w:hAnsi="Calibri" w:cs="Calibri"/>
                <w:color w:val="002060"/>
                <w:sz w:val="18"/>
                <w:lang w:val="sr-Cyrl-CS"/>
              </w:rPr>
            </w:pPr>
            <w:r w:rsidRPr="00DE058F">
              <w:rPr>
                <w:rFonts w:ascii="Calibri" w:eastAsia="Calibri" w:hAnsi="Calibri" w:cs="Calibri"/>
                <w:color w:val="002060"/>
                <w:sz w:val="18"/>
                <w:lang w:val="sr-Cyrl-CS"/>
              </w:rPr>
              <w:t xml:space="preserve">Инвестиције </w:t>
            </w:r>
            <w:r w:rsidR="009706A1" w:rsidRPr="00DE058F">
              <w:rPr>
                <w:rFonts w:ascii="Calibri" w:eastAsia="Calibri" w:hAnsi="Calibri" w:cs="Calibri"/>
                <w:color w:val="002060"/>
                <w:sz w:val="18"/>
                <w:lang w:val="sr-Cyrl-CS"/>
              </w:rPr>
              <w:t>у основна средства</w:t>
            </w:r>
          </w:p>
        </w:tc>
        <w:tc>
          <w:tcPr>
            <w:tcW w:w="779" w:type="pct"/>
          </w:tcPr>
          <w:p w14:paraId="025720FD"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12,5</w:t>
            </w:r>
          </w:p>
        </w:tc>
        <w:tc>
          <w:tcPr>
            <w:tcW w:w="779" w:type="pct"/>
          </w:tcPr>
          <w:p w14:paraId="639949E6"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0,0</w:t>
            </w:r>
          </w:p>
        </w:tc>
        <w:tc>
          <w:tcPr>
            <w:tcW w:w="779" w:type="pct"/>
          </w:tcPr>
          <w:p w14:paraId="0AB4DB0C"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6,4</w:t>
            </w:r>
          </w:p>
        </w:tc>
        <w:tc>
          <w:tcPr>
            <w:tcW w:w="780" w:type="pct"/>
          </w:tcPr>
          <w:p w14:paraId="57440159"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3,0</w:t>
            </w:r>
          </w:p>
        </w:tc>
      </w:tr>
      <w:tr w:rsidR="00EB41E3" w:rsidRPr="00DE058F" w14:paraId="6D19988A" w14:textId="77777777" w:rsidTr="00FA6BD0">
        <w:trPr>
          <w:jc w:val="center"/>
        </w:trPr>
        <w:tc>
          <w:tcPr>
            <w:tcW w:w="1882" w:type="pct"/>
          </w:tcPr>
          <w:p w14:paraId="4F5FBC94" w14:textId="77777777" w:rsidR="00EB41E3" w:rsidRPr="00DE058F" w:rsidRDefault="00EB41E3" w:rsidP="008527D6">
            <w:pPr>
              <w:ind w:left="-15"/>
              <w:rPr>
                <w:rFonts w:ascii="Calibri" w:eastAsia="Calibri" w:hAnsi="Calibri" w:cs="Calibri"/>
                <w:color w:val="002060"/>
                <w:sz w:val="18"/>
                <w:lang w:val="sr-Cyrl-CS"/>
              </w:rPr>
            </w:pPr>
            <w:r w:rsidRPr="00DE058F">
              <w:rPr>
                <w:rFonts w:ascii="Calibri" w:eastAsia="Calibri" w:hAnsi="Calibri" w:cs="Calibri"/>
                <w:color w:val="002060"/>
                <w:sz w:val="18"/>
                <w:lang w:val="sr-Cyrl-CS"/>
              </w:rPr>
              <w:t>Извоз робе и услуга</w:t>
            </w:r>
          </w:p>
        </w:tc>
        <w:tc>
          <w:tcPr>
            <w:tcW w:w="779" w:type="pct"/>
          </w:tcPr>
          <w:p w14:paraId="26D25149"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19,4</w:t>
            </w:r>
          </w:p>
        </w:tc>
        <w:tc>
          <w:tcPr>
            <w:tcW w:w="779" w:type="pct"/>
          </w:tcPr>
          <w:p w14:paraId="6D8516FD"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17,2</w:t>
            </w:r>
          </w:p>
        </w:tc>
        <w:tc>
          <w:tcPr>
            <w:tcW w:w="779" w:type="pct"/>
          </w:tcPr>
          <w:p w14:paraId="25CFCDF7"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9,4</w:t>
            </w:r>
          </w:p>
        </w:tc>
        <w:tc>
          <w:tcPr>
            <w:tcW w:w="780" w:type="pct"/>
          </w:tcPr>
          <w:p w14:paraId="301D3F7E"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9,0</w:t>
            </w:r>
          </w:p>
        </w:tc>
      </w:tr>
      <w:tr w:rsidR="00EB41E3" w:rsidRPr="00DE058F" w14:paraId="3CD42070" w14:textId="77777777" w:rsidTr="00FA6BD0">
        <w:trPr>
          <w:jc w:val="center"/>
        </w:trPr>
        <w:tc>
          <w:tcPr>
            <w:tcW w:w="1882" w:type="pct"/>
          </w:tcPr>
          <w:p w14:paraId="09FDE930" w14:textId="77777777" w:rsidR="00EB41E3" w:rsidRPr="00DE058F" w:rsidRDefault="00EB41E3" w:rsidP="008527D6">
            <w:pPr>
              <w:ind w:left="-15"/>
              <w:rPr>
                <w:rFonts w:ascii="Calibri" w:eastAsia="Calibri" w:hAnsi="Calibri" w:cs="Calibri"/>
                <w:color w:val="002060"/>
                <w:sz w:val="18"/>
                <w:lang w:val="sr-Cyrl-CS"/>
              </w:rPr>
            </w:pPr>
            <w:r w:rsidRPr="00DE058F">
              <w:rPr>
                <w:rFonts w:ascii="Calibri" w:eastAsia="Calibri" w:hAnsi="Calibri" w:cs="Calibri"/>
                <w:color w:val="002060"/>
                <w:sz w:val="18"/>
                <w:lang w:val="sr-Cyrl-CS"/>
              </w:rPr>
              <w:t>Увоз робе и услуга</w:t>
            </w:r>
          </w:p>
        </w:tc>
        <w:tc>
          <w:tcPr>
            <w:tcW w:w="779" w:type="pct"/>
          </w:tcPr>
          <w:p w14:paraId="6CE77E12"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19,3</w:t>
            </w:r>
          </w:p>
        </w:tc>
        <w:tc>
          <w:tcPr>
            <w:tcW w:w="779" w:type="pct"/>
          </w:tcPr>
          <w:p w14:paraId="07DC7C1E"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25,2</w:t>
            </w:r>
          </w:p>
        </w:tc>
        <w:tc>
          <w:tcPr>
            <w:tcW w:w="779" w:type="pct"/>
          </w:tcPr>
          <w:p w14:paraId="30923CE0"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7,6</w:t>
            </w:r>
          </w:p>
        </w:tc>
        <w:tc>
          <w:tcPr>
            <w:tcW w:w="780" w:type="pct"/>
          </w:tcPr>
          <w:p w14:paraId="75363D21"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8,6</w:t>
            </w:r>
          </w:p>
        </w:tc>
      </w:tr>
      <w:tr w:rsidR="00EB41E3" w:rsidRPr="00DE058F" w14:paraId="0F294DC1" w14:textId="77777777" w:rsidTr="00FA6BD0">
        <w:trPr>
          <w:trHeight w:val="144"/>
          <w:jc w:val="center"/>
        </w:trPr>
        <w:tc>
          <w:tcPr>
            <w:tcW w:w="1882" w:type="pct"/>
            <w:shd w:val="clear" w:color="auto" w:fill="E7E6E6"/>
          </w:tcPr>
          <w:p w14:paraId="30ED2F7F" w14:textId="77777777" w:rsidR="00EB41E3" w:rsidRPr="00DE058F" w:rsidRDefault="00EB41E3" w:rsidP="008527D6">
            <w:pPr>
              <w:ind w:left="-15"/>
              <w:jc w:val="right"/>
              <w:rPr>
                <w:rFonts w:ascii="Calibri" w:eastAsia="Calibri" w:hAnsi="Calibri" w:cs="Calibri"/>
                <w:color w:val="002060"/>
                <w:sz w:val="18"/>
                <w:lang w:val="sr-Cyrl-CS"/>
              </w:rPr>
            </w:pPr>
          </w:p>
        </w:tc>
        <w:tc>
          <w:tcPr>
            <w:tcW w:w="779" w:type="pct"/>
            <w:shd w:val="clear" w:color="auto" w:fill="E7E6E6"/>
          </w:tcPr>
          <w:p w14:paraId="1643E791" w14:textId="77777777" w:rsidR="00EB41E3" w:rsidRPr="00DE058F" w:rsidRDefault="00EB41E3" w:rsidP="008527D6">
            <w:pPr>
              <w:ind w:left="-15" w:right="397"/>
              <w:jc w:val="right"/>
              <w:rPr>
                <w:rFonts w:ascii="Calibri" w:eastAsia="Calibri" w:hAnsi="Calibri" w:cs="Calibri"/>
                <w:color w:val="002060"/>
                <w:sz w:val="18"/>
                <w:lang w:val="sr-Cyrl-CS"/>
              </w:rPr>
            </w:pPr>
          </w:p>
        </w:tc>
        <w:tc>
          <w:tcPr>
            <w:tcW w:w="779" w:type="pct"/>
            <w:shd w:val="clear" w:color="auto" w:fill="E7E6E6"/>
          </w:tcPr>
          <w:p w14:paraId="461763A4" w14:textId="77777777" w:rsidR="00EB41E3" w:rsidRPr="00DE058F" w:rsidRDefault="00EB41E3" w:rsidP="008527D6">
            <w:pPr>
              <w:ind w:left="-15" w:right="397"/>
              <w:jc w:val="right"/>
              <w:rPr>
                <w:rFonts w:ascii="Calibri" w:eastAsia="Calibri" w:hAnsi="Calibri" w:cs="Calibri"/>
                <w:color w:val="002060"/>
                <w:sz w:val="18"/>
                <w:lang w:val="sr-Cyrl-CS"/>
              </w:rPr>
            </w:pPr>
          </w:p>
        </w:tc>
        <w:tc>
          <w:tcPr>
            <w:tcW w:w="779" w:type="pct"/>
            <w:shd w:val="clear" w:color="auto" w:fill="E7E6E6"/>
          </w:tcPr>
          <w:p w14:paraId="0A566CBD" w14:textId="77777777" w:rsidR="00EB41E3" w:rsidRPr="00DE058F" w:rsidRDefault="00EB41E3" w:rsidP="008527D6">
            <w:pPr>
              <w:ind w:left="-15" w:right="397"/>
              <w:jc w:val="right"/>
              <w:rPr>
                <w:rFonts w:ascii="Calibri" w:eastAsia="Calibri" w:hAnsi="Calibri" w:cs="Calibri"/>
                <w:color w:val="002060"/>
                <w:sz w:val="18"/>
                <w:lang w:val="sr-Cyrl-CS"/>
              </w:rPr>
            </w:pPr>
          </w:p>
        </w:tc>
        <w:tc>
          <w:tcPr>
            <w:tcW w:w="780" w:type="pct"/>
            <w:shd w:val="clear" w:color="auto" w:fill="E7E6E6"/>
          </w:tcPr>
          <w:p w14:paraId="30964030" w14:textId="77777777" w:rsidR="00EB41E3" w:rsidRPr="00DE058F" w:rsidRDefault="00EB41E3" w:rsidP="008527D6">
            <w:pPr>
              <w:ind w:left="-15" w:right="397"/>
              <w:jc w:val="right"/>
              <w:rPr>
                <w:rFonts w:ascii="Calibri" w:eastAsia="Calibri" w:hAnsi="Calibri" w:cs="Calibri"/>
                <w:color w:val="002060"/>
                <w:sz w:val="18"/>
                <w:lang w:val="sr-Cyrl-CS"/>
              </w:rPr>
            </w:pPr>
          </w:p>
        </w:tc>
      </w:tr>
      <w:tr w:rsidR="00EB41E3" w:rsidRPr="00DE058F" w14:paraId="2FDB412B" w14:textId="77777777" w:rsidTr="00FA6BD0">
        <w:trPr>
          <w:jc w:val="center"/>
        </w:trPr>
        <w:tc>
          <w:tcPr>
            <w:tcW w:w="1882" w:type="pct"/>
          </w:tcPr>
          <w:p w14:paraId="3E989033" w14:textId="77777777" w:rsidR="00EB41E3" w:rsidRPr="00DE058F" w:rsidRDefault="00EB41E3" w:rsidP="008527D6">
            <w:pPr>
              <w:ind w:left="-15"/>
              <w:rPr>
                <w:rFonts w:ascii="Calibri" w:eastAsia="Calibri" w:hAnsi="Calibri" w:cs="Calibri"/>
                <w:color w:val="002060"/>
                <w:sz w:val="18"/>
                <w:lang w:val="sr-Cyrl-CS"/>
              </w:rPr>
            </w:pPr>
            <w:r w:rsidRPr="00DE058F">
              <w:rPr>
                <w:rFonts w:ascii="Calibri" w:eastAsia="Calibri" w:hAnsi="Calibri" w:cs="Calibri"/>
                <w:color w:val="002060"/>
                <w:sz w:val="18"/>
                <w:lang w:val="sr-Cyrl-CS"/>
              </w:rPr>
              <w:t>Пољопривреда</w:t>
            </w:r>
          </w:p>
        </w:tc>
        <w:tc>
          <w:tcPr>
            <w:tcW w:w="779" w:type="pct"/>
          </w:tcPr>
          <w:p w14:paraId="7DE0B902"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-5,4</w:t>
            </w:r>
          </w:p>
        </w:tc>
        <w:tc>
          <w:tcPr>
            <w:tcW w:w="779" w:type="pct"/>
          </w:tcPr>
          <w:p w14:paraId="312682AE"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0,0</w:t>
            </w:r>
          </w:p>
        </w:tc>
        <w:tc>
          <w:tcPr>
            <w:tcW w:w="779" w:type="pct"/>
          </w:tcPr>
          <w:p w14:paraId="2D7017EA"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0,5</w:t>
            </w:r>
          </w:p>
        </w:tc>
        <w:tc>
          <w:tcPr>
            <w:tcW w:w="780" w:type="pct"/>
          </w:tcPr>
          <w:p w14:paraId="40524985"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0,5</w:t>
            </w:r>
          </w:p>
        </w:tc>
      </w:tr>
      <w:tr w:rsidR="00EB41E3" w:rsidRPr="00DE058F" w14:paraId="0FBE0F72" w14:textId="77777777" w:rsidTr="00FA6BD0">
        <w:trPr>
          <w:jc w:val="center"/>
        </w:trPr>
        <w:tc>
          <w:tcPr>
            <w:tcW w:w="1882" w:type="pct"/>
          </w:tcPr>
          <w:p w14:paraId="095FDDE6" w14:textId="77777777" w:rsidR="00EB41E3" w:rsidRPr="00DE058F" w:rsidRDefault="00EB41E3" w:rsidP="008527D6">
            <w:pPr>
              <w:ind w:left="-15"/>
              <w:rPr>
                <w:rFonts w:ascii="Calibri" w:eastAsia="Calibri" w:hAnsi="Calibri" w:cs="Calibri"/>
                <w:color w:val="002060"/>
                <w:sz w:val="18"/>
                <w:lang w:val="sr-Cyrl-CS"/>
              </w:rPr>
            </w:pPr>
            <w:r w:rsidRPr="00DE058F">
              <w:rPr>
                <w:rFonts w:ascii="Calibri" w:eastAsia="Calibri" w:hAnsi="Calibri" w:cs="Calibri"/>
                <w:color w:val="002060"/>
                <w:sz w:val="18"/>
                <w:lang w:val="sr-Cyrl-CS"/>
              </w:rPr>
              <w:t>Индустрија</w:t>
            </w:r>
          </w:p>
        </w:tc>
        <w:tc>
          <w:tcPr>
            <w:tcW w:w="779" w:type="pct"/>
          </w:tcPr>
          <w:p w14:paraId="3DD07AC6"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6,2</w:t>
            </w:r>
          </w:p>
        </w:tc>
        <w:tc>
          <w:tcPr>
            <w:tcW w:w="779" w:type="pct"/>
          </w:tcPr>
          <w:p w14:paraId="0202DCF1"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1,9</w:t>
            </w:r>
          </w:p>
        </w:tc>
        <w:tc>
          <w:tcPr>
            <w:tcW w:w="779" w:type="pct"/>
          </w:tcPr>
          <w:p w14:paraId="42E2C951"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6,5</w:t>
            </w:r>
          </w:p>
        </w:tc>
        <w:tc>
          <w:tcPr>
            <w:tcW w:w="780" w:type="pct"/>
          </w:tcPr>
          <w:p w14:paraId="1151F203"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3,7</w:t>
            </w:r>
          </w:p>
        </w:tc>
      </w:tr>
      <w:tr w:rsidR="00EB41E3" w:rsidRPr="00DE058F" w14:paraId="13F63418" w14:textId="77777777" w:rsidTr="00FA6BD0">
        <w:trPr>
          <w:jc w:val="center"/>
        </w:trPr>
        <w:tc>
          <w:tcPr>
            <w:tcW w:w="1882" w:type="pct"/>
          </w:tcPr>
          <w:p w14:paraId="09633E4B" w14:textId="77777777" w:rsidR="00EB41E3" w:rsidRPr="00DE058F" w:rsidRDefault="00EB41E3" w:rsidP="008527D6">
            <w:pPr>
              <w:ind w:left="-15"/>
              <w:rPr>
                <w:rFonts w:ascii="Calibri" w:eastAsia="Calibri" w:hAnsi="Calibri" w:cs="Calibri"/>
                <w:color w:val="002060"/>
                <w:sz w:val="18"/>
                <w:lang w:val="sr-Cyrl-CS"/>
              </w:rPr>
            </w:pPr>
            <w:r w:rsidRPr="00DE058F">
              <w:rPr>
                <w:rFonts w:ascii="Calibri" w:eastAsia="Calibri" w:hAnsi="Calibri" w:cs="Calibri"/>
                <w:color w:val="002060"/>
                <w:sz w:val="18"/>
                <w:lang w:val="sr-Cyrl-CS"/>
              </w:rPr>
              <w:t>Грађевинарство</w:t>
            </w:r>
          </w:p>
        </w:tc>
        <w:tc>
          <w:tcPr>
            <w:tcW w:w="779" w:type="pct"/>
          </w:tcPr>
          <w:p w14:paraId="3F59675D"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14,0</w:t>
            </w:r>
          </w:p>
        </w:tc>
        <w:tc>
          <w:tcPr>
            <w:tcW w:w="779" w:type="pct"/>
          </w:tcPr>
          <w:p w14:paraId="63DF2364"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-4.2</w:t>
            </w:r>
          </w:p>
        </w:tc>
        <w:tc>
          <w:tcPr>
            <w:tcW w:w="779" w:type="pct"/>
          </w:tcPr>
          <w:p w14:paraId="025D8D8C"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7,4</w:t>
            </w:r>
          </w:p>
        </w:tc>
        <w:tc>
          <w:tcPr>
            <w:tcW w:w="780" w:type="pct"/>
          </w:tcPr>
          <w:p w14:paraId="5A0BDBA5"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1,4</w:t>
            </w:r>
          </w:p>
        </w:tc>
      </w:tr>
      <w:tr w:rsidR="00EB41E3" w:rsidRPr="00DE058F" w14:paraId="6F628DBB" w14:textId="77777777" w:rsidTr="00FA6BD0">
        <w:trPr>
          <w:trHeight w:val="163"/>
          <w:jc w:val="center"/>
        </w:trPr>
        <w:tc>
          <w:tcPr>
            <w:tcW w:w="1882" w:type="pct"/>
            <w:tcBorders>
              <w:bottom w:val="single" w:sz="4" w:space="0" w:color="002060"/>
            </w:tcBorders>
          </w:tcPr>
          <w:p w14:paraId="67393D74" w14:textId="77777777" w:rsidR="00EB41E3" w:rsidRPr="00DE058F" w:rsidRDefault="00EB41E3" w:rsidP="008527D6">
            <w:pPr>
              <w:ind w:left="-15"/>
              <w:rPr>
                <w:rFonts w:ascii="Calibri" w:eastAsia="Calibri" w:hAnsi="Calibri" w:cs="Calibri"/>
                <w:color w:val="002060"/>
                <w:sz w:val="18"/>
                <w:lang w:val="sr-Cyrl-CS"/>
              </w:rPr>
            </w:pPr>
            <w:r w:rsidRPr="00DE058F">
              <w:rPr>
                <w:rFonts w:ascii="Calibri" w:eastAsia="Calibri" w:hAnsi="Calibri" w:cs="Calibri"/>
                <w:color w:val="002060"/>
                <w:sz w:val="18"/>
                <w:lang w:val="sr-Cyrl-CS"/>
              </w:rPr>
              <w:t>Услуге</w:t>
            </w:r>
          </w:p>
        </w:tc>
        <w:tc>
          <w:tcPr>
            <w:tcW w:w="779" w:type="pct"/>
            <w:tcBorders>
              <w:bottom w:val="single" w:sz="4" w:space="0" w:color="002060"/>
            </w:tcBorders>
          </w:tcPr>
          <w:p w14:paraId="19F788F3" w14:textId="77777777" w:rsidR="00EB41E3" w:rsidRPr="00DE058F" w:rsidRDefault="00EB41E3" w:rsidP="008527D6">
            <w:pPr>
              <w:tabs>
                <w:tab w:val="left" w:pos="420"/>
                <w:tab w:val="center" w:pos="586"/>
              </w:tabs>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8,6</w:t>
            </w:r>
          </w:p>
        </w:tc>
        <w:tc>
          <w:tcPr>
            <w:tcW w:w="779" w:type="pct"/>
            <w:tcBorders>
              <w:bottom w:val="single" w:sz="4" w:space="0" w:color="002060"/>
            </w:tcBorders>
          </w:tcPr>
          <w:p w14:paraId="484D84C7"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6,1</w:t>
            </w:r>
          </w:p>
        </w:tc>
        <w:tc>
          <w:tcPr>
            <w:tcW w:w="779" w:type="pct"/>
            <w:tcBorders>
              <w:bottom w:val="single" w:sz="4" w:space="0" w:color="002060"/>
            </w:tcBorders>
          </w:tcPr>
          <w:p w14:paraId="60EBB077"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4,0</w:t>
            </w:r>
          </w:p>
        </w:tc>
        <w:tc>
          <w:tcPr>
            <w:tcW w:w="780" w:type="pct"/>
            <w:tcBorders>
              <w:bottom w:val="single" w:sz="4" w:space="0" w:color="002060"/>
            </w:tcBorders>
          </w:tcPr>
          <w:p w14:paraId="4CDDADD4" w14:textId="77777777" w:rsidR="00EB41E3" w:rsidRPr="00DE058F" w:rsidRDefault="00EB41E3" w:rsidP="008527D6">
            <w:pPr>
              <w:ind w:right="397"/>
              <w:jc w:val="right"/>
              <w:rPr>
                <w:rFonts w:ascii="Calibri" w:eastAsia="Calibri" w:hAnsi="Calibri" w:cs="Calibri"/>
                <w:color w:val="002060"/>
                <w:sz w:val="18"/>
                <w:lang w:val="sr-Cyrl-CS"/>
              </w:rPr>
            </w:pPr>
            <w:r w:rsidRPr="00DE058F">
              <w:rPr>
                <w:rFonts w:ascii="Calibri" w:eastAsia="Calibri" w:hAnsi="Calibri" w:cs="Calibri"/>
                <w:color w:val="002060"/>
                <w:sz w:val="18"/>
                <w:lang w:val="sr-Cyrl-CS"/>
              </w:rPr>
              <w:t>4,0</w:t>
            </w:r>
          </w:p>
        </w:tc>
      </w:tr>
    </w:tbl>
    <w:p w14:paraId="32E43878" w14:textId="77777777" w:rsidR="00EB41E3" w:rsidRPr="00DE058F" w:rsidRDefault="00EB41E3" w:rsidP="008527D6">
      <w:pPr>
        <w:spacing w:before="40" w:after="0"/>
        <w:ind w:left="567"/>
        <w:rPr>
          <w:rFonts w:ascii="Calibri" w:eastAsia="Calibri" w:hAnsi="Calibri" w:cs="Calibri"/>
          <w:bCs/>
          <w:sz w:val="16"/>
          <w:szCs w:val="72"/>
          <w:lang w:val="sr-Cyrl-CS"/>
        </w:rPr>
      </w:pPr>
      <w:r w:rsidRPr="00DE058F">
        <w:rPr>
          <w:rFonts w:ascii="Calibri" w:eastAsia="Calibri" w:hAnsi="Calibri" w:cs="Calibri"/>
          <w:bCs/>
          <w:sz w:val="16"/>
          <w:szCs w:val="72"/>
          <w:lang w:val="sr-Cyrl-CS"/>
        </w:rPr>
        <w:t>Извор: РЗС</w:t>
      </w:r>
    </w:p>
    <w:p w14:paraId="78571F0B" w14:textId="77777777" w:rsidR="00EB41E3" w:rsidRPr="00DE058F" w:rsidRDefault="00EB41E3" w:rsidP="008527D6">
      <w:pPr>
        <w:spacing w:after="60"/>
        <w:ind w:left="567"/>
        <w:rPr>
          <w:rFonts w:ascii="Calibri" w:eastAsia="Calibri" w:hAnsi="Calibri" w:cs="Calibri"/>
          <w:bCs/>
          <w:sz w:val="16"/>
          <w:szCs w:val="72"/>
          <w:lang w:val="sr-Cyrl-CS"/>
        </w:rPr>
      </w:pPr>
      <w:r w:rsidRPr="00DE058F">
        <w:rPr>
          <w:rFonts w:ascii="Calibri" w:eastAsia="Calibri" w:hAnsi="Calibri" w:cs="Calibri"/>
          <w:bCs/>
          <w:sz w:val="16"/>
          <w:szCs w:val="72"/>
          <w:lang w:val="sr-Cyrl-CS"/>
        </w:rPr>
        <w:t>* Процена Министарства финансија</w:t>
      </w:r>
    </w:p>
    <w:p w14:paraId="414EE5D4" w14:textId="77777777" w:rsidR="00EB41E3" w:rsidRPr="00DE058F" w:rsidRDefault="00EB41E3" w:rsidP="008527D6">
      <w:pPr>
        <w:tabs>
          <w:tab w:val="left" w:pos="527"/>
        </w:tabs>
        <w:spacing w:after="0" w:line="240" w:lineRule="auto"/>
        <w:ind w:left="567"/>
        <w:rPr>
          <w:rFonts w:cstheme="minorHAnsi"/>
          <w:szCs w:val="72"/>
          <w:lang w:val="sr-Cyrl-CS"/>
        </w:rPr>
        <w:sectPr w:rsidR="00EB41E3" w:rsidRPr="00DE058F" w:rsidSect="002C1D90">
          <w:type w:val="continuous"/>
          <w:pgSz w:w="12240" w:h="15840"/>
          <w:pgMar w:top="1440" w:right="1440" w:bottom="1440" w:left="1440" w:header="720" w:footer="720" w:gutter="0"/>
          <w:cols w:space="720"/>
          <w:docGrid w:linePitch="360"/>
        </w:sectPr>
      </w:pPr>
    </w:p>
    <w:p w14:paraId="59812048" w14:textId="77777777" w:rsidR="00681648" w:rsidRPr="00DE058F" w:rsidRDefault="00681648" w:rsidP="00FA6BD0">
      <w:pPr>
        <w:spacing w:after="120"/>
        <w:jc w:val="left"/>
        <w:rPr>
          <w:color w:val="2F5496" w:themeColor="accent1" w:themeShade="BF"/>
          <w:lang w:val="sr-Cyrl-CS"/>
        </w:rPr>
      </w:pPr>
      <w:r w:rsidRPr="00DE058F">
        <w:rPr>
          <w:rFonts w:cstheme="minorHAnsi"/>
          <w:b/>
          <w:color w:val="2F5496" w:themeColor="accent1" w:themeShade="BF"/>
          <w:sz w:val="22"/>
          <w:lang w:val="sr-Cyrl-CS"/>
        </w:rPr>
        <w:t>Пројекције кретања реалног сектора у периоду 2023–2025. година</w:t>
      </w:r>
    </w:p>
    <w:p w14:paraId="49C059BA" w14:textId="53D695D4" w:rsidR="00681648" w:rsidRPr="00DE058F" w:rsidRDefault="00681648" w:rsidP="008527D6">
      <w:pPr>
        <w:spacing w:after="120"/>
        <w:rPr>
          <w:rFonts w:cstheme="minorHAnsi"/>
          <w:bCs/>
          <w:spacing w:val="-2"/>
          <w:szCs w:val="72"/>
          <w:lang w:val="sr-Cyrl-CS"/>
        </w:rPr>
      </w:pPr>
      <w:r w:rsidRPr="00DE058F">
        <w:rPr>
          <w:rFonts w:cstheme="minorHAnsi"/>
          <w:bCs/>
          <w:spacing w:val="-2"/>
          <w:szCs w:val="72"/>
          <w:lang w:val="sr-Cyrl-CS"/>
        </w:rPr>
        <w:t>Влада ће и у наредном периоду водити одговорну и предвидиву фискалну политику, синхронизовану са монетарн</w:t>
      </w:r>
      <w:r w:rsidR="000966AF" w:rsidRPr="00DE058F">
        <w:rPr>
          <w:rFonts w:cstheme="minorHAnsi"/>
          <w:bCs/>
          <w:spacing w:val="-2"/>
          <w:szCs w:val="72"/>
          <w:lang w:val="sr-Cyrl-CS"/>
        </w:rPr>
        <w:t>о</w:t>
      </w:r>
      <w:r w:rsidRPr="00DE058F">
        <w:rPr>
          <w:rFonts w:cstheme="minorHAnsi"/>
          <w:bCs/>
          <w:spacing w:val="-2"/>
          <w:szCs w:val="72"/>
          <w:lang w:val="sr-Cyrl-CS"/>
        </w:rPr>
        <w:t xml:space="preserve">м </w:t>
      </w:r>
      <w:r w:rsidR="000966AF" w:rsidRPr="00DE058F">
        <w:rPr>
          <w:rFonts w:cstheme="minorHAnsi"/>
          <w:bCs/>
          <w:spacing w:val="-2"/>
          <w:szCs w:val="72"/>
          <w:lang w:val="sr-Cyrl-CS"/>
        </w:rPr>
        <w:t>политиком</w:t>
      </w:r>
      <w:r w:rsidR="000966AF" w:rsidRPr="00DE058F" w:rsidDel="000966AF">
        <w:rPr>
          <w:rFonts w:cstheme="minorHAnsi"/>
          <w:bCs/>
          <w:spacing w:val="-2"/>
          <w:szCs w:val="72"/>
          <w:lang w:val="sr-Cyrl-CS"/>
        </w:rPr>
        <w:t xml:space="preserve"> </w:t>
      </w:r>
      <w:r w:rsidRPr="00DE058F">
        <w:rPr>
          <w:rFonts w:cstheme="minorHAnsi"/>
          <w:bCs/>
          <w:spacing w:val="-2"/>
          <w:szCs w:val="72"/>
          <w:lang w:val="sr-Cyrl-CS"/>
        </w:rPr>
        <w:t>и фокусирану на минимизирање негативних економских последица повећаних геополитичких тензија, али и на лоцирању нових извора раста.</w:t>
      </w:r>
    </w:p>
    <w:p w14:paraId="733F0544" w14:textId="77777777" w:rsidR="00681648" w:rsidRPr="00DE058F" w:rsidRDefault="00681648" w:rsidP="008527D6">
      <w:pPr>
        <w:spacing w:after="120"/>
        <w:rPr>
          <w:rFonts w:cstheme="minorHAnsi"/>
          <w:bCs/>
          <w:spacing w:val="-6"/>
          <w:szCs w:val="72"/>
          <w:lang w:val="sr-Cyrl-CS"/>
        </w:rPr>
      </w:pPr>
      <w:r w:rsidRPr="00DE058F">
        <w:rPr>
          <w:rFonts w:cstheme="minorHAnsi"/>
          <w:bCs/>
          <w:spacing w:val="-6"/>
          <w:szCs w:val="72"/>
          <w:lang w:val="sr-Cyrl-CS"/>
        </w:rPr>
        <w:t xml:space="preserve">Очекивана средњорочна кретања реалног сектора узимају у обзир актуелне економске трендове и изгледе за Србију и међународно окружење. Материјализација ризика из међународног окружења, везана са сукоб у Украјини и економске последице овог конфликта, у великој мери опредељује кретања у пројекцијском периоду. У складу са тим, раст БДП Србије у 2023. и 2024. години ревидиран је наниже у односу на претходна очекивања за по 1 п.п., са 5% на 4%, док се за 2025. </w:t>
      </w:r>
      <w:r w:rsidRPr="00DE058F">
        <w:rPr>
          <w:rFonts w:cstheme="minorHAnsi"/>
          <w:bCs/>
          <w:spacing w:val="-6"/>
          <w:szCs w:val="72"/>
          <w:lang w:val="sr-Cyrl-CS"/>
        </w:rPr>
        <w:t>годину очекује благо убрзање раста на 4,5%. У основном сценарију полази се од претпоставки да неће доћи до даље ескалације војних сукоба и додатног заоштравања међународних економских и политичких односа, да ће се цене енергената стабилизовати у средњем року уз очувану сигурност снабдевања, као и да неће доћи до поновног избијања пандемије у мери у којој би то имало значајније негативне ефекте на економску активност. Такође, очекује се наставак стабилног прилива СДИ које ће обезбедити трансфер знања и технологија, као и нове продајне канале домаћим произвођачима. Неизвесност присутна код пројекција далеко је већа од уобичајене због природе и обима шокова на глобалном нивоу. Канали преко којих они могу потенцијално деловати на домаћу привреду су бројни, често ланчано повезани, а сама јачина потенцијалних шокова таква да у великој мери могу утицати на средњорочна кретања.</w:t>
      </w:r>
    </w:p>
    <w:p w14:paraId="53B9F398" w14:textId="77777777" w:rsidR="00681648" w:rsidRPr="00DE058F" w:rsidRDefault="00681648" w:rsidP="00B435B3">
      <w:pPr>
        <w:spacing w:after="0"/>
        <w:rPr>
          <w:lang w:val="sr-Cyrl-CS"/>
        </w:rPr>
        <w:sectPr w:rsidR="00681648" w:rsidRPr="00DE058F" w:rsidSect="00681648">
          <w:headerReference w:type="even" r:id="rId67"/>
          <w:headerReference w:type="default" r:id="rId68"/>
          <w:footerReference w:type="even" r:id="rId69"/>
          <w:footerReference w:type="default" r:id="rId70"/>
          <w:headerReference w:type="first" r:id="rId71"/>
          <w:type w:val="continuous"/>
          <w:pgSz w:w="12240" w:h="15840" w:code="1"/>
          <w:pgMar w:top="1440" w:right="1440" w:bottom="1440" w:left="1440" w:header="720" w:footer="720" w:gutter="0"/>
          <w:cols w:num="2" w:space="720"/>
          <w:docGrid w:linePitch="360"/>
        </w:sectPr>
      </w:pPr>
    </w:p>
    <w:tbl>
      <w:tblPr>
        <w:tblStyle w:val="TableGrid"/>
        <w:tblW w:w="4952" w:type="pct"/>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4"/>
        <w:gridCol w:w="925"/>
        <w:gridCol w:w="925"/>
        <w:gridCol w:w="971"/>
        <w:gridCol w:w="931"/>
        <w:gridCol w:w="914"/>
      </w:tblGrid>
      <w:tr w:rsidR="00681648" w:rsidRPr="00DE058F" w14:paraId="13D752EB" w14:textId="77777777" w:rsidTr="00FA6BD0">
        <w:trPr>
          <w:trHeight w:val="349"/>
        </w:trPr>
        <w:tc>
          <w:tcPr>
            <w:tcW w:w="5000" w:type="pct"/>
            <w:gridSpan w:val="6"/>
            <w:tcBorders>
              <w:bottom w:val="single" w:sz="4" w:space="0" w:color="002060"/>
            </w:tcBorders>
            <w:vAlign w:val="center"/>
          </w:tcPr>
          <w:p w14:paraId="1FC2EBA8" w14:textId="77777777" w:rsidR="00681648" w:rsidRPr="00DE058F" w:rsidRDefault="00681648" w:rsidP="00FA6BD0">
            <w:pPr>
              <w:jc w:val="center"/>
              <w:rPr>
                <w:rFonts w:cstheme="minorHAnsi"/>
                <w:b/>
                <w:color w:val="002060"/>
                <w:sz w:val="16"/>
                <w:lang w:val="sr-Cyrl-CS"/>
              </w:rPr>
            </w:pPr>
            <w:r w:rsidRPr="00DE058F">
              <w:rPr>
                <w:rFonts w:cstheme="minorHAnsi"/>
                <w:b/>
                <w:color w:val="002060"/>
                <w:lang w:val="sr-Cyrl-CS"/>
              </w:rPr>
              <w:t>Табела 4. Пројекција основних макроекономских показатеља Републике Србије</w:t>
            </w:r>
          </w:p>
        </w:tc>
      </w:tr>
      <w:tr w:rsidR="00681648" w:rsidRPr="00DE058F" w14:paraId="3A16E920" w14:textId="77777777" w:rsidTr="00B435B3">
        <w:tc>
          <w:tcPr>
            <w:tcW w:w="2483" w:type="pct"/>
            <w:tcBorders>
              <w:top w:val="single" w:sz="4" w:space="0" w:color="002060"/>
              <w:left w:val="single" w:sz="2" w:space="0" w:color="FFFFFF" w:themeColor="background1"/>
              <w:bottom w:val="single" w:sz="2" w:space="0" w:color="FFFFFF" w:themeColor="background1"/>
              <w:right w:val="single" w:sz="2" w:space="0" w:color="FFFFFF" w:themeColor="background1"/>
            </w:tcBorders>
          </w:tcPr>
          <w:p w14:paraId="4694AE67" w14:textId="77777777" w:rsidR="00681648" w:rsidRPr="00DE058F" w:rsidRDefault="00681648" w:rsidP="00C130D2">
            <w:pPr>
              <w:rPr>
                <w:rFonts w:cstheme="minorHAnsi"/>
                <w:color w:val="002060"/>
                <w:sz w:val="18"/>
                <w:lang w:val="sr-Cyrl-CS"/>
              </w:rPr>
            </w:pPr>
          </w:p>
        </w:tc>
        <w:tc>
          <w:tcPr>
            <w:tcW w:w="499" w:type="pct"/>
            <w:tcBorders>
              <w:top w:val="single" w:sz="4" w:space="0" w:color="002060"/>
              <w:left w:val="single" w:sz="2" w:space="0" w:color="FFFFFF" w:themeColor="background1"/>
              <w:bottom w:val="single" w:sz="4" w:space="0" w:color="FFFFFF" w:themeColor="background1"/>
              <w:right w:val="single" w:sz="2" w:space="0" w:color="FFFFFF" w:themeColor="background1"/>
            </w:tcBorders>
            <w:shd w:val="clear" w:color="auto" w:fill="auto"/>
          </w:tcPr>
          <w:p w14:paraId="50F385A0" w14:textId="77777777" w:rsidR="00681648" w:rsidRPr="00DE058F" w:rsidRDefault="00681648" w:rsidP="00C130D2">
            <w:pPr>
              <w:jc w:val="center"/>
              <w:rPr>
                <w:rFonts w:cstheme="minorHAnsi"/>
                <w:color w:val="002060"/>
                <w:sz w:val="18"/>
                <w:lang w:val="sr-Cyrl-CS"/>
              </w:rPr>
            </w:pPr>
            <w:r w:rsidRPr="00DE058F">
              <w:rPr>
                <w:rFonts w:cstheme="minorHAnsi"/>
                <w:color w:val="002060"/>
                <w:sz w:val="18"/>
                <w:lang w:val="sr-Cyrl-CS"/>
              </w:rPr>
              <w:t>Процена</w:t>
            </w:r>
          </w:p>
        </w:tc>
        <w:tc>
          <w:tcPr>
            <w:tcW w:w="499" w:type="pct"/>
            <w:tcBorders>
              <w:top w:val="single" w:sz="4" w:space="0" w:color="002060"/>
              <w:left w:val="single" w:sz="2" w:space="0" w:color="FFFFFF" w:themeColor="background1"/>
              <w:bottom w:val="single" w:sz="2" w:space="0" w:color="FFFFFF" w:themeColor="background1"/>
              <w:right w:val="single" w:sz="2" w:space="0" w:color="FFFFFF" w:themeColor="background1"/>
            </w:tcBorders>
            <w:shd w:val="clear" w:color="auto" w:fill="auto"/>
          </w:tcPr>
          <w:p w14:paraId="295A2DA8" w14:textId="77777777" w:rsidR="00681648" w:rsidRPr="00DE058F" w:rsidRDefault="00681648" w:rsidP="00C130D2">
            <w:pPr>
              <w:jc w:val="center"/>
              <w:rPr>
                <w:rFonts w:cstheme="minorHAnsi"/>
                <w:color w:val="002060"/>
                <w:sz w:val="18"/>
                <w:lang w:val="sr-Cyrl-CS"/>
              </w:rPr>
            </w:pPr>
          </w:p>
        </w:tc>
        <w:tc>
          <w:tcPr>
            <w:tcW w:w="1519" w:type="pct"/>
            <w:gridSpan w:val="3"/>
            <w:tcBorders>
              <w:top w:val="single" w:sz="4" w:space="0" w:color="002060"/>
              <w:left w:val="single" w:sz="2" w:space="0" w:color="FFFFFF" w:themeColor="background1"/>
              <w:bottom w:val="single" w:sz="4" w:space="0" w:color="FFFFFF" w:themeColor="background1"/>
              <w:right w:val="single" w:sz="2" w:space="0" w:color="FFFFFF" w:themeColor="background1"/>
            </w:tcBorders>
            <w:shd w:val="clear" w:color="auto" w:fill="auto"/>
          </w:tcPr>
          <w:p w14:paraId="03965A68" w14:textId="77777777" w:rsidR="00681648" w:rsidRPr="00DE058F" w:rsidRDefault="00681648" w:rsidP="00C130D2">
            <w:pPr>
              <w:jc w:val="center"/>
              <w:rPr>
                <w:rFonts w:cstheme="minorHAnsi"/>
                <w:color w:val="002060"/>
                <w:sz w:val="18"/>
                <w:lang w:val="sr-Cyrl-CS"/>
              </w:rPr>
            </w:pPr>
            <w:r w:rsidRPr="00DE058F">
              <w:rPr>
                <w:rFonts w:cstheme="minorHAnsi"/>
                <w:color w:val="002060"/>
                <w:sz w:val="18"/>
                <w:lang w:val="sr-Cyrl-CS"/>
              </w:rPr>
              <w:t>Пројекције</w:t>
            </w:r>
          </w:p>
        </w:tc>
      </w:tr>
      <w:tr w:rsidR="00681648" w:rsidRPr="00DE058F" w14:paraId="6869BAB9" w14:textId="77777777" w:rsidTr="00B435B3">
        <w:tc>
          <w:tcPr>
            <w:tcW w:w="2483" w:type="pct"/>
            <w:tcBorders>
              <w:top w:val="single" w:sz="2" w:space="0" w:color="FFFFFF" w:themeColor="background1"/>
            </w:tcBorders>
          </w:tcPr>
          <w:p w14:paraId="1BFA43F3" w14:textId="77777777" w:rsidR="00681648" w:rsidRPr="00DE058F" w:rsidRDefault="00681648" w:rsidP="00C130D2">
            <w:pPr>
              <w:ind w:left="-15"/>
              <w:rPr>
                <w:rFonts w:cstheme="minorHAnsi"/>
                <w:color w:val="002060"/>
                <w:sz w:val="18"/>
                <w:szCs w:val="18"/>
                <w:lang w:val="sr-Cyrl-CS"/>
              </w:rPr>
            </w:pPr>
          </w:p>
        </w:tc>
        <w:tc>
          <w:tcPr>
            <w:tcW w:w="499" w:type="pct"/>
            <w:tcBorders>
              <w:top w:val="single" w:sz="4" w:space="0" w:color="FFFFFF" w:themeColor="background1"/>
              <w:bottom w:val="single" w:sz="4" w:space="0" w:color="auto"/>
            </w:tcBorders>
          </w:tcPr>
          <w:p w14:paraId="6B0D7427" w14:textId="77777777" w:rsidR="00681648" w:rsidRPr="00DE058F" w:rsidRDefault="00681648" w:rsidP="00C130D2">
            <w:pPr>
              <w:jc w:val="center"/>
              <w:rPr>
                <w:rFonts w:cstheme="minorHAnsi"/>
                <w:color w:val="002060"/>
                <w:sz w:val="18"/>
                <w:szCs w:val="18"/>
                <w:lang w:val="sr-Cyrl-CS"/>
              </w:rPr>
            </w:pPr>
            <w:r w:rsidRPr="00DE058F">
              <w:rPr>
                <w:rFonts w:cstheme="minorHAnsi"/>
                <w:color w:val="002060"/>
                <w:sz w:val="18"/>
                <w:lang w:val="sr-Cyrl-CS"/>
              </w:rPr>
              <w:t>2022</w:t>
            </w:r>
          </w:p>
        </w:tc>
        <w:tc>
          <w:tcPr>
            <w:tcW w:w="499" w:type="pct"/>
            <w:tcBorders>
              <w:top w:val="single" w:sz="2" w:space="0" w:color="FFFFFF" w:themeColor="background1"/>
            </w:tcBorders>
          </w:tcPr>
          <w:p w14:paraId="7E2DE2D1" w14:textId="77777777" w:rsidR="00681648" w:rsidRPr="00DE058F" w:rsidRDefault="00681648" w:rsidP="00C130D2">
            <w:pPr>
              <w:jc w:val="center"/>
              <w:rPr>
                <w:rFonts w:cstheme="minorHAnsi"/>
                <w:color w:val="002060"/>
                <w:sz w:val="18"/>
                <w:szCs w:val="18"/>
                <w:lang w:val="sr-Cyrl-CS"/>
              </w:rPr>
            </w:pPr>
          </w:p>
        </w:tc>
        <w:tc>
          <w:tcPr>
            <w:tcW w:w="524" w:type="pct"/>
            <w:tcBorders>
              <w:top w:val="single" w:sz="4" w:space="0" w:color="FFFFFF" w:themeColor="background1"/>
              <w:bottom w:val="single" w:sz="4" w:space="0" w:color="auto"/>
            </w:tcBorders>
          </w:tcPr>
          <w:p w14:paraId="4163666F" w14:textId="77777777" w:rsidR="00681648" w:rsidRPr="00DE058F" w:rsidRDefault="00681648" w:rsidP="00C130D2">
            <w:pPr>
              <w:jc w:val="center"/>
              <w:rPr>
                <w:rFonts w:cstheme="minorHAnsi"/>
                <w:color w:val="002060"/>
                <w:sz w:val="18"/>
                <w:szCs w:val="18"/>
                <w:lang w:val="sr-Cyrl-CS"/>
              </w:rPr>
            </w:pPr>
            <w:r w:rsidRPr="00DE058F">
              <w:rPr>
                <w:rFonts w:cstheme="minorHAnsi"/>
                <w:color w:val="002060"/>
                <w:sz w:val="18"/>
                <w:lang w:val="sr-Cyrl-CS"/>
              </w:rPr>
              <w:t>2023</w:t>
            </w:r>
          </w:p>
        </w:tc>
        <w:tc>
          <w:tcPr>
            <w:tcW w:w="502" w:type="pct"/>
            <w:tcBorders>
              <w:top w:val="single" w:sz="4" w:space="0" w:color="FFFFFF" w:themeColor="background1"/>
              <w:bottom w:val="single" w:sz="4" w:space="0" w:color="auto"/>
            </w:tcBorders>
          </w:tcPr>
          <w:p w14:paraId="1D5D8991" w14:textId="77777777" w:rsidR="00681648" w:rsidRPr="00DE058F" w:rsidRDefault="00681648" w:rsidP="00C130D2">
            <w:pPr>
              <w:jc w:val="center"/>
              <w:rPr>
                <w:rFonts w:cstheme="minorHAnsi"/>
                <w:color w:val="002060"/>
                <w:sz w:val="18"/>
                <w:szCs w:val="18"/>
                <w:lang w:val="sr-Cyrl-CS"/>
              </w:rPr>
            </w:pPr>
            <w:r w:rsidRPr="00DE058F">
              <w:rPr>
                <w:rFonts w:cstheme="minorHAnsi"/>
                <w:color w:val="002060"/>
                <w:sz w:val="18"/>
                <w:lang w:val="sr-Cyrl-CS"/>
              </w:rPr>
              <w:t>2024</w:t>
            </w:r>
          </w:p>
        </w:tc>
        <w:tc>
          <w:tcPr>
            <w:tcW w:w="493" w:type="pct"/>
            <w:tcBorders>
              <w:top w:val="single" w:sz="4" w:space="0" w:color="FFFFFF" w:themeColor="background1"/>
              <w:bottom w:val="single" w:sz="4" w:space="0" w:color="auto"/>
            </w:tcBorders>
          </w:tcPr>
          <w:p w14:paraId="28733FF7" w14:textId="77777777" w:rsidR="00681648" w:rsidRPr="00DE058F" w:rsidRDefault="00681648" w:rsidP="00C130D2">
            <w:pPr>
              <w:jc w:val="center"/>
              <w:rPr>
                <w:rFonts w:cstheme="minorHAnsi"/>
                <w:color w:val="002060"/>
                <w:sz w:val="18"/>
                <w:szCs w:val="18"/>
                <w:lang w:val="sr-Cyrl-CS"/>
              </w:rPr>
            </w:pPr>
            <w:r w:rsidRPr="00DE058F">
              <w:rPr>
                <w:rFonts w:cstheme="minorHAnsi"/>
                <w:color w:val="002060"/>
                <w:sz w:val="18"/>
                <w:lang w:val="sr-Cyrl-CS"/>
              </w:rPr>
              <w:t>2025</w:t>
            </w:r>
          </w:p>
        </w:tc>
      </w:tr>
      <w:tr w:rsidR="00681648" w:rsidRPr="00DE058F" w14:paraId="59435761" w14:textId="77777777" w:rsidTr="008527D6">
        <w:tc>
          <w:tcPr>
            <w:tcW w:w="2483" w:type="pct"/>
            <w:tcBorders>
              <w:top w:val="single" w:sz="2" w:space="0" w:color="FFFFFF" w:themeColor="background1"/>
            </w:tcBorders>
          </w:tcPr>
          <w:p w14:paraId="3B2D3CCD" w14:textId="77777777" w:rsidR="00681648" w:rsidRPr="00DE058F" w:rsidRDefault="00681648" w:rsidP="008527D6">
            <w:pPr>
              <w:ind w:left="-15"/>
              <w:rPr>
                <w:rFonts w:cstheme="minorHAnsi"/>
                <w:color w:val="002060"/>
                <w:sz w:val="18"/>
                <w:szCs w:val="18"/>
                <w:lang w:val="sr-Cyrl-CS"/>
              </w:rPr>
            </w:pPr>
            <w:r w:rsidRPr="00DE058F">
              <w:rPr>
                <w:rFonts w:cstheme="minorHAnsi"/>
                <w:color w:val="002060"/>
                <w:sz w:val="18"/>
                <w:szCs w:val="18"/>
                <w:lang w:val="sr-Cyrl-CS"/>
              </w:rPr>
              <w:t>БДП, млрд динара (текуће цене)</w:t>
            </w:r>
          </w:p>
        </w:tc>
        <w:tc>
          <w:tcPr>
            <w:tcW w:w="499" w:type="pct"/>
            <w:tcBorders>
              <w:top w:val="single" w:sz="4" w:space="0" w:color="auto"/>
            </w:tcBorders>
          </w:tcPr>
          <w:p w14:paraId="51824609"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6.904,4</w:t>
            </w:r>
          </w:p>
        </w:tc>
        <w:tc>
          <w:tcPr>
            <w:tcW w:w="499" w:type="pct"/>
            <w:tcBorders>
              <w:top w:val="single" w:sz="2" w:space="0" w:color="FFFFFF" w:themeColor="background1"/>
            </w:tcBorders>
          </w:tcPr>
          <w:p w14:paraId="0DC59EA4" w14:textId="77777777" w:rsidR="00681648" w:rsidRPr="00DE058F" w:rsidRDefault="00681648" w:rsidP="008527D6">
            <w:pPr>
              <w:jc w:val="center"/>
              <w:rPr>
                <w:rFonts w:cstheme="minorHAnsi"/>
                <w:color w:val="002060"/>
                <w:sz w:val="18"/>
                <w:szCs w:val="18"/>
                <w:lang w:val="sr-Cyrl-CS"/>
              </w:rPr>
            </w:pPr>
          </w:p>
        </w:tc>
        <w:tc>
          <w:tcPr>
            <w:tcW w:w="524" w:type="pct"/>
            <w:vAlign w:val="center"/>
          </w:tcPr>
          <w:p w14:paraId="7163A51C"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7.465,2</w:t>
            </w:r>
          </w:p>
        </w:tc>
        <w:tc>
          <w:tcPr>
            <w:tcW w:w="502" w:type="pct"/>
            <w:vAlign w:val="center"/>
          </w:tcPr>
          <w:p w14:paraId="16C21178"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8.023,0</w:t>
            </w:r>
          </w:p>
        </w:tc>
        <w:tc>
          <w:tcPr>
            <w:tcW w:w="493" w:type="pct"/>
            <w:vAlign w:val="center"/>
          </w:tcPr>
          <w:p w14:paraId="2E24EA75"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8.650,7</w:t>
            </w:r>
          </w:p>
        </w:tc>
      </w:tr>
      <w:tr w:rsidR="00681648" w:rsidRPr="00DE058F" w14:paraId="02D6B4EF" w14:textId="77777777" w:rsidTr="008527D6">
        <w:tc>
          <w:tcPr>
            <w:tcW w:w="2483" w:type="pct"/>
          </w:tcPr>
          <w:p w14:paraId="077C0C05" w14:textId="77777777" w:rsidR="00681648" w:rsidRPr="00DE058F" w:rsidRDefault="00681648" w:rsidP="008527D6">
            <w:pPr>
              <w:ind w:left="-15"/>
              <w:rPr>
                <w:rFonts w:cstheme="minorHAnsi"/>
                <w:color w:val="002060"/>
                <w:sz w:val="18"/>
                <w:szCs w:val="18"/>
                <w:lang w:val="sr-Cyrl-CS"/>
              </w:rPr>
            </w:pPr>
            <w:r w:rsidRPr="00DE058F">
              <w:rPr>
                <w:rFonts w:cstheme="minorHAnsi"/>
                <w:color w:val="002060"/>
                <w:sz w:val="18"/>
                <w:szCs w:val="18"/>
                <w:lang w:val="sr-Cyrl-CS"/>
              </w:rPr>
              <w:t>Реални раст БДП, %</w:t>
            </w:r>
          </w:p>
        </w:tc>
        <w:tc>
          <w:tcPr>
            <w:tcW w:w="499" w:type="pct"/>
          </w:tcPr>
          <w:p w14:paraId="3CE5BEE2"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3,5</w:t>
            </w:r>
          </w:p>
        </w:tc>
        <w:tc>
          <w:tcPr>
            <w:tcW w:w="499" w:type="pct"/>
          </w:tcPr>
          <w:p w14:paraId="54D8BE3D" w14:textId="77777777" w:rsidR="00681648" w:rsidRPr="00DE058F" w:rsidRDefault="00681648" w:rsidP="008527D6">
            <w:pPr>
              <w:jc w:val="center"/>
              <w:rPr>
                <w:rFonts w:cstheme="minorHAnsi"/>
                <w:color w:val="002060"/>
                <w:sz w:val="18"/>
                <w:szCs w:val="18"/>
                <w:lang w:val="sr-Cyrl-CS"/>
              </w:rPr>
            </w:pPr>
          </w:p>
        </w:tc>
        <w:tc>
          <w:tcPr>
            <w:tcW w:w="524" w:type="pct"/>
            <w:vAlign w:val="center"/>
          </w:tcPr>
          <w:p w14:paraId="1A0717B5"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4,0</w:t>
            </w:r>
          </w:p>
        </w:tc>
        <w:tc>
          <w:tcPr>
            <w:tcW w:w="502" w:type="pct"/>
            <w:vAlign w:val="center"/>
          </w:tcPr>
          <w:p w14:paraId="1D2543A9"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4,0</w:t>
            </w:r>
          </w:p>
        </w:tc>
        <w:tc>
          <w:tcPr>
            <w:tcW w:w="493" w:type="pct"/>
            <w:vAlign w:val="center"/>
          </w:tcPr>
          <w:p w14:paraId="39A17A1E"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4,5</w:t>
            </w:r>
          </w:p>
        </w:tc>
      </w:tr>
      <w:tr w:rsidR="00681648" w:rsidRPr="00DE058F" w14:paraId="61EA493C" w14:textId="77777777" w:rsidTr="008527D6">
        <w:tc>
          <w:tcPr>
            <w:tcW w:w="2483" w:type="pct"/>
          </w:tcPr>
          <w:p w14:paraId="01E7D4BF" w14:textId="77777777" w:rsidR="00681648" w:rsidRPr="00DE058F" w:rsidRDefault="00681648" w:rsidP="008527D6">
            <w:pPr>
              <w:ind w:left="-15"/>
              <w:rPr>
                <w:rFonts w:cstheme="minorHAnsi"/>
                <w:color w:val="002060"/>
                <w:sz w:val="18"/>
                <w:szCs w:val="18"/>
                <w:lang w:val="sr-Cyrl-CS"/>
              </w:rPr>
            </w:pPr>
            <w:r w:rsidRPr="00DE058F">
              <w:rPr>
                <w:rFonts w:cstheme="minorHAnsi"/>
                <w:color w:val="002060"/>
                <w:sz w:val="18"/>
                <w:szCs w:val="18"/>
                <w:lang w:val="sr-Cyrl-CS"/>
              </w:rPr>
              <w:t>Дефлатор БДП, %</w:t>
            </w:r>
          </w:p>
        </w:tc>
        <w:tc>
          <w:tcPr>
            <w:tcW w:w="499" w:type="pct"/>
          </w:tcPr>
          <w:p w14:paraId="35D96567"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6,5</w:t>
            </w:r>
          </w:p>
        </w:tc>
        <w:tc>
          <w:tcPr>
            <w:tcW w:w="499" w:type="pct"/>
          </w:tcPr>
          <w:p w14:paraId="7013EBDD" w14:textId="77777777" w:rsidR="00681648" w:rsidRPr="00DE058F" w:rsidRDefault="00681648" w:rsidP="008527D6">
            <w:pPr>
              <w:jc w:val="center"/>
              <w:rPr>
                <w:rFonts w:cstheme="minorHAnsi"/>
                <w:color w:val="002060"/>
                <w:sz w:val="18"/>
                <w:szCs w:val="18"/>
                <w:lang w:val="sr-Cyrl-CS"/>
              </w:rPr>
            </w:pPr>
          </w:p>
        </w:tc>
        <w:tc>
          <w:tcPr>
            <w:tcW w:w="524" w:type="pct"/>
            <w:tcBorders>
              <w:top w:val="nil"/>
              <w:left w:val="nil"/>
              <w:bottom w:val="nil"/>
              <w:right w:val="nil"/>
            </w:tcBorders>
            <w:shd w:val="clear" w:color="auto" w:fill="auto"/>
            <w:vAlign w:val="bottom"/>
          </w:tcPr>
          <w:p w14:paraId="474C7279"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4,0</w:t>
            </w:r>
          </w:p>
        </w:tc>
        <w:tc>
          <w:tcPr>
            <w:tcW w:w="502" w:type="pct"/>
            <w:tcBorders>
              <w:top w:val="nil"/>
              <w:left w:val="nil"/>
              <w:bottom w:val="nil"/>
              <w:right w:val="nil"/>
            </w:tcBorders>
            <w:shd w:val="clear" w:color="auto" w:fill="auto"/>
            <w:vAlign w:val="bottom"/>
          </w:tcPr>
          <w:p w14:paraId="5AD06917"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3,3</w:t>
            </w:r>
          </w:p>
        </w:tc>
        <w:tc>
          <w:tcPr>
            <w:tcW w:w="493" w:type="pct"/>
            <w:tcBorders>
              <w:top w:val="nil"/>
              <w:left w:val="nil"/>
              <w:bottom w:val="nil"/>
              <w:right w:val="nil"/>
            </w:tcBorders>
            <w:shd w:val="clear" w:color="auto" w:fill="auto"/>
            <w:vAlign w:val="bottom"/>
          </w:tcPr>
          <w:p w14:paraId="085C8F18"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3,2</w:t>
            </w:r>
          </w:p>
        </w:tc>
      </w:tr>
      <w:tr w:rsidR="00681648" w:rsidRPr="00DE058F" w14:paraId="0091827C" w14:textId="77777777" w:rsidTr="00B435B3">
        <w:tc>
          <w:tcPr>
            <w:tcW w:w="5000" w:type="pct"/>
            <w:gridSpan w:val="6"/>
            <w:shd w:val="clear" w:color="auto" w:fill="E7E6E6" w:themeFill="background2"/>
          </w:tcPr>
          <w:p w14:paraId="74086181" w14:textId="77777777" w:rsidR="00681648" w:rsidRPr="00DE058F" w:rsidRDefault="00681648" w:rsidP="008527D6">
            <w:pPr>
              <w:jc w:val="center"/>
              <w:rPr>
                <w:rFonts w:cstheme="minorHAnsi"/>
                <w:color w:val="002060"/>
                <w:sz w:val="18"/>
                <w:szCs w:val="18"/>
                <w:lang w:val="sr-Cyrl-CS"/>
              </w:rPr>
            </w:pPr>
          </w:p>
        </w:tc>
      </w:tr>
      <w:tr w:rsidR="00681648" w:rsidRPr="00DE058F" w14:paraId="0E85FFE4" w14:textId="77777777" w:rsidTr="008527D6">
        <w:tc>
          <w:tcPr>
            <w:tcW w:w="2483" w:type="pct"/>
          </w:tcPr>
          <w:p w14:paraId="694782D2" w14:textId="77777777" w:rsidR="00681648" w:rsidRPr="00DE058F" w:rsidRDefault="00681648" w:rsidP="008527D6">
            <w:pPr>
              <w:ind w:left="256"/>
              <w:rPr>
                <w:rFonts w:cstheme="minorHAnsi"/>
                <w:color w:val="002060"/>
                <w:sz w:val="18"/>
                <w:szCs w:val="18"/>
                <w:lang w:val="sr-Cyrl-CS"/>
              </w:rPr>
            </w:pPr>
            <w:r w:rsidRPr="00DE058F">
              <w:rPr>
                <w:rFonts w:cstheme="minorHAnsi"/>
                <w:color w:val="002060"/>
                <w:sz w:val="18"/>
                <w:szCs w:val="18"/>
                <w:lang w:val="sr-Cyrl-CS"/>
              </w:rPr>
              <w:t>Лична потрошња</w:t>
            </w:r>
          </w:p>
        </w:tc>
        <w:tc>
          <w:tcPr>
            <w:tcW w:w="499" w:type="pct"/>
          </w:tcPr>
          <w:p w14:paraId="77729FD5"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3,1</w:t>
            </w:r>
          </w:p>
        </w:tc>
        <w:tc>
          <w:tcPr>
            <w:tcW w:w="499" w:type="pct"/>
          </w:tcPr>
          <w:p w14:paraId="036AA91E" w14:textId="77777777" w:rsidR="00681648" w:rsidRPr="00DE058F" w:rsidRDefault="00681648" w:rsidP="008527D6">
            <w:pPr>
              <w:jc w:val="center"/>
              <w:rPr>
                <w:rFonts w:cstheme="minorHAnsi"/>
                <w:color w:val="002060"/>
                <w:sz w:val="18"/>
                <w:szCs w:val="18"/>
                <w:lang w:val="sr-Cyrl-CS"/>
              </w:rPr>
            </w:pPr>
          </w:p>
        </w:tc>
        <w:tc>
          <w:tcPr>
            <w:tcW w:w="524" w:type="pct"/>
            <w:tcBorders>
              <w:top w:val="nil"/>
              <w:left w:val="nil"/>
              <w:bottom w:val="nil"/>
              <w:right w:val="nil"/>
            </w:tcBorders>
            <w:shd w:val="clear" w:color="auto" w:fill="auto"/>
            <w:vAlign w:val="bottom"/>
          </w:tcPr>
          <w:p w14:paraId="2DE68565"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3,8</w:t>
            </w:r>
          </w:p>
        </w:tc>
        <w:tc>
          <w:tcPr>
            <w:tcW w:w="502" w:type="pct"/>
            <w:tcBorders>
              <w:top w:val="nil"/>
              <w:left w:val="nil"/>
              <w:bottom w:val="nil"/>
              <w:right w:val="nil"/>
            </w:tcBorders>
            <w:shd w:val="clear" w:color="auto" w:fill="auto"/>
            <w:vAlign w:val="bottom"/>
          </w:tcPr>
          <w:p w14:paraId="7F982E95"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3,0</w:t>
            </w:r>
          </w:p>
        </w:tc>
        <w:tc>
          <w:tcPr>
            <w:tcW w:w="493" w:type="pct"/>
            <w:tcBorders>
              <w:top w:val="nil"/>
              <w:left w:val="nil"/>
              <w:bottom w:val="nil"/>
              <w:right w:val="nil"/>
            </w:tcBorders>
            <w:shd w:val="clear" w:color="auto" w:fill="auto"/>
            <w:vAlign w:val="bottom"/>
          </w:tcPr>
          <w:p w14:paraId="0C40017E"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3,0</w:t>
            </w:r>
          </w:p>
        </w:tc>
      </w:tr>
      <w:tr w:rsidR="00681648" w:rsidRPr="00DE058F" w14:paraId="1DD3BCAA" w14:textId="77777777" w:rsidTr="008527D6">
        <w:tc>
          <w:tcPr>
            <w:tcW w:w="2483" w:type="pct"/>
          </w:tcPr>
          <w:p w14:paraId="45B67B62" w14:textId="77777777" w:rsidR="00681648" w:rsidRPr="00DE058F" w:rsidRDefault="00681648" w:rsidP="008527D6">
            <w:pPr>
              <w:ind w:left="256"/>
              <w:rPr>
                <w:rFonts w:cstheme="minorHAnsi"/>
                <w:color w:val="002060"/>
                <w:sz w:val="18"/>
                <w:szCs w:val="18"/>
                <w:lang w:val="sr-Cyrl-CS"/>
              </w:rPr>
            </w:pPr>
            <w:r w:rsidRPr="00DE058F">
              <w:rPr>
                <w:rFonts w:cstheme="minorHAnsi"/>
                <w:color w:val="002060"/>
                <w:sz w:val="18"/>
                <w:szCs w:val="18"/>
                <w:lang w:val="sr-Cyrl-CS"/>
              </w:rPr>
              <w:t>Државна потрошња</w:t>
            </w:r>
          </w:p>
        </w:tc>
        <w:tc>
          <w:tcPr>
            <w:tcW w:w="499" w:type="pct"/>
          </w:tcPr>
          <w:p w14:paraId="04A8493A"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-0,4</w:t>
            </w:r>
          </w:p>
        </w:tc>
        <w:tc>
          <w:tcPr>
            <w:tcW w:w="499" w:type="pct"/>
          </w:tcPr>
          <w:p w14:paraId="470DFBC1" w14:textId="77777777" w:rsidR="00681648" w:rsidRPr="00DE058F" w:rsidRDefault="00681648" w:rsidP="008527D6">
            <w:pPr>
              <w:jc w:val="center"/>
              <w:rPr>
                <w:rFonts w:cstheme="minorHAnsi"/>
                <w:color w:val="002060"/>
                <w:sz w:val="18"/>
                <w:szCs w:val="18"/>
                <w:lang w:val="sr-Cyrl-CS"/>
              </w:rPr>
            </w:pPr>
          </w:p>
        </w:tc>
        <w:tc>
          <w:tcPr>
            <w:tcW w:w="524" w:type="pct"/>
            <w:tcBorders>
              <w:top w:val="nil"/>
              <w:left w:val="nil"/>
              <w:bottom w:val="nil"/>
              <w:right w:val="nil"/>
            </w:tcBorders>
            <w:shd w:val="clear" w:color="auto" w:fill="auto"/>
            <w:vAlign w:val="bottom"/>
          </w:tcPr>
          <w:p w14:paraId="7E7FF21A"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1,0</w:t>
            </w:r>
          </w:p>
        </w:tc>
        <w:tc>
          <w:tcPr>
            <w:tcW w:w="502" w:type="pct"/>
            <w:tcBorders>
              <w:top w:val="nil"/>
              <w:left w:val="nil"/>
              <w:bottom w:val="nil"/>
              <w:right w:val="nil"/>
            </w:tcBorders>
            <w:shd w:val="clear" w:color="auto" w:fill="auto"/>
            <w:vAlign w:val="bottom"/>
          </w:tcPr>
          <w:p w14:paraId="0D77CB3B"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1,1</w:t>
            </w:r>
          </w:p>
        </w:tc>
        <w:tc>
          <w:tcPr>
            <w:tcW w:w="493" w:type="pct"/>
            <w:tcBorders>
              <w:top w:val="nil"/>
              <w:left w:val="nil"/>
              <w:bottom w:val="nil"/>
              <w:right w:val="nil"/>
            </w:tcBorders>
            <w:shd w:val="clear" w:color="auto" w:fill="auto"/>
            <w:vAlign w:val="bottom"/>
          </w:tcPr>
          <w:p w14:paraId="47BC4C9B"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1,5</w:t>
            </w:r>
          </w:p>
        </w:tc>
      </w:tr>
      <w:tr w:rsidR="00681648" w:rsidRPr="00DE058F" w14:paraId="1C6FFC77" w14:textId="77777777" w:rsidTr="008527D6">
        <w:tc>
          <w:tcPr>
            <w:tcW w:w="2483" w:type="pct"/>
          </w:tcPr>
          <w:p w14:paraId="5EF97DE1" w14:textId="77777777" w:rsidR="00681648" w:rsidRPr="00DE058F" w:rsidRDefault="00681648" w:rsidP="008527D6">
            <w:pPr>
              <w:ind w:left="256"/>
              <w:rPr>
                <w:rFonts w:cstheme="minorHAnsi"/>
                <w:color w:val="002060"/>
                <w:sz w:val="18"/>
                <w:szCs w:val="18"/>
                <w:lang w:val="sr-Cyrl-CS"/>
              </w:rPr>
            </w:pPr>
            <w:r w:rsidRPr="00DE058F">
              <w:rPr>
                <w:rFonts w:cstheme="minorHAnsi"/>
                <w:color w:val="002060"/>
                <w:sz w:val="18"/>
                <w:szCs w:val="18"/>
                <w:lang w:val="sr-Cyrl-CS"/>
              </w:rPr>
              <w:t>Бруто инвестиције у основна средства</w:t>
            </w:r>
          </w:p>
        </w:tc>
        <w:tc>
          <w:tcPr>
            <w:tcW w:w="499" w:type="pct"/>
          </w:tcPr>
          <w:p w14:paraId="245EFC74"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3,0</w:t>
            </w:r>
          </w:p>
        </w:tc>
        <w:tc>
          <w:tcPr>
            <w:tcW w:w="499" w:type="pct"/>
          </w:tcPr>
          <w:p w14:paraId="6B07AE34" w14:textId="77777777" w:rsidR="00681648" w:rsidRPr="00DE058F" w:rsidRDefault="00681648" w:rsidP="008527D6">
            <w:pPr>
              <w:jc w:val="center"/>
              <w:rPr>
                <w:rFonts w:cstheme="minorHAnsi"/>
                <w:color w:val="002060"/>
                <w:sz w:val="18"/>
                <w:szCs w:val="18"/>
                <w:lang w:val="sr-Cyrl-CS"/>
              </w:rPr>
            </w:pPr>
          </w:p>
        </w:tc>
        <w:tc>
          <w:tcPr>
            <w:tcW w:w="524" w:type="pct"/>
            <w:tcBorders>
              <w:top w:val="nil"/>
              <w:left w:val="nil"/>
              <w:bottom w:val="nil"/>
              <w:right w:val="nil"/>
            </w:tcBorders>
            <w:shd w:val="clear" w:color="auto" w:fill="auto"/>
            <w:vAlign w:val="bottom"/>
          </w:tcPr>
          <w:p w14:paraId="20B2E659"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6,1</w:t>
            </w:r>
          </w:p>
        </w:tc>
        <w:tc>
          <w:tcPr>
            <w:tcW w:w="502" w:type="pct"/>
            <w:tcBorders>
              <w:top w:val="nil"/>
              <w:left w:val="nil"/>
              <w:bottom w:val="nil"/>
              <w:right w:val="nil"/>
            </w:tcBorders>
            <w:shd w:val="clear" w:color="auto" w:fill="auto"/>
            <w:vAlign w:val="bottom"/>
          </w:tcPr>
          <w:p w14:paraId="0A3B95B7"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6,8</w:t>
            </w:r>
          </w:p>
        </w:tc>
        <w:tc>
          <w:tcPr>
            <w:tcW w:w="493" w:type="pct"/>
            <w:tcBorders>
              <w:top w:val="nil"/>
              <w:left w:val="nil"/>
              <w:bottom w:val="nil"/>
              <w:right w:val="nil"/>
            </w:tcBorders>
            <w:shd w:val="clear" w:color="auto" w:fill="auto"/>
            <w:vAlign w:val="bottom"/>
          </w:tcPr>
          <w:p w14:paraId="2AEB357E"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7,6</w:t>
            </w:r>
          </w:p>
        </w:tc>
      </w:tr>
      <w:tr w:rsidR="00681648" w:rsidRPr="00DE058F" w14:paraId="09BE4947" w14:textId="77777777" w:rsidTr="008527D6">
        <w:tc>
          <w:tcPr>
            <w:tcW w:w="2483" w:type="pct"/>
          </w:tcPr>
          <w:p w14:paraId="0F3524F8" w14:textId="77777777" w:rsidR="00681648" w:rsidRPr="00DE058F" w:rsidRDefault="00681648" w:rsidP="008527D6">
            <w:pPr>
              <w:ind w:left="256"/>
              <w:rPr>
                <w:rFonts w:cstheme="minorHAnsi"/>
                <w:color w:val="002060"/>
                <w:sz w:val="18"/>
                <w:szCs w:val="18"/>
                <w:lang w:val="sr-Cyrl-CS"/>
              </w:rPr>
            </w:pPr>
            <w:r w:rsidRPr="00DE058F">
              <w:rPr>
                <w:rFonts w:cstheme="minorHAnsi"/>
                <w:color w:val="002060"/>
                <w:sz w:val="18"/>
                <w:szCs w:val="18"/>
                <w:lang w:val="sr-Cyrl-CS"/>
              </w:rPr>
              <w:t>Извоз робе и услуга</w:t>
            </w:r>
          </w:p>
        </w:tc>
        <w:tc>
          <w:tcPr>
            <w:tcW w:w="499" w:type="pct"/>
          </w:tcPr>
          <w:p w14:paraId="04D7F95E"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9,0</w:t>
            </w:r>
          </w:p>
        </w:tc>
        <w:tc>
          <w:tcPr>
            <w:tcW w:w="499" w:type="pct"/>
          </w:tcPr>
          <w:p w14:paraId="6C863242" w14:textId="77777777" w:rsidR="00681648" w:rsidRPr="00DE058F" w:rsidRDefault="00681648" w:rsidP="008527D6">
            <w:pPr>
              <w:jc w:val="center"/>
              <w:rPr>
                <w:rFonts w:cstheme="minorHAnsi"/>
                <w:color w:val="002060"/>
                <w:sz w:val="18"/>
                <w:szCs w:val="18"/>
                <w:lang w:val="sr-Cyrl-CS"/>
              </w:rPr>
            </w:pPr>
          </w:p>
        </w:tc>
        <w:tc>
          <w:tcPr>
            <w:tcW w:w="524" w:type="pct"/>
            <w:tcBorders>
              <w:top w:val="nil"/>
              <w:left w:val="nil"/>
              <w:bottom w:val="nil"/>
              <w:right w:val="nil"/>
            </w:tcBorders>
            <w:shd w:val="clear" w:color="auto" w:fill="auto"/>
            <w:vAlign w:val="bottom"/>
          </w:tcPr>
          <w:p w14:paraId="73430722"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9,6</w:t>
            </w:r>
          </w:p>
        </w:tc>
        <w:tc>
          <w:tcPr>
            <w:tcW w:w="502" w:type="pct"/>
            <w:tcBorders>
              <w:top w:val="nil"/>
              <w:left w:val="nil"/>
              <w:bottom w:val="nil"/>
              <w:right w:val="nil"/>
            </w:tcBorders>
            <w:shd w:val="clear" w:color="auto" w:fill="auto"/>
            <w:vAlign w:val="bottom"/>
          </w:tcPr>
          <w:p w14:paraId="6D75989D"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10,2</w:t>
            </w:r>
          </w:p>
        </w:tc>
        <w:tc>
          <w:tcPr>
            <w:tcW w:w="493" w:type="pct"/>
            <w:tcBorders>
              <w:top w:val="nil"/>
              <w:left w:val="nil"/>
              <w:bottom w:val="nil"/>
              <w:right w:val="nil"/>
            </w:tcBorders>
            <w:shd w:val="clear" w:color="auto" w:fill="auto"/>
            <w:vAlign w:val="bottom"/>
          </w:tcPr>
          <w:p w14:paraId="536CA337"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10,8</w:t>
            </w:r>
          </w:p>
        </w:tc>
      </w:tr>
      <w:tr w:rsidR="00681648" w:rsidRPr="00DE058F" w14:paraId="39577653" w14:textId="77777777" w:rsidTr="008527D6">
        <w:tc>
          <w:tcPr>
            <w:tcW w:w="2483" w:type="pct"/>
          </w:tcPr>
          <w:p w14:paraId="640DE987" w14:textId="77777777" w:rsidR="00681648" w:rsidRPr="00DE058F" w:rsidRDefault="00681648" w:rsidP="008527D6">
            <w:pPr>
              <w:ind w:left="256"/>
              <w:rPr>
                <w:rFonts w:cstheme="minorHAnsi"/>
                <w:color w:val="002060"/>
                <w:sz w:val="18"/>
                <w:szCs w:val="18"/>
                <w:lang w:val="sr-Cyrl-CS"/>
              </w:rPr>
            </w:pPr>
            <w:r w:rsidRPr="00DE058F">
              <w:rPr>
                <w:rFonts w:cstheme="minorHAnsi"/>
                <w:color w:val="002060"/>
                <w:sz w:val="18"/>
                <w:szCs w:val="18"/>
                <w:lang w:val="sr-Cyrl-CS"/>
              </w:rPr>
              <w:t>Увоз робе и услуга</w:t>
            </w:r>
          </w:p>
        </w:tc>
        <w:tc>
          <w:tcPr>
            <w:tcW w:w="499" w:type="pct"/>
          </w:tcPr>
          <w:p w14:paraId="04C4DDDA"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8,6</w:t>
            </w:r>
          </w:p>
        </w:tc>
        <w:tc>
          <w:tcPr>
            <w:tcW w:w="499" w:type="pct"/>
          </w:tcPr>
          <w:p w14:paraId="0F7FA6B3" w14:textId="77777777" w:rsidR="00681648" w:rsidRPr="00DE058F" w:rsidRDefault="00681648" w:rsidP="008527D6">
            <w:pPr>
              <w:jc w:val="center"/>
              <w:rPr>
                <w:rFonts w:cstheme="minorHAnsi"/>
                <w:color w:val="002060"/>
                <w:sz w:val="18"/>
                <w:szCs w:val="18"/>
                <w:lang w:val="sr-Cyrl-CS"/>
              </w:rPr>
            </w:pPr>
          </w:p>
        </w:tc>
        <w:tc>
          <w:tcPr>
            <w:tcW w:w="524" w:type="pct"/>
            <w:tcBorders>
              <w:top w:val="nil"/>
              <w:left w:val="nil"/>
              <w:bottom w:val="nil"/>
              <w:right w:val="nil"/>
            </w:tcBorders>
            <w:shd w:val="clear" w:color="auto" w:fill="auto"/>
            <w:vAlign w:val="bottom"/>
          </w:tcPr>
          <w:p w14:paraId="2F2AE4D7"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8,0</w:t>
            </w:r>
          </w:p>
        </w:tc>
        <w:tc>
          <w:tcPr>
            <w:tcW w:w="502" w:type="pct"/>
            <w:tcBorders>
              <w:top w:val="nil"/>
              <w:left w:val="nil"/>
              <w:bottom w:val="nil"/>
              <w:right w:val="nil"/>
            </w:tcBorders>
            <w:shd w:val="clear" w:color="auto" w:fill="auto"/>
            <w:vAlign w:val="bottom"/>
          </w:tcPr>
          <w:p w14:paraId="1B99CE58"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8,4</w:t>
            </w:r>
          </w:p>
        </w:tc>
        <w:tc>
          <w:tcPr>
            <w:tcW w:w="493" w:type="pct"/>
            <w:tcBorders>
              <w:top w:val="nil"/>
              <w:left w:val="nil"/>
              <w:bottom w:val="nil"/>
              <w:right w:val="nil"/>
            </w:tcBorders>
            <w:shd w:val="clear" w:color="auto" w:fill="auto"/>
            <w:vAlign w:val="bottom"/>
          </w:tcPr>
          <w:p w14:paraId="768DCF52"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8,9</w:t>
            </w:r>
          </w:p>
        </w:tc>
      </w:tr>
      <w:tr w:rsidR="00681648" w:rsidRPr="00DE058F" w14:paraId="0234B4EB" w14:textId="77777777" w:rsidTr="00B435B3">
        <w:tc>
          <w:tcPr>
            <w:tcW w:w="2483" w:type="pct"/>
          </w:tcPr>
          <w:p w14:paraId="6B63199A" w14:textId="77777777" w:rsidR="00681648" w:rsidRPr="00DE058F" w:rsidRDefault="00681648" w:rsidP="008527D6">
            <w:pPr>
              <w:ind w:left="-15"/>
              <w:rPr>
                <w:rFonts w:cstheme="minorHAnsi"/>
                <w:color w:val="002060"/>
                <w:sz w:val="18"/>
                <w:szCs w:val="18"/>
                <w:lang w:val="sr-Cyrl-CS"/>
              </w:rPr>
            </w:pPr>
            <w:r w:rsidRPr="00DE058F">
              <w:rPr>
                <w:rFonts w:cstheme="minorHAnsi"/>
                <w:color w:val="002060"/>
                <w:sz w:val="18"/>
                <w:szCs w:val="18"/>
                <w:lang w:val="sr-Cyrl-CS"/>
              </w:rPr>
              <w:t>Салдо робе и услуга, у ЕУР, % БДП</w:t>
            </w:r>
          </w:p>
        </w:tc>
        <w:tc>
          <w:tcPr>
            <w:tcW w:w="499" w:type="pct"/>
          </w:tcPr>
          <w:p w14:paraId="53DA25C6"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-10,7</w:t>
            </w:r>
          </w:p>
        </w:tc>
        <w:tc>
          <w:tcPr>
            <w:tcW w:w="499" w:type="pct"/>
          </w:tcPr>
          <w:p w14:paraId="72E80E71" w14:textId="77777777" w:rsidR="00681648" w:rsidRPr="00DE058F" w:rsidRDefault="00681648" w:rsidP="008527D6">
            <w:pPr>
              <w:jc w:val="center"/>
              <w:rPr>
                <w:rFonts w:cstheme="minorHAnsi"/>
                <w:color w:val="002060"/>
                <w:sz w:val="18"/>
                <w:szCs w:val="18"/>
                <w:lang w:val="sr-Cyrl-CS"/>
              </w:rPr>
            </w:pPr>
          </w:p>
        </w:tc>
        <w:tc>
          <w:tcPr>
            <w:tcW w:w="524" w:type="pct"/>
          </w:tcPr>
          <w:p w14:paraId="4B7F0C5F" w14:textId="77777777" w:rsidR="00681648" w:rsidRPr="00DE058F" w:rsidRDefault="00681648" w:rsidP="008527D6">
            <w:pPr>
              <w:jc w:val="center"/>
              <w:rPr>
                <w:color w:val="002060"/>
                <w:sz w:val="18"/>
                <w:lang w:val="sr-Cyrl-CS"/>
              </w:rPr>
            </w:pPr>
            <w:r w:rsidRPr="00DE058F">
              <w:rPr>
                <w:color w:val="002060"/>
                <w:sz w:val="18"/>
                <w:lang w:val="sr-Cyrl-CS"/>
              </w:rPr>
              <w:t>-10,8</w:t>
            </w:r>
          </w:p>
        </w:tc>
        <w:tc>
          <w:tcPr>
            <w:tcW w:w="502" w:type="pct"/>
          </w:tcPr>
          <w:p w14:paraId="640A7426" w14:textId="77777777" w:rsidR="00681648" w:rsidRPr="00DE058F" w:rsidRDefault="00681648" w:rsidP="008527D6">
            <w:pPr>
              <w:jc w:val="center"/>
              <w:rPr>
                <w:color w:val="002060"/>
                <w:sz w:val="18"/>
                <w:lang w:val="sr-Cyrl-CS"/>
              </w:rPr>
            </w:pPr>
            <w:r w:rsidRPr="00DE058F">
              <w:rPr>
                <w:color w:val="002060"/>
                <w:sz w:val="18"/>
                <w:lang w:val="sr-Cyrl-CS"/>
              </w:rPr>
              <w:t>-10,1</w:t>
            </w:r>
          </w:p>
        </w:tc>
        <w:tc>
          <w:tcPr>
            <w:tcW w:w="493" w:type="pct"/>
          </w:tcPr>
          <w:p w14:paraId="0016B544" w14:textId="77777777" w:rsidR="00681648" w:rsidRPr="00DE058F" w:rsidRDefault="00681648" w:rsidP="008527D6">
            <w:pPr>
              <w:jc w:val="center"/>
              <w:rPr>
                <w:color w:val="002060"/>
                <w:sz w:val="18"/>
                <w:lang w:val="sr-Cyrl-CS"/>
              </w:rPr>
            </w:pPr>
            <w:r w:rsidRPr="00DE058F">
              <w:rPr>
                <w:color w:val="002060"/>
                <w:sz w:val="18"/>
                <w:lang w:val="sr-Cyrl-CS"/>
              </w:rPr>
              <w:t>-9,3</w:t>
            </w:r>
          </w:p>
        </w:tc>
      </w:tr>
      <w:tr w:rsidR="00681648" w:rsidRPr="00DE058F" w14:paraId="583BB1E3" w14:textId="77777777" w:rsidTr="008527D6">
        <w:tc>
          <w:tcPr>
            <w:tcW w:w="2483" w:type="pct"/>
          </w:tcPr>
          <w:p w14:paraId="3B0D4C3A" w14:textId="77777777" w:rsidR="00681648" w:rsidRPr="00DE058F" w:rsidRDefault="00681648" w:rsidP="008527D6">
            <w:pPr>
              <w:ind w:left="-15"/>
              <w:rPr>
                <w:rFonts w:cstheme="minorHAnsi"/>
                <w:color w:val="002060"/>
                <w:sz w:val="18"/>
                <w:szCs w:val="18"/>
                <w:lang w:val="sr-Cyrl-CS"/>
              </w:rPr>
            </w:pPr>
            <w:r w:rsidRPr="00DE058F">
              <w:rPr>
                <w:rFonts w:cstheme="minorHAnsi"/>
                <w:color w:val="002060"/>
                <w:sz w:val="18"/>
                <w:szCs w:val="18"/>
                <w:lang w:val="sr-Cyrl-CS"/>
              </w:rPr>
              <w:t>Салдо текућег рачуна, у ЕУР, % БДП</w:t>
            </w:r>
          </w:p>
        </w:tc>
        <w:tc>
          <w:tcPr>
            <w:tcW w:w="499" w:type="pct"/>
          </w:tcPr>
          <w:p w14:paraId="08321EB1"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-6,7</w:t>
            </w:r>
          </w:p>
        </w:tc>
        <w:tc>
          <w:tcPr>
            <w:tcW w:w="499" w:type="pct"/>
          </w:tcPr>
          <w:p w14:paraId="05D0107F" w14:textId="77777777" w:rsidR="00681648" w:rsidRPr="00DE058F" w:rsidRDefault="00681648" w:rsidP="008527D6">
            <w:pPr>
              <w:jc w:val="center"/>
              <w:rPr>
                <w:rFonts w:cstheme="minorHAnsi"/>
                <w:color w:val="002060"/>
                <w:sz w:val="18"/>
                <w:szCs w:val="18"/>
                <w:lang w:val="sr-Cyrl-CS"/>
              </w:rPr>
            </w:pPr>
          </w:p>
        </w:tc>
        <w:tc>
          <w:tcPr>
            <w:tcW w:w="524" w:type="pct"/>
            <w:tcBorders>
              <w:top w:val="nil"/>
              <w:left w:val="nil"/>
              <w:bottom w:val="nil"/>
              <w:right w:val="nil"/>
            </w:tcBorders>
            <w:shd w:val="clear" w:color="000000" w:fill="FFFFFF"/>
            <w:vAlign w:val="bottom"/>
          </w:tcPr>
          <w:p w14:paraId="1A15815A"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-6,9</w:t>
            </w:r>
          </w:p>
        </w:tc>
        <w:tc>
          <w:tcPr>
            <w:tcW w:w="502" w:type="pct"/>
            <w:tcBorders>
              <w:top w:val="nil"/>
              <w:left w:val="nil"/>
              <w:bottom w:val="nil"/>
              <w:right w:val="nil"/>
            </w:tcBorders>
            <w:shd w:val="clear" w:color="000000" w:fill="FFFFFF"/>
            <w:vAlign w:val="bottom"/>
          </w:tcPr>
          <w:p w14:paraId="4610096D"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-6,4</w:t>
            </w:r>
          </w:p>
        </w:tc>
        <w:tc>
          <w:tcPr>
            <w:tcW w:w="493" w:type="pct"/>
            <w:tcBorders>
              <w:top w:val="nil"/>
              <w:left w:val="nil"/>
              <w:bottom w:val="nil"/>
              <w:right w:val="nil"/>
            </w:tcBorders>
            <w:shd w:val="clear" w:color="000000" w:fill="FFFFFF"/>
            <w:vAlign w:val="bottom"/>
          </w:tcPr>
          <w:p w14:paraId="7046691F"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-6,0</w:t>
            </w:r>
          </w:p>
        </w:tc>
      </w:tr>
      <w:tr w:rsidR="00681648" w:rsidRPr="00DE058F" w14:paraId="23D4936B" w14:textId="77777777" w:rsidTr="008527D6">
        <w:trPr>
          <w:trHeight w:val="193"/>
        </w:trPr>
        <w:tc>
          <w:tcPr>
            <w:tcW w:w="2483" w:type="pct"/>
            <w:tcBorders>
              <w:bottom w:val="single" w:sz="4" w:space="0" w:color="002060"/>
            </w:tcBorders>
          </w:tcPr>
          <w:p w14:paraId="05243366" w14:textId="77777777" w:rsidR="00681648" w:rsidRPr="00DE058F" w:rsidRDefault="00681648" w:rsidP="008527D6">
            <w:pPr>
              <w:rPr>
                <w:rFonts w:cstheme="minorHAnsi"/>
                <w:color w:val="002060"/>
                <w:sz w:val="18"/>
                <w:szCs w:val="18"/>
                <w:lang w:val="sr-Cyrl-CS"/>
              </w:rPr>
            </w:pPr>
            <w:r w:rsidRPr="00DE058F">
              <w:rPr>
                <w:rFonts w:cstheme="minorHAnsi"/>
                <w:color w:val="002060"/>
                <w:sz w:val="18"/>
                <w:szCs w:val="18"/>
                <w:lang w:val="sr-Cyrl-CS"/>
              </w:rPr>
              <w:t>Инфлација, просек периода, %</w:t>
            </w:r>
          </w:p>
        </w:tc>
        <w:tc>
          <w:tcPr>
            <w:tcW w:w="499" w:type="pct"/>
            <w:tcBorders>
              <w:bottom w:val="single" w:sz="4" w:space="0" w:color="002060"/>
            </w:tcBorders>
          </w:tcPr>
          <w:p w14:paraId="58D4930A" w14:textId="77777777" w:rsidR="00681648" w:rsidRPr="00DE058F" w:rsidRDefault="00681648" w:rsidP="008527D6">
            <w:pPr>
              <w:jc w:val="center"/>
              <w:rPr>
                <w:rFonts w:cstheme="minorHAnsi"/>
                <w:color w:val="002060"/>
                <w:sz w:val="18"/>
                <w:szCs w:val="18"/>
                <w:lang w:val="sr-Cyrl-CS"/>
              </w:rPr>
            </w:pPr>
            <w:r w:rsidRPr="00DE058F">
              <w:rPr>
                <w:rFonts w:cstheme="minorHAnsi"/>
                <w:color w:val="002060"/>
                <w:sz w:val="18"/>
                <w:szCs w:val="18"/>
                <w:lang w:val="sr-Cyrl-CS"/>
              </w:rPr>
              <w:t>9,2</w:t>
            </w:r>
          </w:p>
        </w:tc>
        <w:tc>
          <w:tcPr>
            <w:tcW w:w="499" w:type="pct"/>
            <w:tcBorders>
              <w:top w:val="nil"/>
              <w:left w:val="nil"/>
              <w:bottom w:val="nil"/>
              <w:right w:val="nil"/>
            </w:tcBorders>
            <w:shd w:val="clear" w:color="auto" w:fill="auto"/>
          </w:tcPr>
          <w:p w14:paraId="6E19CF4E" w14:textId="77777777" w:rsidR="00681648" w:rsidRPr="00DE058F" w:rsidRDefault="00681648" w:rsidP="008527D6">
            <w:pPr>
              <w:jc w:val="center"/>
              <w:rPr>
                <w:rFonts w:cstheme="minorHAnsi"/>
                <w:color w:val="002060"/>
                <w:sz w:val="18"/>
                <w:szCs w:val="18"/>
                <w:lang w:val="sr-Cyrl-CS"/>
              </w:rPr>
            </w:pPr>
          </w:p>
        </w:tc>
        <w:tc>
          <w:tcPr>
            <w:tcW w:w="524" w:type="pct"/>
            <w:tcBorders>
              <w:top w:val="nil"/>
              <w:left w:val="nil"/>
              <w:bottom w:val="nil"/>
              <w:right w:val="nil"/>
            </w:tcBorders>
            <w:shd w:val="clear" w:color="auto" w:fill="auto"/>
          </w:tcPr>
          <w:p w14:paraId="6F32DA05" w14:textId="77777777" w:rsidR="00681648" w:rsidRPr="00DE058F" w:rsidRDefault="00681648" w:rsidP="008527D6">
            <w:pPr>
              <w:jc w:val="center"/>
              <w:rPr>
                <w:color w:val="002060"/>
                <w:sz w:val="18"/>
                <w:lang w:val="sr-Cyrl-CS"/>
              </w:rPr>
            </w:pPr>
            <w:r w:rsidRPr="00DE058F">
              <w:rPr>
                <w:color w:val="002060"/>
                <w:sz w:val="18"/>
                <w:lang w:val="sr-Cyrl-CS"/>
              </w:rPr>
              <w:t>5,3</w:t>
            </w:r>
          </w:p>
        </w:tc>
        <w:tc>
          <w:tcPr>
            <w:tcW w:w="502" w:type="pct"/>
            <w:tcBorders>
              <w:top w:val="nil"/>
              <w:left w:val="nil"/>
              <w:bottom w:val="nil"/>
              <w:right w:val="nil"/>
            </w:tcBorders>
            <w:shd w:val="clear" w:color="auto" w:fill="auto"/>
          </w:tcPr>
          <w:p w14:paraId="0CE2E73C" w14:textId="77777777" w:rsidR="00681648" w:rsidRPr="00DE058F" w:rsidRDefault="00681648" w:rsidP="008527D6">
            <w:pPr>
              <w:jc w:val="center"/>
              <w:rPr>
                <w:color w:val="002060"/>
                <w:sz w:val="18"/>
                <w:lang w:val="sr-Cyrl-CS"/>
              </w:rPr>
            </w:pPr>
            <w:r w:rsidRPr="00DE058F">
              <w:rPr>
                <w:color w:val="002060"/>
                <w:sz w:val="18"/>
                <w:lang w:val="sr-Cyrl-CS"/>
              </w:rPr>
              <w:t>3,0</w:t>
            </w:r>
          </w:p>
        </w:tc>
        <w:tc>
          <w:tcPr>
            <w:tcW w:w="493" w:type="pct"/>
            <w:tcBorders>
              <w:top w:val="nil"/>
              <w:left w:val="nil"/>
              <w:bottom w:val="nil"/>
              <w:right w:val="nil"/>
            </w:tcBorders>
            <w:shd w:val="clear" w:color="auto" w:fill="auto"/>
          </w:tcPr>
          <w:p w14:paraId="77CD8E2F" w14:textId="77777777" w:rsidR="00681648" w:rsidRPr="00DE058F" w:rsidRDefault="00681648" w:rsidP="008527D6">
            <w:pPr>
              <w:jc w:val="center"/>
              <w:rPr>
                <w:color w:val="002060"/>
                <w:sz w:val="18"/>
                <w:lang w:val="sr-Cyrl-CS"/>
              </w:rPr>
            </w:pPr>
            <w:r w:rsidRPr="00DE058F">
              <w:rPr>
                <w:color w:val="002060"/>
                <w:sz w:val="18"/>
                <w:lang w:val="sr-Cyrl-CS"/>
              </w:rPr>
              <w:t>3,0</w:t>
            </w:r>
          </w:p>
        </w:tc>
      </w:tr>
      <w:tr w:rsidR="00681648" w:rsidRPr="00DE058F" w14:paraId="25C82AF8" w14:textId="77777777" w:rsidTr="00B435B3">
        <w:tc>
          <w:tcPr>
            <w:tcW w:w="2483" w:type="pct"/>
            <w:tcBorders>
              <w:top w:val="single" w:sz="4" w:space="0" w:color="002060"/>
            </w:tcBorders>
          </w:tcPr>
          <w:p w14:paraId="2D282A8B" w14:textId="77777777" w:rsidR="00681648" w:rsidRPr="00DE058F" w:rsidRDefault="00681648" w:rsidP="00FA6BD0">
            <w:pPr>
              <w:rPr>
                <w:rFonts w:cstheme="minorHAnsi"/>
                <w:sz w:val="16"/>
                <w:lang w:val="sr-Cyrl-CS"/>
              </w:rPr>
            </w:pPr>
            <w:r w:rsidRPr="00DE058F">
              <w:rPr>
                <w:rFonts w:cstheme="minorHAnsi"/>
                <w:sz w:val="16"/>
                <w:lang w:val="sr-Cyrl-CS"/>
              </w:rPr>
              <w:t>Извор: Министарство финансија</w:t>
            </w:r>
          </w:p>
        </w:tc>
        <w:tc>
          <w:tcPr>
            <w:tcW w:w="499" w:type="pct"/>
            <w:tcBorders>
              <w:top w:val="single" w:sz="4" w:space="0" w:color="002060"/>
            </w:tcBorders>
          </w:tcPr>
          <w:p w14:paraId="78F4D296" w14:textId="77777777" w:rsidR="00681648" w:rsidRPr="00DE058F" w:rsidRDefault="00681648" w:rsidP="008527D6">
            <w:pPr>
              <w:rPr>
                <w:rFonts w:cstheme="minorHAnsi"/>
                <w:sz w:val="16"/>
                <w:lang w:val="sr-Cyrl-CS"/>
              </w:rPr>
            </w:pPr>
          </w:p>
        </w:tc>
        <w:tc>
          <w:tcPr>
            <w:tcW w:w="499" w:type="pct"/>
            <w:tcBorders>
              <w:top w:val="single" w:sz="4" w:space="0" w:color="002060"/>
            </w:tcBorders>
          </w:tcPr>
          <w:p w14:paraId="633FB841" w14:textId="77777777" w:rsidR="00681648" w:rsidRPr="00DE058F" w:rsidRDefault="00681648" w:rsidP="008527D6">
            <w:pPr>
              <w:rPr>
                <w:rFonts w:cstheme="minorHAnsi"/>
                <w:sz w:val="16"/>
                <w:lang w:val="sr-Cyrl-CS"/>
              </w:rPr>
            </w:pPr>
          </w:p>
        </w:tc>
        <w:tc>
          <w:tcPr>
            <w:tcW w:w="524" w:type="pct"/>
            <w:tcBorders>
              <w:top w:val="single" w:sz="4" w:space="0" w:color="002060"/>
            </w:tcBorders>
          </w:tcPr>
          <w:p w14:paraId="1E8C87E2" w14:textId="77777777" w:rsidR="00681648" w:rsidRPr="00DE058F" w:rsidRDefault="00681648" w:rsidP="008527D6">
            <w:pPr>
              <w:rPr>
                <w:rFonts w:cstheme="minorHAnsi"/>
                <w:sz w:val="16"/>
                <w:lang w:val="sr-Cyrl-CS"/>
              </w:rPr>
            </w:pPr>
          </w:p>
        </w:tc>
        <w:tc>
          <w:tcPr>
            <w:tcW w:w="502" w:type="pct"/>
            <w:tcBorders>
              <w:top w:val="single" w:sz="4" w:space="0" w:color="002060"/>
            </w:tcBorders>
          </w:tcPr>
          <w:p w14:paraId="10459CA8" w14:textId="77777777" w:rsidR="00681648" w:rsidRPr="00DE058F" w:rsidRDefault="00681648" w:rsidP="008527D6">
            <w:pPr>
              <w:rPr>
                <w:rFonts w:cstheme="minorHAnsi"/>
                <w:sz w:val="16"/>
                <w:lang w:val="sr-Cyrl-CS"/>
              </w:rPr>
            </w:pPr>
          </w:p>
        </w:tc>
        <w:tc>
          <w:tcPr>
            <w:tcW w:w="493" w:type="pct"/>
            <w:tcBorders>
              <w:top w:val="single" w:sz="4" w:space="0" w:color="002060"/>
            </w:tcBorders>
          </w:tcPr>
          <w:p w14:paraId="59978B4F" w14:textId="77777777" w:rsidR="00681648" w:rsidRPr="00DE058F" w:rsidRDefault="00681648" w:rsidP="008527D6">
            <w:pPr>
              <w:rPr>
                <w:rFonts w:cstheme="minorHAnsi"/>
                <w:sz w:val="16"/>
                <w:lang w:val="sr-Cyrl-CS"/>
              </w:rPr>
            </w:pPr>
          </w:p>
        </w:tc>
      </w:tr>
    </w:tbl>
    <w:p w14:paraId="0B253AB2" w14:textId="77777777" w:rsidR="00681648" w:rsidRPr="00DE058F" w:rsidRDefault="00681648" w:rsidP="00B435B3">
      <w:pPr>
        <w:spacing w:after="0"/>
        <w:jc w:val="center"/>
        <w:rPr>
          <w:rFonts w:cstheme="minorHAnsi"/>
          <w:b/>
          <w:sz w:val="16"/>
          <w:lang w:val="sr-Cyrl-CS"/>
        </w:rPr>
        <w:sectPr w:rsidR="00681648" w:rsidRPr="00DE058F" w:rsidSect="00AB121A">
          <w:type w:val="continuous"/>
          <w:pgSz w:w="12240" w:h="15840"/>
          <w:pgMar w:top="1440" w:right="1440" w:bottom="1440" w:left="1440" w:header="720" w:footer="720" w:gutter="0"/>
          <w:cols w:space="720"/>
          <w:docGrid w:linePitch="360"/>
        </w:sectPr>
      </w:pPr>
    </w:p>
    <w:p w14:paraId="2E4986E5" w14:textId="77777777" w:rsidR="00681648" w:rsidRPr="00DE058F" w:rsidRDefault="00681648" w:rsidP="008527D6">
      <w:pPr>
        <w:rPr>
          <w:rFonts w:cstheme="minorHAnsi"/>
          <w:bCs/>
          <w:szCs w:val="72"/>
          <w:lang w:val="sr-Cyrl-CS"/>
        </w:rPr>
      </w:pPr>
      <w:r w:rsidRPr="00DE058F">
        <w:rPr>
          <w:rFonts w:cstheme="minorHAnsi"/>
          <w:bCs/>
          <w:szCs w:val="72"/>
          <w:lang w:val="sr-Cyrl-CS"/>
        </w:rPr>
        <w:lastRenderedPageBreak/>
        <w:t>Посматрано по агрегатима употребе раст БДП у 2023. години ће у потпуности бити опредељен домаћом тражњом, док ће нето извоз имати неутралан допринос.</w:t>
      </w:r>
    </w:p>
    <w:p w14:paraId="55C8DCED" w14:textId="77777777" w:rsidR="00681648" w:rsidRPr="00DE058F" w:rsidRDefault="00681648" w:rsidP="008527D6">
      <w:pPr>
        <w:rPr>
          <w:rFonts w:cstheme="minorHAnsi"/>
          <w:bCs/>
          <w:szCs w:val="72"/>
          <w:lang w:val="sr-Cyrl-CS"/>
        </w:rPr>
      </w:pPr>
      <w:r w:rsidRPr="00DE058F">
        <w:rPr>
          <w:rFonts w:cstheme="minorHAnsi"/>
          <w:bCs/>
          <w:szCs w:val="72"/>
          <w:lang w:val="sr-Cyrl-CS"/>
        </w:rPr>
        <w:t>Све три компоненте домаће тражње позитивно ће утицати на раст економске активности. Очекивано реално повећање зарада, како у приватном тако и у јавном сектору, већа запосленост и стабилан раст пензија, резултираће растом личне потрошње од 3,8% и следствено највећем учешћу овог агрегата у БДП, допринеће повећању економске активности за 2,6 п.п. Геополитичке тензије и аверзија према ризику имаће за последицу спорију динамику инвестиција, што је условило ревизију наниже стопе раста инвестиција, са 8,1% на 6,1%. Динамика инвестиционе активности биће у потпуности опредељена приватним инвестицијама и даљим повећањем производних капацитета привреде, пре свега у секторима који производе разменљива добра, док ће допринос јавних инвестиција бити готово неутралан. Благи позитиван допринос расту БДП у 2023. години од 0,1 п.п. доћи ће и од државне потрошње.</w:t>
      </w:r>
      <w:r w:rsidRPr="00DE058F">
        <w:rPr>
          <w:rFonts w:cstheme="minorHAnsi"/>
          <w:bCs/>
          <w:color w:val="A6A6A6" w:themeColor="background1" w:themeShade="A6"/>
          <w:szCs w:val="72"/>
          <w:lang w:val="sr-Cyrl-CS"/>
        </w:rPr>
        <w:t xml:space="preserve"> </w:t>
      </w:r>
      <w:r w:rsidRPr="00DE058F">
        <w:rPr>
          <w:rFonts w:cstheme="minorHAnsi"/>
          <w:bCs/>
          <w:szCs w:val="72"/>
          <w:lang w:val="sr-Cyrl-CS"/>
        </w:rPr>
        <w:t>За разлику од претходне пројекције, када се очекивао позитиван допринос нето извоза, у текућој пројекцији за 2023. годину под утицајем међународног окружења прогнозира се да ће овај допринос бити неутралан</w:t>
      </w:r>
      <w:r w:rsidRPr="00DE058F">
        <w:rPr>
          <w:rFonts w:cstheme="minorHAnsi"/>
          <w:bCs/>
          <w:color w:val="A6A6A6" w:themeColor="background1" w:themeShade="A6"/>
          <w:szCs w:val="72"/>
          <w:lang w:val="sr-Cyrl-CS"/>
        </w:rPr>
        <w:t>.</w:t>
      </w:r>
    </w:p>
    <w:p w14:paraId="15D052DB" w14:textId="77777777" w:rsidR="00681648" w:rsidRPr="00DE058F" w:rsidRDefault="00681648" w:rsidP="008527D6">
      <w:pPr>
        <w:pStyle w:val="NoSpacing"/>
        <w:spacing w:after="120"/>
        <w:jc w:val="center"/>
        <w:rPr>
          <w:rFonts w:cstheme="minorHAnsi"/>
          <w:color w:val="002060"/>
          <w:lang w:val="sr-Cyrl-CS"/>
        </w:rPr>
      </w:pPr>
      <w:r w:rsidRPr="00DE058F">
        <w:rPr>
          <w:rFonts w:cstheme="minorHAnsi"/>
          <w:color w:val="002060"/>
          <w:lang w:val="sr-Cyrl-CS"/>
        </w:rPr>
        <w:t xml:space="preserve">Доприноси стопи реалног раста БДП, </w:t>
      </w:r>
      <w:r w:rsidRPr="00DE058F">
        <w:rPr>
          <w:rFonts w:cstheme="minorHAnsi"/>
          <w:color w:val="002060"/>
          <w:lang w:val="sr-Cyrl-CS"/>
        </w:rPr>
        <w:br/>
        <w:t>расходни приступ, п.п.</w:t>
      </w:r>
    </w:p>
    <w:p w14:paraId="74075E77" w14:textId="77777777" w:rsidR="00681648" w:rsidRPr="00DE058F" w:rsidRDefault="00681648" w:rsidP="008527D6">
      <w:pPr>
        <w:pStyle w:val="NoSpacing"/>
        <w:spacing w:after="80"/>
        <w:jc w:val="center"/>
        <w:rPr>
          <w:rFonts w:cstheme="minorHAnsi"/>
          <w:color w:val="44546A" w:themeColor="text2"/>
          <w:sz w:val="16"/>
          <w:lang w:val="sr-Cyrl-CS"/>
        </w:rPr>
      </w:pPr>
      <w:r w:rsidRPr="00DE058F">
        <w:rPr>
          <w:noProof/>
        </w:rPr>
        <w:drawing>
          <wp:inline distT="0" distB="0" distL="0" distR="0" wp14:anchorId="572E81DC" wp14:editId="2E38B727">
            <wp:extent cx="2743200" cy="2318919"/>
            <wp:effectExtent l="0" t="0" r="0" b="5715"/>
            <wp:docPr id="38" name="Chart 38">
              <a:extLst xmlns:a="http://schemas.openxmlformats.org/drawingml/2006/main">
                <a:ext uri="{FF2B5EF4-FFF2-40B4-BE49-F238E27FC236}">
                  <a16:creationId xmlns:a16="http://schemas.microsoft.com/office/drawing/2014/main" id="{00000000-0008-0000-0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59C0034D" w14:textId="77777777" w:rsidR="00681648" w:rsidRPr="00DE058F" w:rsidRDefault="00681648" w:rsidP="00B435B3">
      <w:pPr>
        <w:rPr>
          <w:rFonts w:cstheme="minorHAnsi"/>
          <w:sz w:val="16"/>
          <w:lang w:val="sr-Cyrl-CS"/>
        </w:rPr>
      </w:pPr>
      <w:r w:rsidRPr="00DE058F">
        <w:rPr>
          <w:rFonts w:cstheme="minorHAnsi"/>
          <w:sz w:val="16"/>
          <w:lang w:val="sr-Cyrl-CS"/>
        </w:rPr>
        <w:t>Извор: Министарство финансија</w:t>
      </w:r>
    </w:p>
    <w:p w14:paraId="364B756B" w14:textId="209E04D2" w:rsidR="00681648" w:rsidRPr="00DE058F" w:rsidRDefault="00681648" w:rsidP="008217BC">
      <w:pPr>
        <w:rPr>
          <w:rFonts w:cstheme="minorHAnsi"/>
          <w:bCs/>
          <w:szCs w:val="72"/>
          <w:lang w:val="sr-Cyrl-CS"/>
        </w:rPr>
      </w:pPr>
      <w:r w:rsidRPr="00DE058F">
        <w:rPr>
          <w:rFonts w:cstheme="minorHAnsi"/>
          <w:bCs/>
          <w:szCs w:val="72"/>
          <w:lang w:val="sr-Cyrl-CS"/>
        </w:rPr>
        <w:t xml:space="preserve">Посматрано са производне стране, повећање креиране БДВ очекује се код свих привредних </w:t>
      </w:r>
      <w:r w:rsidRPr="00DE058F">
        <w:rPr>
          <w:rFonts w:cstheme="minorHAnsi"/>
          <w:bCs/>
          <w:szCs w:val="72"/>
          <w:lang w:val="sr-Cyrl-CS"/>
        </w:rPr>
        <w:t>сектора</w:t>
      </w:r>
      <w:r w:rsidR="005A64A7" w:rsidRPr="00DE058F">
        <w:rPr>
          <w:rFonts w:cstheme="minorHAnsi"/>
          <w:bCs/>
          <w:szCs w:val="72"/>
          <w:lang w:val="sr-Cyrl-CS"/>
        </w:rPr>
        <w:t>,</w:t>
      </w:r>
      <w:r w:rsidRPr="00DE058F">
        <w:rPr>
          <w:rFonts w:cstheme="minorHAnsi"/>
          <w:bCs/>
          <w:szCs w:val="72"/>
          <w:lang w:val="sr-Cyrl-CS"/>
        </w:rPr>
        <w:t xml:space="preserve"> као и у претходној пројекцији, али споријим темпом.</w:t>
      </w:r>
    </w:p>
    <w:p w14:paraId="07E4588D" w14:textId="5F0326E2" w:rsidR="00681648" w:rsidRPr="00DE058F" w:rsidRDefault="00681648" w:rsidP="008217BC">
      <w:pPr>
        <w:rPr>
          <w:rFonts w:cstheme="minorHAnsi"/>
          <w:bCs/>
          <w:szCs w:val="72"/>
          <w:lang w:val="sr-Cyrl-CS"/>
        </w:rPr>
      </w:pPr>
      <w:r w:rsidRPr="00DE058F">
        <w:rPr>
          <w:rFonts w:cstheme="minorHAnsi"/>
          <w:bCs/>
          <w:szCs w:val="72"/>
          <w:lang w:val="sr-Cyrl-CS"/>
        </w:rPr>
        <w:t>Услужни сектор ће у 2023. години имати улогу доминантног носиоца раста економске активности. Раст би треба</w:t>
      </w:r>
      <w:r w:rsidR="00815CC2" w:rsidRPr="00DE058F">
        <w:rPr>
          <w:rFonts w:cstheme="minorHAnsi"/>
          <w:bCs/>
          <w:szCs w:val="72"/>
          <w:lang w:val="sr-Cyrl-CS"/>
        </w:rPr>
        <w:t>л</w:t>
      </w:r>
      <w:r w:rsidRPr="00DE058F">
        <w:rPr>
          <w:rFonts w:cstheme="minorHAnsi"/>
          <w:bCs/>
          <w:szCs w:val="72"/>
          <w:lang w:val="sr-Cyrl-CS"/>
        </w:rPr>
        <w:t>о да буде диверсификован и остварен у већини услужних делатности а посебно снажан у ИКТ сектору, трговини и саобраћају, као и туризму и угоститељству.</w:t>
      </w:r>
      <w:r w:rsidRPr="00DE058F">
        <w:rPr>
          <w:rFonts w:cstheme="minorHAnsi"/>
          <w:bCs/>
          <w:color w:val="A6A6A6" w:themeColor="background1" w:themeShade="A6"/>
          <w:szCs w:val="72"/>
          <w:lang w:val="sr-Cyrl-CS"/>
        </w:rPr>
        <w:t xml:space="preserve"> </w:t>
      </w:r>
      <w:r w:rsidRPr="00DE058F">
        <w:rPr>
          <w:rFonts w:cstheme="minorHAnsi"/>
          <w:bCs/>
          <w:szCs w:val="72"/>
          <w:lang w:val="sr-Cyrl-CS"/>
        </w:rPr>
        <w:t>Укупна индустрија ће пре свега услед активирања нових производних капацитета, али и ниске базе у производњи електричне енергије, наставити са растом и током 2023. године и забележити повећање од 5,1%. Убрзања приватне грађевинске оперативе, али и наставак реализације инфраструктурних пројеката резултираће умереним растом грађевинарства од 5,5% у 2023. години. За сектор пољопривреде, под претпоставком просечних агрометеоролошких услова уз задржавање тренда повећања продуктивности, пројектован је неутралан допринос расту БДП.</w:t>
      </w:r>
    </w:p>
    <w:p w14:paraId="7C0A964D" w14:textId="77777777" w:rsidR="00681648" w:rsidRPr="00DE058F" w:rsidRDefault="00681648" w:rsidP="008527D6">
      <w:pPr>
        <w:pStyle w:val="NoSpacing"/>
        <w:spacing w:after="120"/>
        <w:jc w:val="center"/>
        <w:rPr>
          <w:rFonts w:cstheme="minorHAnsi"/>
          <w:color w:val="002060"/>
          <w:lang w:val="sr-Cyrl-CS"/>
        </w:rPr>
      </w:pPr>
      <w:r w:rsidRPr="00DE058F">
        <w:rPr>
          <w:rFonts w:cstheme="minorHAnsi"/>
          <w:color w:val="002060"/>
          <w:lang w:val="sr-Cyrl-CS"/>
        </w:rPr>
        <w:t>Доприноси стопи реалног раста БДП, производни приступ, п.п.</w:t>
      </w:r>
    </w:p>
    <w:p w14:paraId="3D34FB70" w14:textId="77777777" w:rsidR="00681648" w:rsidRPr="00DE058F" w:rsidRDefault="00681648" w:rsidP="008527D6">
      <w:pPr>
        <w:spacing w:after="80"/>
        <w:rPr>
          <w:lang w:val="sr-Cyrl-CS"/>
        </w:rPr>
      </w:pPr>
      <w:r w:rsidRPr="00DE058F">
        <w:rPr>
          <w:noProof/>
        </w:rPr>
        <w:drawing>
          <wp:inline distT="0" distB="0" distL="0" distR="0" wp14:anchorId="50D73207" wp14:editId="6AA70EBB">
            <wp:extent cx="2743200" cy="2296973"/>
            <wp:effectExtent l="0" t="0" r="0" b="8255"/>
            <wp:docPr id="40" name="Chart 40">
              <a:extLst xmlns:a="http://schemas.openxmlformats.org/drawingml/2006/main">
                <a:ext uri="{FF2B5EF4-FFF2-40B4-BE49-F238E27FC236}">
                  <a16:creationId xmlns:a16="http://schemas.microsoft.com/office/drawing/2014/main" id="{00000000-0008-0000-0A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349ECE15" w14:textId="77777777" w:rsidR="00681648" w:rsidRPr="00DE058F" w:rsidRDefault="00681648" w:rsidP="008217BC">
      <w:pPr>
        <w:rPr>
          <w:rFonts w:cstheme="minorHAnsi"/>
          <w:sz w:val="16"/>
          <w:lang w:val="sr-Cyrl-CS"/>
        </w:rPr>
      </w:pPr>
      <w:r w:rsidRPr="00DE058F">
        <w:rPr>
          <w:rFonts w:cstheme="minorHAnsi"/>
          <w:sz w:val="16"/>
          <w:lang w:val="sr-Cyrl-CS"/>
        </w:rPr>
        <w:t>Извор: Министарство финансија</w:t>
      </w:r>
    </w:p>
    <w:p w14:paraId="4B54BFAA" w14:textId="060D9CFD" w:rsidR="00681648" w:rsidRPr="00DE058F" w:rsidRDefault="00681648" w:rsidP="008217BC">
      <w:pPr>
        <w:rPr>
          <w:rFonts w:cstheme="minorHAnsi"/>
          <w:bCs/>
          <w:szCs w:val="72"/>
          <w:lang w:val="sr-Cyrl-CS"/>
        </w:rPr>
      </w:pPr>
      <w:r w:rsidRPr="00DE058F">
        <w:rPr>
          <w:rFonts w:cstheme="minorHAnsi"/>
          <w:bCs/>
          <w:szCs w:val="72"/>
          <w:lang w:val="sr-Cyrl-CS"/>
        </w:rPr>
        <w:t>Према средњорочној макроекономској пројекцији кумулативна стопа раста у периоду 2023–2025. годин</w:t>
      </w:r>
      <w:r w:rsidR="00B9480A" w:rsidRPr="00DE058F">
        <w:rPr>
          <w:rFonts w:cstheme="minorHAnsi"/>
          <w:bCs/>
          <w:szCs w:val="72"/>
          <w:lang w:val="sr-Cyrl-CS"/>
        </w:rPr>
        <w:t>е</w:t>
      </w:r>
      <w:r w:rsidRPr="00DE058F">
        <w:rPr>
          <w:rFonts w:cstheme="minorHAnsi"/>
          <w:bCs/>
          <w:szCs w:val="72"/>
          <w:lang w:val="sr-Cyrl-CS"/>
        </w:rPr>
        <w:t xml:space="preserve"> износиће 13,0% и биће вођена растом домаће тражње, а са опоравком глобалне трговине подржана и благим позитивним доприносом нето извоза</w:t>
      </w:r>
      <w:r w:rsidRPr="00DE058F">
        <w:rPr>
          <w:rFonts w:cstheme="minorHAnsi"/>
          <w:bCs/>
          <w:color w:val="A6A6A6" w:themeColor="background1" w:themeShade="A6"/>
          <w:szCs w:val="72"/>
          <w:lang w:val="sr-Cyrl-CS"/>
        </w:rPr>
        <w:t xml:space="preserve">. </w:t>
      </w:r>
      <w:r w:rsidRPr="00DE058F">
        <w:rPr>
          <w:rFonts w:cstheme="minorHAnsi"/>
          <w:bCs/>
          <w:szCs w:val="72"/>
          <w:lang w:val="sr-Cyrl-CS"/>
        </w:rPr>
        <w:t>Овај извор раста је детерминисан како перманентним повећањем инвестиција</w:t>
      </w:r>
      <w:r w:rsidR="00815CC2" w:rsidRPr="00DE058F">
        <w:rPr>
          <w:rFonts w:cstheme="minorHAnsi"/>
          <w:bCs/>
          <w:szCs w:val="72"/>
          <w:lang w:val="sr-Cyrl-CS"/>
        </w:rPr>
        <w:t>,</w:t>
      </w:r>
      <w:r w:rsidRPr="00DE058F">
        <w:rPr>
          <w:rFonts w:cstheme="minorHAnsi"/>
          <w:bCs/>
          <w:szCs w:val="72"/>
          <w:lang w:val="sr-Cyrl-CS"/>
        </w:rPr>
        <w:t xml:space="preserve"> тако и растом потрошње домаћинстава услед раста животног стандарда </w:t>
      </w:r>
      <w:r w:rsidRPr="00DE058F">
        <w:rPr>
          <w:rFonts w:cstheme="minorHAnsi"/>
          <w:bCs/>
          <w:szCs w:val="72"/>
          <w:lang w:val="sr-Cyrl-CS"/>
        </w:rPr>
        <w:lastRenderedPageBreak/>
        <w:t>становништва. Просечно годишње, српска привреда ће расти по стопи од 4,2%</w:t>
      </w:r>
      <w:r w:rsidR="00291CA6" w:rsidRPr="00DE058F">
        <w:rPr>
          <w:rFonts w:cstheme="minorHAnsi"/>
          <w:bCs/>
          <w:szCs w:val="72"/>
          <w:lang w:val="sr-Cyrl-CS"/>
        </w:rPr>
        <w:t>,</w:t>
      </w:r>
      <w:r w:rsidRPr="00DE058F">
        <w:rPr>
          <w:rFonts w:cstheme="minorHAnsi"/>
          <w:bCs/>
          <w:szCs w:val="72"/>
          <w:lang w:val="sr-Cyrl-CS"/>
        </w:rPr>
        <w:t xml:space="preserve"> што је ревизија наниже за 0,8 п.п. у односу на ранија очекивања услед оцењеног утицаја дешавања у међународном окружењу. Повећање приватне потрошње пројектовано је по нижој стопи од убрзања привредне активности и у просеку ће износити 3,3%. Очекује се стабилан раст инвестиција, мада спорији него што се претходно очекивало и у просеку износиће 6,8% годишње, што ће постепено подизати њихово учешће у структури БДП које би на крају пројекцијског периода требало да износи око 25%.</w:t>
      </w:r>
      <w:r w:rsidRPr="00DE058F">
        <w:rPr>
          <w:rFonts w:cstheme="minorHAnsi"/>
          <w:bCs/>
          <w:color w:val="A6A6A6" w:themeColor="background1" w:themeShade="A6"/>
          <w:szCs w:val="72"/>
          <w:lang w:val="sr-Cyrl-CS"/>
        </w:rPr>
        <w:t xml:space="preserve"> </w:t>
      </w:r>
      <w:r w:rsidRPr="00DE058F">
        <w:rPr>
          <w:rFonts w:cstheme="minorHAnsi"/>
          <w:bCs/>
          <w:szCs w:val="72"/>
          <w:lang w:val="sr-Cyrl-CS"/>
        </w:rPr>
        <w:t>Са активирањем нових производних капацитета и опоравком спољне тражње повећаваће се и обим спољнотрговинске размене. Поред тога, ефектуирање СДИ из претходног периода допринеће повећању конкуренције и утицати на ефикасност домаћих произвођача, док ће са друге стране бити активирани нови канали продаје и отворене нове тржишне нише. Извоз ће у просеку годишње расти по стопи од 10,2%, што је брже од очекиваног годишњег раста увоза који ће у просеку износити 8,4%. Посматрано на страни понуде, услужни сектор и индустрија ће задржати улогу доминантних извора раста и повећавати креирану БДВ у просеку годишње за 4,2% и 5,7%, респективно, што је благо погоршање у односу на претходна очекивања. Позитиван допринос ће доћи и од раста грађевинске активности који ће у просеку износити 6,5%. Достизање европских стандарда и подизање конкурентности у пољопривреди, смањиће варијабилност производње овог сектора изазвану агрометеоролошким условима.</w:t>
      </w:r>
    </w:p>
    <w:p w14:paraId="0D49B3E7" w14:textId="02FB5731" w:rsidR="00681648" w:rsidRPr="00DE058F" w:rsidRDefault="00681648" w:rsidP="008217BC">
      <w:pPr>
        <w:rPr>
          <w:rFonts w:cstheme="minorHAnsi"/>
          <w:bCs/>
          <w:szCs w:val="72"/>
          <w:lang w:val="sr-Cyrl-CS"/>
        </w:rPr>
      </w:pPr>
      <w:r w:rsidRPr="00DE058F">
        <w:rPr>
          <w:rFonts w:cstheme="minorHAnsi"/>
          <w:bCs/>
          <w:szCs w:val="72"/>
          <w:lang w:val="sr-Cyrl-CS"/>
        </w:rPr>
        <w:t>Влада и овим трогодишњим сценариом остаје посвећена очувању модела привредног раста који се заснива на инвестицијама и извозу, а који је подржан растом приватне потрошње на реалним и здравим изворима. Удео бруто инвестиција у основна средства у БДП ће на крају 2025. године бити 25,1%</w:t>
      </w:r>
      <w:r w:rsidR="00291CA6" w:rsidRPr="00DE058F">
        <w:rPr>
          <w:rFonts w:cstheme="minorHAnsi"/>
          <w:bCs/>
          <w:szCs w:val="72"/>
          <w:lang w:val="sr-Cyrl-CS"/>
        </w:rPr>
        <w:t>,</w:t>
      </w:r>
      <w:r w:rsidRPr="00DE058F">
        <w:rPr>
          <w:rFonts w:cstheme="minorHAnsi"/>
          <w:bCs/>
          <w:szCs w:val="72"/>
          <w:lang w:val="sr-Cyrl-CS"/>
        </w:rPr>
        <w:t xml:space="preserve"> што је за</w:t>
      </w:r>
      <w:r w:rsidR="001A57BB" w:rsidRPr="00DE058F">
        <w:rPr>
          <w:rFonts w:cstheme="minorHAnsi"/>
          <w:bCs/>
          <w:szCs w:val="72"/>
          <w:lang w:val="sr-Cyrl-CS"/>
        </w:rPr>
        <w:t xml:space="preserve"> око</w:t>
      </w:r>
      <w:r w:rsidRPr="00DE058F">
        <w:rPr>
          <w:rFonts w:cstheme="minorHAnsi"/>
          <w:bCs/>
          <w:szCs w:val="72"/>
          <w:lang w:val="sr-Cyrl-CS"/>
        </w:rPr>
        <w:t xml:space="preserve"> 2,5 п.п. већи удео у односу на предпандемијски ниво. Истовремено ефекти на страни понуде повећаће учешће извоза роба и услуга на око 70% БДП у 2025. години. Државна потрошња ће након скока у пандемијском периоду постепено смањивати своје учешће у БДП, тако да ће на крају </w:t>
      </w:r>
      <w:r w:rsidRPr="00DE058F">
        <w:rPr>
          <w:rFonts w:cstheme="minorHAnsi"/>
          <w:bCs/>
          <w:szCs w:val="72"/>
          <w:lang w:val="sr-Cyrl-CS"/>
        </w:rPr>
        <w:t>пројекцијског периода бити благо испод нивоа из 2019. године.</w:t>
      </w:r>
    </w:p>
    <w:p w14:paraId="5F8761E8" w14:textId="46F5ECF1" w:rsidR="00681648" w:rsidRPr="00DE058F" w:rsidRDefault="00681648" w:rsidP="008217BC">
      <w:pPr>
        <w:rPr>
          <w:rFonts w:cstheme="minorHAnsi"/>
          <w:bCs/>
          <w:szCs w:val="72"/>
          <w:lang w:val="sr-Cyrl-CS"/>
        </w:rPr>
      </w:pPr>
      <w:r w:rsidRPr="00DE058F">
        <w:rPr>
          <w:rFonts w:cstheme="minorHAnsi"/>
          <w:bCs/>
          <w:szCs w:val="72"/>
          <w:lang w:val="sr-Cyrl-CS"/>
        </w:rPr>
        <w:t>Убрзање свих административних процедура, пореско растерећење привреде са циљем подизања њене конкурентности, потписивање споразума којима се обезбеђује очување постојећих и отварање нових ино тржишта, интензивније и ефикасније извођење инфраструктурних радова, очување енергетске стабилности и реализација пројеката из зелене агенде су само неке од мера које треба да обезбеде здраве фундаменте за раст БДП. Дигитална трансформација и изградња дигиталног екосистема остаје стратешка ор</w:t>
      </w:r>
      <w:r w:rsidR="00815CC2" w:rsidRPr="00DE058F">
        <w:rPr>
          <w:rFonts w:cstheme="minorHAnsi"/>
          <w:bCs/>
          <w:szCs w:val="72"/>
          <w:lang w:val="sr-Cyrl-CS"/>
        </w:rPr>
        <w:t>и</w:t>
      </w:r>
      <w:r w:rsidRPr="00DE058F">
        <w:rPr>
          <w:rFonts w:cstheme="minorHAnsi"/>
          <w:bCs/>
          <w:szCs w:val="72"/>
          <w:lang w:val="sr-Cyrl-CS"/>
        </w:rPr>
        <w:t>јентација Владе. Ефикаснији рад државне администрације, скраћивање процедура становништву и привреди са фокусом на дигитализацију убрзаће конвергенцију наше привреде ка развијеним земљама. Нови систем фискализације и измене царинских прописа, смањиће учешће сиве економије у укупним привредним токовима, обезбедити афирмативно конкурентско надметање и побољшати економичност и ефикасност процедура</w:t>
      </w:r>
      <w:r w:rsidRPr="00DE058F">
        <w:rPr>
          <w:rFonts w:cstheme="minorHAnsi"/>
          <w:bCs/>
          <w:color w:val="A6A6A6" w:themeColor="background1" w:themeShade="A6"/>
          <w:szCs w:val="72"/>
          <w:lang w:val="sr-Cyrl-CS"/>
        </w:rPr>
        <w:t>.</w:t>
      </w:r>
      <w:r w:rsidRPr="00DE058F">
        <w:rPr>
          <w:rFonts w:cstheme="minorHAnsi"/>
          <w:bCs/>
          <w:szCs w:val="72"/>
          <w:lang w:val="sr-Cyrl-CS"/>
        </w:rPr>
        <w:t xml:space="preserve"> Механизам подстицаја СДИ и даље ће имати за циљ њихову секторску и регионалну дисперзију како би биле обезбеђене претпоставке равномерног развоја и пуне искоришћености конкурентских предности.</w:t>
      </w:r>
    </w:p>
    <w:p w14:paraId="2AFBA753" w14:textId="7F5DE183" w:rsidR="00681648" w:rsidRPr="00DE058F" w:rsidRDefault="00681648" w:rsidP="008527D6">
      <w:pPr>
        <w:rPr>
          <w:rFonts w:cstheme="minorHAnsi"/>
          <w:bCs/>
          <w:szCs w:val="72"/>
          <w:lang w:val="sr-Cyrl-CS"/>
        </w:rPr>
      </w:pPr>
      <w:r w:rsidRPr="00DE058F">
        <w:rPr>
          <w:rFonts w:cstheme="minorHAnsi"/>
          <w:bCs/>
          <w:szCs w:val="72"/>
          <w:lang w:val="sr-Cyrl-CS"/>
        </w:rPr>
        <w:t xml:space="preserve">Средњорочни сценарио кретања привредне активности Републике Србије праћен је бројним ризицима који су негативно оријентисани пре свега из међународног окружења. Ризици макроекономског оквира у највећој мери потичу од неизвесности у погледу развоја ситуације у Украјини и утицаја нових међународних економских и политичких односа. Кретања цена енергената, глобална ограничења трговине, као и већа неизвесност у односу на тренутна очекивања могу имати значајно већи утицај на домаћу економију. У складу са тим креиран је и алтернативни сценарио који подразумева материјализацију ризика из међународног окружења и последично мање стопе привредног раста, посебно у 2023. години. У том сценарију пошло се од претпоставке већих трошкова енергије за </w:t>
      </w:r>
      <w:r w:rsidR="00FE4613" w:rsidRPr="00DE058F">
        <w:rPr>
          <w:rFonts w:cstheme="minorHAnsi"/>
          <w:bCs/>
          <w:szCs w:val="72"/>
          <w:lang w:val="sr-Cyrl-CS"/>
        </w:rPr>
        <w:t xml:space="preserve">домаће произвођаче и потрошаче </w:t>
      </w:r>
      <w:r w:rsidRPr="00DE058F">
        <w:rPr>
          <w:rFonts w:cstheme="minorHAnsi"/>
          <w:bCs/>
          <w:szCs w:val="72"/>
          <w:lang w:val="sr-Cyrl-CS"/>
        </w:rPr>
        <w:t xml:space="preserve">од тренутно очекиваних, као и додатног смањења спољне тражње, услед мање производне </w:t>
      </w:r>
      <w:r w:rsidRPr="00DE058F">
        <w:rPr>
          <w:rFonts w:cstheme="minorHAnsi"/>
          <w:bCs/>
          <w:szCs w:val="72"/>
          <w:lang w:val="sr-Cyrl-CS"/>
        </w:rPr>
        <w:lastRenderedPageBreak/>
        <w:t xml:space="preserve">активности еврозоне као последице трајног смањења снабдевања руским гасом и додатних поремећаја у ланцима снабдевања. Поред тога, геополитичке напетости биле би дуготрајније него у основном сценарију, што би довело до додатних финансијских поремећаја и </w:t>
      </w:r>
      <w:r w:rsidR="003C66D7" w:rsidRPr="00DE058F">
        <w:rPr>
          <w:rFonts w:cstheme="minorHAnsi"/>
          <w:bCs/>
          <w:szCs w:val="72"/>
          <w:lang w:val="sr-Cyrl-CS"/>
        </w:rPr>
        <w:t xml:space="preserve">веће </w:t>
      </w:r>
      <w:r w:rsidRPr="00DE058F">
        <w:rPr>
          <w:rFonts w:cstheme="minorHAnsi"/>
          <w:bCs/>
          <w:szCs w:val="72"/>
          <w:lang w:val="sr-Cyrl-CS"/>
        </w:rPr>
        <w:t>неизвесности. Ови ризици могли би да се материјализују већ крајем ове године, што би имало за последицу мању стопу раста БДП за 0,5 п.п. у 2022. годин</w:t>
      </w:r>
      <w:r w:rsidR="00FE4613" w:rsidRPr="00DE058F">
        <w:rPr>
          <w:rFonts w:cstheme="minorHAnsi"/>
          <w:bCs/>
          <w:szCs w:val="72"/>
          <w:lang w:val="sr-Cyrl-CS"/>
        </w:rPr>
        <w:t xml:space="preserve">и од оне у основном сценарију. </w:t>
      </w:r>
      <w:r w:rsidRPr="00DE058F">
        <w:rPr>
          <w:rFonts w:cstheme="minorHAnsi"/>
          <w:bCs/>
          <w:szCs w:val="72"/>
          <w:lang w:val="sr-Cyrl-CS"/>
        </w:rPr>
        <w:t>Ипак, највећи утицај био би у 2023. години, будући да би се навед</w:t>
      </w:r>
      <w:r w:rsidR="00FE4613" w:rsidRPr="00DE058F">
        <w:rPr>
          <w:rFonts w:cstheme="minorHAnsi"/>
          <w:bCs/>
          <w:szCs w:val="72"/>
          <w:lang w:val="sr-Cyrl-CS"/>
        </w:rPr>
        <w:t>е</w:t>
      </w:r>
      <w:r w:rsidRPr="00DE058F">
        <w:rPr>
          <w:rFonts w:cstheme="minorHAnsi"/>
          <w:bCs/>
          <w:szCs w:val="72"/>
          <w:lang w:val="sr-Cyrl-CS"/>
        </w:rPr>
        <w:t>ни фактори у највећој мери тада одраз</w:t>
      </w:r>
      <w:r w:rsidR="00FE4613" w:rsidRPr="00DE058F">
        <w:rPr>
          <w:rFonts w:cstheme="minorHAnsi"/>
          <w:bCs/>
          <w:szCs w:val="72"/>
          <w:lang w:val="sr-Cyrl-CS"/>
        </w:rPr>
        <w:t>или</w:t>
      </w:r>
      <w:r w:rsidRPr="00DE058F">
        <w:rPr>
          <w:rFonts w:cstheme="minorHAnsi"/>
          <w:bCs/>
          <w:szCs w:val="72"/>
          <w:lang w:val="sr-Cyrl-CS"/>
        </w:rPr>
        <w:t xml:space="preserve"> на динамику инвестиционе компоненте БДП, извозну активност, као и на приватну потрошњу. Услед тога, у 2023. години у алтернативном сценарију раст би био нижи за 2,0 п.п. у односу на основни. У 2024. и 2025. години разлике у односу на првобитна очекивања биле би мање због постепеног опоравка привреде од шокова и ниже базе.</w:t>
      </w:r>
    </w:p>
    <w:p w14:paraId="134EF405" w14:textId="002F7B64" w:rsidR="00681648" w:rsidRPr="00DE058F" w:rsidRDefault="00681648" w:rsidP="008527D6">
      <w:pPr>
        <w:pStyle w:val="NoSpacing"/>
        <w:spacing w:after="120"/>
        <w:jc w:val="center"/>
        <w:rPr>
          <w:rFonts w:cstheme="minorHAnsi"/>
          <w:color w:val="002060"/>
          <w:lang w:val="sr-Cyrl-CS"/>
        </w:rPr>
      </w:pPr>
      <w:r w:rsidRPr="00DE058F">
        <w:rPr>
          <w:rFonts w:cstheme="minorHAnsi"/>
          <w:color w:val="002060"/>
          <w:lang w:val="sr-Cyrl-CS"/>
        </w:rPr>
        <w:t>Стопе раста БДП у периоду 2022–2025. годин</w:t>
      </w:r>
      <w:r w:rsidR="00287721" w:rsidRPr="00DE058F">
        <w:rPr>
          <w:rFonts w:cstheme="minorHAnsi"/>
          <w:color w:val="002060"/>
          <w:lang w:val="sr-Cyrl-CS"/>
        </w:rPr>
        <w:t>е</w:t>
      </w:r>
      <w:r w:rsidRPr="00DE058F">
        <w:rPr>
          <w:rFonts w:cstheme="minorHAnsi"/>
          <w:color w:val="002060"/>
          <w:lang w:val="sr-Cyrl-CS"/>
        </w:rPr>
        <w:t>, %</w:t>
      </w:r>
    </w:p>
    <w:p w14:paraId="7DEDEB97" w14:textId="44A37A53" w:rsidR="00C26AD1" w:rsidRPr="00DE058F" w:rsidRDefault="00C26AD1" w:rsidP="008527D6">
      <w:pPr>
        <w:pStyle w:val="NoSpacing"/>
        <w:spacing w:after="120"/>
        <w:jc w:val="center"/>
        <w:rPr>
          <w:rFonts w:cstheme="minorHAnsi"/>
          <w:color w:val="002060"/>
          <w:lang w:val="sr-Cyrl-CS"/>
        </w:rPr>
      </w:pPr>
      <w:r w:rsidRPr="00DE058F">
        <w:rPr>
          <w:noProof/>
        </w:rPr>
        <w:drawing>
          <wp:inline distT="0" distB="0" distL="0" distR="0" wp14:anchorId="5C7E0D52" wp14:editId="4E98A2E2">
            <wp:extent cx="2779200" cy="2310130"/>
            <wp:effectExtent l="0" t="0" r="2540" b="0"/>
            <wp:docPr id="32" name="Chart 32">
              <a:extLst xmlns:a="http://schemas.openxmlformats.org/drawingml/2006/main">
                <a:ext uri="{FF2B5EF4-FFF2-40B4-BE49-F238E27FC236}">
                  <a16:creationId xmlns:a16="http://schemas.microsoft.com/office/drawing/2014/main" id="{00000000-0008-0000-0A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6FA10DB9" w14:textId="1A5A8403" w:rsidR="00681648" w:rsidRPr="00DE058F" w:rsidRDefault="00681648" w:rsidP="008527D6">
      <w:pPr>
        <w:rPr>
          <w:rFonts w:cstheme="minorHAnsi"/>
          <w:bCs/>
          <w:szCs w:val="72"/>
          <w:lang w:val="sr-Cyrl-CS"/>
        </w:rPr>
      </w:pPr>
      <w:r w:rsidRPr="00DE058F">
        <w:rPr>
          <w:rFonts w:cstheme="minorHAnsi"/>
          <w:bCs/>
          <w:szCs w:val="72"/>
          <w:lang w:val="sr-Cyrl-CS"/>
        </w:rPr>
        <w:t xml:space="preserve">Према централном сценарију, у средњорочном периоду очекује се убрзање раста потенцијалног БДП, али споријом динамиком него у претходној пројекцији као последица фактора из међународног окружења. Након повећања од 3,8% у 2021. години, потенцијални БДП ће се постепено повећавати по стопи од око 4%. </w:t>
      </w:r>
      <w:r w:rsidRPr="00DE058F">
        <w:rPr>
          <w:rFonts w:cstheme="minorHAnsi"/>
          <w:bCs/>
          <w:szCs w:val="72"/>
          <w:lang w:val="sr-Cyrl-CS"/>
        </w:rPr>
        <w:t>Реализације капиталних пројеката и наставак започетог инвестиционог циклуса подржани, како стабилним приливом СДИ, тако и домаћим иновативним активностима, обезбедиће све снажнији допринос капитала и факторске продуктивности расту потенцијалног БДП.</w:t>
      </w:r>
      <w:r w:rsidRPr="00DE058F">
        <w:rPr>
          <w:rFonts w:cstheme="minorHAnsi"/>
          <w:bCs/>
          <w:color w:val="A6A6A6" w:themeColor="background1" w:themeShade="A6"/>
          <w:szCs w:val="72"/>
          <w:lang w:val="sr-Cyrl-CS"/>
        </w:rPr>
        <w:t xml:space="preserve"> </w:t>
      </w:r>
      <w:r w:rsidRPr="00DE058F">
        <w:rPr>
          <w:rFonts w:cstheme="minorHAnsi"/>
          <w:bCs/>
          <w:szCs w:val="72"/>
          <w:lang w:val="sr-Cyrl-CS"/>
        </w:rPr>
        <w:t>Дигитализација ће значајно убрзати ове процесе и додатно подићи ефикасност искоришћености расположивих капацитета. Влада ће спровести свеобухватну агенду структурних и институционалних реформи, како би се подстакао високи, зелени, инклузивни и одрживи раст у средњорочном периоду. Адекватна и синхронизована монетарна политика, даља</w:t>
      </w:r>
      <w:r w:rsidRPr="00DE058F">
        <w:rPr>
          <w:rFonts w:cstheme="minorHAnsi"/>
          <w:bCs/>
          <w:color w:val="A6A6A6" w:themeColor="background1" w:themeShade="A6"/>
          <w:szCs w:val="72"/>
          <w:lang w:val="sr-Cyrl-CS"/>
        </w:rPr>
        <w:t xml:space="preserve"> </w:t>
      </w:r>
      <w:r w:rsidRPr="00DE058F">
        <w:rPr>
          <w:rFonts w:cstheme="minorHAnsi"/>
          <w:bCs/>
          <w:szCs w:val="72"/>
          <w:lang w:val="sr-Cyrl-CS"/>
        </w:rPr>
        <w:t>унапређења финансијског система, подизање кредибилитета и атрактивности код инвеститора, трансфер знања и технологија из најразвијенијих земаља треба да обезбеде позитиван утицај на оба фактора производње. Са друге стране, јачање владавине закона, реформа законодавства из области привреде и пословања, убрзање процедура и подизање ефикасности администрације треба да обезбеде максимизацију факторске продуктивности у средњем року. Повољна кретања на тржишту рада ће такође допринети расту потенцијалног БДП</w:t>
      </w:r>
      <w:r w:rsidR="00815CC2" w:rsidRPr="00DE058F">
        <w:rPr>
          <w:rFonts w:cstheme="minorHAnsi"/>
          <w:bCs/>
          <w:szCs w:val="72"/>
          <w:lang w:val="sr-Cyrl-CS"/>
        </w:rPr>
        <w:t>,</w:t>
      </w:r>
      <w:r w:rsidRPr="00DE058F">
        <w:rPr>
          <w:rFonts w:cstheme="minorHAnsi"/>
          <w:bCs/>
          <w:szCs w:val="72"/>
          <w:lang w:val="sr-Cyrl-CS"/>
        </w:rPr>
        <w:t xml:space="preserve"> али споријим темпом него у претходном периоду.</w:t>
      </w:r>
    </w:p>
    <w:p w14:paraId="109861EE" w14:textId="77777777" w:rsidR="00681648" w:rsidRPr="00DE058F" w:rsidRDefault="00681648" w:rsidP="008527D6">
      <w:pPr>
        <w:pStyle w:val="NoSpacing"/>
        <w:spacing w:after="120"/>
        <w:jc w:val="center"/>
        <w:rPr>
          <w:rFonts w:cstheme="minorHAnsi"/>
          <w:color w:val="002060"/>
          <w:lang w:val="sr-Cyrl-CS"/>
        </w:rPr>
      </w:pPr>
      <w:r w:rsidRPr="00DE058F">
        <w:rPr>
          <w:rFonts w:cstheme="minorHAnsi"/>
          <w:color w:val="002060"/>
          <w:lang w:val="sr-Cyrl-CS"/>
        </w:rPr>
        <w:t>Доприноси фактора производње потенцијалној стопи раста БДП, п.п.</w:t>
      </w:r>
    </w:p>
    <w:p w14:paraId="40F19458" w14:textId="77777777" w:rsidR="00681648" w:rsidRPr="00DE058F" w:rsidRDefault="00681648" w:rsidP="008527D6">
      <w:pPr>
        <w:spacing w:after="0"/>
        <w:rPr>
          <w:rFonts w:cstheme="minorHAnsi"/>
          <w:b/>
          <w:bCs/>
          <w:color w:val="A6A6A6" w:themeColor="background1" w:themeShade="A6"/>
          <w:sz w:val="16"/>
          <w:szCs w:val="72"/>
          <w:lang w:val="sr-Cyrl-CS"/>
        </w:rPr>
      </w:pPr>
      <w:r w:rsidRPr="00DE058F">
        <w:rPr>
          <w:noProof/>
        </w:rPr>
        <w:drawing>
          <wp:inline distT="0" distB="0" distL="0" distR="0" wp14:anchorId="4074390E" wp14:editId="2E59CA2B">
            <wp:extent cx="2743200" cy="2127885"/>
            <wp:effectExtent l="0" t="0" r="0" b="5715"/>
            <wp:docPr id="46" name="Chart 46">
              <a:extLst xmlns:a="http://schemas.openxmlformats.org/drawingml/2006/main">
                <a:ext uri="{FF2B5EF4-FFF2-40B4-BE49-F238E27FC236}">
                  <a16:creationId xmlns:a16="http://schemas.microsoft.com/office/drawing/2014/main" id="{00000000-0008-0000-0D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69A05429" w14:textId="204CB044" w:rsidR="00681648" w:rsidRPr="00DE058F" w:rsidRDefault="00681648" w:rsidP="008527D6">
      <w:pPr>
        <w:rPr>
          <w:rFonts w:cstheme="minorHAnsi"/>
          <w:bCs/>
          <w:szCs w:val="72"/>
          <w:lang w:val="sr-Cyrl-CS"/>
        </w:rPr>
      </w:pPr>
      <w:r w:rsidRPr="00DE058F">
        <w:rPr>
          <w:rFonts w:cstheme="minorHAnsi"/>
          <w:sz w:val="16"/>
          <w:lang w:val="sr-Cyrl-CS"/>
        </w:rPr>
        <w:t>Извор: Министарство финансија</w:t>
      </w:r>
    </w:p>
    <w:p w14:paraId="46C9A56D" w14:textId="77777777" w:rsidR="00681648" w:rsidRPr="00DE058F" w:rsidRDefault="00681648" w:rsidP="008527D6">
      <w:pPr>
        <w:rPr>
          <w:rFonts w:cstheme="minorHAnsi"/>
          <w:bCs/>
          <w:szCs w:val="72"/>
          <w:lang w:val="sr-Cyrl-CS"/>
        </w:rPr>
        <w:sectPr w:rsidR="00681648" w:rsidRPr="00DE058F" w:rsidSect="008527D6">
          <w:footerReference w:type="default" r:id="rId76"/>
          <w:type w:val="continuous"/>
          <w:pgSz w:w="12240" w:h="15840"/>
          <w:pgMar w:top="1440" w:right="1440" w:bottom="1440" w:left="1440" w:header="720" w:footer="720" w:gutter="0"/>
          <w:cols w:num="2" w:space="720"/>
          <w:docGrid w:linePitch="360"/>
          <w15:footnoteColumns w:val="1"/>
        </w:sectPr>
      </w:pPr>
    </w:p>
    <w:p w14:paraId="40DC1C17" w14:textId="77777777" w:rsidR="00681648" w:rsidRPr="00DE058F" w:rsidRDefault="00681648" w:rsidP="008527D6">
      <w:pPr>
        <w:rPr>
          <w:rFonts w:cstheme="minorHAnsi"/>
          <w:bCs/>
          <w:szCs w:val="72"/>
          <w:lang w:val="sr-Cyrl-CS"/>
        </w:rPr>
      </w:pPr>
    </w:p>
    <w:p w14:paraId="0AD3C12C" w14:textId="77777777" w:rsidR="00EB41E3" w:rsidRPr="00DE058F" w:rsidRDefault="00EB41E3" w:rsidP="008527D6">
      <w:pPr>
        <w:rPr>
          <w:lang w:val="sr-Cyrl-CS"/>
        </w:rPr>
      </w:pPr>
    </w:p>
    <w:p w14:paraId="78A66F93" w14:textId="77777777" w:rsidR="00EB41E3" w:rsidRPr="00DE058F" w:rsidRDefault="00EB41E3" w:rsidP="008527D6">
      <w:pPr>
        <w:rPr>
          <w:lang w:val="sr-Cyrl-CS"/>
        </w:rPr>
      </w:pPr>
    </w:p>
    <w:p w14:paraId="55DC2CA4" w14:textId="77777777" w:rsidR="003C3685" w:rsidRPr="00DE058F" w:rsidRDefault="003C3685" w:rsidP="003C3685">
      <w:pPr>
        <w:rPr>
          <w:lang w:val="sr-Cyrl-CS"/>
        </w:rPr>
      </w:pPr>
    </w:p>
    <w:p w14:paraId="28BBFF28" w14:textId="77777777" w:rsidR="003C3685" w:rsidRPr="00DE058F" w:rsidRDefault="003C3685" w:rsidP="003C3685">
      <w:pPr>
        <w:rPr>
          <w:lang w:val="sr-Cyrl-CS"/>
        </w:rPr>
      </w:pPr>
    </w:p>
    <w:p w14:paraId="011054FF" w14:textId="77777777" w:rsidR="003C3685" w:rsidRPr="00DE058F" w:rsidRDefault="003C3685" w:rsidP="003C3685">
      <w:pPr>
        <w:rPr>
          <w:lang w:val="sr-Cyrl-CS"/>
        </w:rPr>
      </w:pPr>
    </w:p>
    <w:p w14:paraId="0D19F75F" w14:textId="77777777" w:rsidR="0021538A" w:rsidRPr="00DE058F" w:rsidRDefault="0021538A" w:rsidP="00161001">
      <w:pPr>
        <w:spacing w:before="40"/>
        <w:rPr>
          <w:rFonts w:cstheme="minorHAnsi"/>
          <w:bCs/>
          <w:color w:val="2F5496" w:themeColor="accent1" w:themeShade="BF"/>
          <w:szCs w:val="72"/>
          <w:lang w:val="sr-Cyrl-CS"/>
        </w:rPr>
      </w:pPr>
      <w:r w:rsidRPr="00DE058F">
        <w:rPr>
          <w:rFonts w:cstheme="minorHAnsi"/>
          <w:b/>
          <w:color w:val="2F5496" w:themeColor="accent1" w:themeShade="BF"/>
          <w:sz w:val="22"/>
          <w:lang w:val="sr-Cyrl-CS"/>
        </w:rPr>
        <w:lastRenderedPageBreak/>
        <w:t>Тржиште рада</w:t>
      </w:r>
    </w:p>
    <w:p w14:paraId="38339C61" w14:textId="77777777" w:rsidR="0021538A" w:rsidRPr="00DE058F" w:rsidRDefault="0021538A" w:rsidP="008527D6">
      <w:pPr>
        <w:rPr>
          <w:rFonts w:cstheme="minorHAnsi"/>
          <w:bCs/>
          <w:szCs w:val="72"/>
          <w:lang w:val="sr-Cyrl-CS"/>
        </w:rPr>
      </w:pPr>
      <w:r w:rsidRPr="00DE058F">
        <w:rPr>
          <w:rFonts w:cstheme="minorHAnsi"/>
          <w:bCs/>
          <w:szCs w:val="72"/>
          <w:lang w:val="sr-Cyrl-CS"/>
        </w:rPr>
        <w:t>Успешно вођеном економском политиком, те снажним привредним растом и општом стабилношћу економије, током 2021. године избегнути су значајнији негативни ефекти пандемије, те су на тржишту рада забележена боља од очекиваних кретања, што је нарочито било видљиво код зарада. Почетак 2022. године карактерише наставак позитивних кретања на тржишту рада, који се одражава, пре свега, кроз раст запослености и реалних зарада, али под утицајем геополитичких тензија нешто успореније у поређењу са претходним периодом.</w:t>
      </w:r>
    </w:p>
    <w:p w14:paraId="2F02F6CD" w14:textId="36C6A92D" w:rsidR="0021538A" w:rsidRPr="00DE058F" w:rsidRDefault="0021538A" w:rsidP="008527D6">
      <w:pPr>
        <w:rPr>
          <w:rFonts w:cstheme="minorHAnsi"/>
          <w:bCs/>
          <w:szCs w:val="72"/>
          <w:lang w:val="sr-Cyrl-CS"/>
        </w:rPr>
      </w:pPr>
      <w:r w:rsidRPr="00DE058F">
        <w:rPr>
          <w:rFonts w:cstheme="minorHAnsi"/>
          <w:bCs/>
          <w:szCs w:val="72"/>
          <w:lang w:val="sr-Cyrl-CS"/>
        </w:rPr>
        <w:t>Према подацима Анкете о радној снази у 2021. години, стопа незапослености (15 и више) је износила 11,0%, што је ниже у поређењу са преткризним нивоом из 2019. године када је износила 11,2%. У односу на 2020. годину, стопа незапослености је повећана за 1,</w:t>
      </w:r>
      <w:r w:rsidR="00B535CB" w:rsidRPr="00DE058F">
        <w:rPr>
          <w:rFonts w:cstheme="minorHAnsi"/>
          <w:bCs/>
          <w:szCs w:val="72"/>
          <w:lang w:val="sr-Cyrl-CS"/>
        </w:rPr>
        <w:t>3</w:t>
      </w:r>
      <w:r w:rsidRPr="00DE058F">
        <w:rPr>
          <w:rFonts w:cstheme="minorHAnsi"/>
          <w:bCs/>
          <w:szCs w:val="72"/>
          <w:lang w:val="sr-Cyrl-CS"/>
        </w:rPr>
        <w:t xml:space="preserve"> п.п</w:t>
      </w:r>
      <w:r w:rsidR="00007166" w:rsidRPr="00DE058F">
        <w:rPr>
          <w:rFonts w:cstheme="minorHAnsi"/>
          <w:bCs/>
          <w:szCs w:val="72"/>
          <w:lang w:val="sr-Cyrl-CS"/>
        </w:rPr>
        <w:t>.</w:t>
      </w:r>
      <w:r w:rsidRPr="00DE058F">
        <w:rPr>
          <w:rFonts w:cstheme="minorHAnsi"/>
          <w:bCs/>
          <w:szCs w:val="72"/>
          <w:lang w:val="sr-Cyrl-CS"/>
        </w:rPr>
        <w:t>, док је стопа становништва ван радне снаге смањена за 2,</w:t>
      </w:r>
      <w:r w:rsidR="00B535CB" w:rsidRPr="00DE058F">
        <w:rPr>
          <w:rFonts w:cstheme="minorHAnsi"/>
          <w:bCs/>
          <w:szCs w:val="72"/>
          <w:lang w:val="sr-Cyrl-CS"/>
        </w:rPr>
        <w:t>5</w:t>
      </w:r>
      <w:r w:rsidRPr="00DE058F">
        <w:rPr>
          <w:rFonts w:cstheme="minorHAnsi"/>
          <w:bCs/>
          <w:szCs w:val="72"/>
          <w:lang w:val="sr-Cyrl-CS"/>
        </w:rPr>
        <w:t xml:space="preserve"> п.п. Оваква међугодишња кретања основних контингената становништва на тржишту рада не могу се тумачити ван контекста промена изазваних ковид кризом током 2020</w:t>
      </w:r>
      <w:r w:rsidR="00C52A43" w:rsidRPr="00DE058F">
        <w:rPr>
          <w:rFonts w:cstheme="minorHAnsi"/>
          <w:bCs/>
          <w:szCs w:val="72"/>
          <w:lang w:val="sr-Cyrl-CS"/>
        </w:rPr>
        <w:t>.</w:t>
      </w:r>
      <w:r w:rsidRPr="00DE058F">
        <w:rPr>
          <w:rFonts w:cstheme="minorHAnsi"/>
          <w:bCs/>
          <w:szCs w:val="72"/>
          <w:lang w:val="sr-Cyrl-CS"/>
        </w:rPr>
        <w:t xml:space="preserve"> године. Тада су појединци који нису могли да траже посао, или нису били у могућности да почну да раде, због утицаја мера спречавања ширења коронавируса, сматрани неактивним (ван радне снаге), а не незапосленим (према дефиницијама Међународне организације рада – МОР). </w:t>
      </w:r>
      <w:r w:rsidR="006A0D22" w:rsidRPr="00DE058F">
        <w:rPr>
          <w:rFonts w:cstheme="minorHAnsi"/>
          <w:bCs/>
          <w:szCs w:val="72"/>
          <w:lang w:val="sr-Cyrl-CS"/>
        </w:rPr>
        <w:t>У том смислу тржиште рада у 2021. години се опоравља, с обзиром на то да је стопа становништва ван радне снаге смањена на 45,3%, са 47,8% у 2020. години. Додатно, и стопа незапослености у 2021. бележи смањење и то са 10,7% крајем 2020. на 9,8% крајем 2021. године</w:t>
      </w:r>
      <w:r w:rsidRPr="00DE058F">
        <w:rPr>
          <w:rFonts w:cstheme="minorHAnsi"/>
          <w:bCs/>
          <w:szCs w:val="72"/>
          <w:lang w:val="sr-Cyrl-CS"/>
        </w:rPr>
        <w:t>.</w:t>
      </w:r>
    </w:p>
    <w:p w14:paraId="1FC2EDD7" w14:textId="23DA205F" w:rsidR="0021538A" w:rsidRPr="00DE058F" w:rsidRDefault="0021538A" w:rsidP="008527D6">
      <w:pPr>
        <w:rPr>
          <w:rFonts w:cstheme="minorHAnsi"/>
          <w:bCs/>
          <w:szCs w:val="72"/>
          <w:lang w:val="sr-Cyrl-CS"/>
        </w:rPr>
      </w:pPr>
      <w:r w:rsidRPr="00DE058F">
        <w:rPr>
          <w:rFonts w:cstheme="minorHAnsi"/>
          <w:bCs/>
          <w:szCs w:val="72"/>
          <w:lang w:val="sr-Cyrl-CS"/>
        </w:rPr>
        <w:t>Према подацима Централног регистра обавезног социјалног осигурања, у првом кварталу, просечан број запослених био је већи за 1,9%, у поређењу са истим периодом претходне године, што је било, пре свега резултат раста запослености у приватном сектору за 2,3%, док је у јавном сектору раст износио 0,7%. Истовремено, најснажнији секторски допринос расту запослености долази од ИКТ, прерађива</w:t>
      </w:r>
      <w:r w:rsidR="00574642" w:rsidRPr="00DE058F">
        <w:rPr>
          <w:rFonts w:cstheme="minorHAnsi"/>
          <w:bCs/>
          <w:szCs w:val="72"/>
          <w:lang w:val="sr-Cyrl-CS"/>
        </w:rPr>
        <w:t>чке индустрије, административно-услужних и научно-</w:t>
      </w:r>
      <w:r w:rsidRPr="00DE058F">
        <w:rPr>
          <w:rFonts w:cstheme="minorHAnsi"/>
          <w:bCs/>
          <w:szCs w:val="72"/>
          <w:lang w:val="sr-Cyrl-CS"/>
        </w:rPr>
        <w:t xml:space="preserve">техничких делатности. Према подацима Националне службе за запошљавање, у </w:t>
      </w:r>
      <w:r w:rsidRPr="00DE058F">
        <w:rPr>
          <w:rFonts w:cstheme="minorHAnsi"/>
          <w:bCs/>
          <w:szCs w:val="72"/>
          <w:lang w:val="sr-Cyrl-CS"/>
        </w:rPr>
        <w:t>истом периоду, број лица која активно траже запослење смањен је за 8,0%.</w:t>
      </w:r>
    </w:p>
    <w:p w14:paraId="142B2301" w14:textId="0F6849FC" w:rsidR="0021538A" w:rsidRPr="00DE058F" w:rsidRDefault="0021538A" w:rsidP="00642143">
      <w:pPr>
        <w:spacing w:after="120"/>
        <w:rPr>
          <w:rFonts w:cstheme="minorHAnsi"/>
          <w:bCs/>
          <w:szCs w:val="72"/>
          <w:lang w:val="sr-Cyrl-CS"/>
        </w:rPr>
      </w:pPr>
      <w:r w:rsidRPr="00DE058F">
        <w:rPr>
          <w:rFonts w:cstheme="minorHAnsi"/>
          <w:bCs/>
          <w:szCs w:val="72"/>
          <w:lang w:val="sr-Cyrl-CS"/>
        </w:rPr>
        <w:t>У периоду јануар–фебруар просечна нето зарада је износила 70.762 динара, што је реално повећање за 4,1%, мг</w:t>
      </w:r>
      <w:r w:rsidR="008D38D5" w:rsidRPr="00DE058F">
        <w:rPr>
          <w:rFonts w:cstheme="minorHAnsi"/>
          <w:bCs/>
          <w:szCs w:val="72"/>
          <w:lang w:val="sr-Cyrl-CS"/>
        </w:rPr>
        <w:t>.</w:t>
      </w:r>
      <w:r w:rsidRPr="00DE058F">
        <w:rPr>
          <w:rFonts w:cstheme="minorHAnsi"/>
          <w:bCs/>
          <w:szCs w:val="72"/>
          <w:lang w:val="sr-Cyrl-CS"/>
        </w:rPr>
        <w:t>, и спорије је у поређењу са претходним периодом услед нешто више инфлације. Раст зарада био је готово у потпуности опредељен растом зарада у приватном сектору, који је у истом периоду износио 5,8%, реално.</w:t>
      </w:r>
      <w:r w:rsidRPr="00DE058F">
        <w:rPr>
          <w:lang w:val="sr-Cyrl-CS"/>
        </w:rPr>
        <w:t xml:space="preserve"> </w:t>
      </w:r>
      <w:r w:rsidRPr="00DE058F">
        <w:rPr>
          <w:rFonts w:cstheme="minorHAnsi"/>
          <w:bCs/>
          <w:szCs w:val="72"/>
          <w:lang w:val="sr-Cyrl-CS"/>
        </w:rPr>
        <w:t>На општи раст зарада утицало је и повећање минималне цене рада за 9,4% на 201,22 динара по радном часу од 2022. године. И поред повећања зарада у јавном сектору одлуком Владе у распону од 7% до 8%, њихов номинални раст је био готово у потпуности неутралисан растом инфлације, тако да је у реалним вредностима забележено благо повећање од 0,</w:t>
      </w:r>
      <w:r w:rsidR="008E0382" w:rsidRPr="00DE058F">
        <w:rPr>
          <w:rFonts w:cstheme="minorHAnsi"/>
          <w:bCs/>
          <w:szCs w:val="72"/>
          <w:lang w:val="sr-Cyrl-CS"/>
        </w:rPr>
        <w:t>3</w:t>
      </w:r>
      <w:r w:rsidRPr="00DE058F">
        <w:rPr>
          <w:rFonts w:cstheme="minorHAnsi"/>
          <w:bCs/>
          <w:szCs w:val="72"/>
          <w:lang w:val="sr-Cyrl-CS"/>
        </w:rPr>
        <w:t xml:space="preserve">%. Посматрано по делатностима, најзначајнији раст </w:t>
      </w:r>
      <w:r w:rsidR="009C486B" w:rsidRPr="00DE058F">
        <w:rPr>
          <w:rFonts w:cstheme="minorHAnsi"/>
          <w:bCs/>
          <w:szCs w:val="72"/>
          <w:lang w:val="sr-Cyrl-CS"/>
        </w:rPr>
        <w:t>зарада био је у ИКТ и трговини.</w:t>
      </w:r>
    </w:p>
    <w:p w14:paraId="55EAA54B" w14:textId="77777777" w:rsidR="0021538A" w:rsidRPr="00DE058F" w:rsidRDefault="0021538A" w:rsidP="00642143">
      <w:pPr>
        <w:pStyle w:val="Caption"/>
        <w:keepNext/>
        <w:spacing w:after="80"/>
        <w:rPr>
          <w:rFonts w:cstheme="minorHAnsi"/>
          <w:b w:val="0"/>
          <w:i/>
          <w:iCs w:val="0"/>
          <w:szCs w:val="22"/>
          <w:lang w:val="sr-Cyrl-CS"/>
        </w:rPr>
      </w:pPr>
      <w:r w:rsidRPr="00DE058F">
        <w:rPr>
          <w:rFonts w:cstheme="minorHAnsi"/>
          <w:iCs w:val="0"/>
          <w:szCs w:val="22"/>
          <w:lang w:val="sr-Cyrl-CS"/>
        </w:rPr>
        <w:t>Кретање основних показатеља тржишта рада</w:t>
      </w:r>
    </w:p>
    <w:p w14:paraId="25D41679" w14:textId="7C86D9CE" w:rsidR="0021538A" w:rsidRPr="00DE058F" w:rsidRDefault="00FE4613" w:rsidP="0074685C">
      <w:pPr>
        <w:spacing w:after="0"/>
        <w:rPr>
          <w:rFonts w:cstheme="minorHAnsi"/>
          <w:bCs/>
          <w:szCs w:val="72"/>
          <w:lang w:val="sr-Cyrl-CS"/>
        </w:rPr>
      </w:pPr>
      <w:r w:rsidRPr="00DE058F">
        <w:rPr>
          <w:noProof/>
        </w:rPr>
        <w:drawing>
          <wp:inline distT="0" distB="0" distL="0" distR="0" wp14:anchorId="2B96AECB" wp14:editId="5C5EAF51">
            <wp:extent cx="2743200" cy="1681200"/>
            <wp:effectExtent l="0" t="0" r="0" b="0"/>
            <wp:docPr id="37" name="Chart 37">
              <a:extLst xmlns:a="http://schemas.openxmlformats.org/drawingml/2006/main">
                <a:ext uri="{FF2B5EF4-FFF2-40B4-BE49-F238E27FC236}">
                  <a16:creationId xmlns:a16="http://schemas.microsoft.com/office/drawing/2014/main" id="{00000000-0008-0000-0E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546EECD5" w14:textId="77777777" w:rsidR="0021538A" w:rsidRPr="00DE058F" w:rsidRDefault="0021538A" w:rsidP="0074685C">
      <w:pPr>
        <w:spacing w:before="40"/>
        <w:rPr>
          <w:rFonts w:cstheme="minorHAnsi"/>
          <w:bCs/>
          <w:szCs w:val="72"/>
          <w:lang w:val="sr-Cyrl-CS"/>
        </w:rPr>
      </w:pPr>
      <w:r w:rsidRPr="00DE058F">
        <w:rPr>
          <w:rFonts w:cstheme="minorHAnsi"/>
          <w:bCs/>
          <w:sz w:val="16"/>
          <w:szCs w:val="72"/>
          <w:lang w:val="sr-Cyrl-CS"/>
        </w:rPr>
        <w:t>Извор: РЗС</w:t>
      </w:r>
    </w:p>
    <w:p w14:paraId="3E808F28" w14:textId="00BB03AC" w:rsidR="0021538A" w:rsidRPr="00DE058F" w:rsidRDefault="0021538A" w:rsidP="00C130D2">
      <w:pPr>
        <w:rPr>
          <w:rFonts w:cstheme="minorHAnsi"/>
          <w:bCs/>
          <w:szCs w:val="72"/>
          <w:lang w:val="sr-Cyrl-CS"/>
        </w:rPr>
      </w:pPr>
      <w:r w:rsidRPr="00DE058F">
        <w:rPr>
          <w:rFonts w:cstheme="minorHAnsi"/>
          <w:bCs/>
          <w:szCs w:val="72"/>
          <w:lang w:val="sr-Cyrl-CS"/>
        </w:rPr>
        <w:t xml:space="preserve">Досадашња стабилна макроекономска кретања, и на време спроведена фискална консолидација која је оставила простор да се </w:t>
      </w:r>
      <w:r w:rsidR="001D530B" w:rsidRPr="00DE058F">
        <w:rPr>
          <w:rFonts w:cstheme="minorHAnsi"/>
          <w:bCs/>
          <w:szCs w:val="72"/>
          <w:lang w:val="sr-Cyrl-CS"/>
        </w:rPr>
        <w:t>економским мерама</w:t>
      </w:r>
      <w:r w:rsidRPr="00DE058F">
        <w:rPr>
          <w:rFonts w:cstheme="minorHAnsi"/>
          <w:bCs/>
          <w:szCs w:val="72"/>
          <w:lang w:val="sr-Cyrl-CS"/>
        </w:rPr>
        <w:t xml:space="preserve"> помогне привреди и грађанима, пре свега одржавањем привредног раста и очувањем запослености, створили су снажну основу за наставак позитивних кретања на тржишту рада и у наредном периоду. Поред наведеног, позитивна очекивања су резултат континуираног рада на побољшању услова рада, унапређивању институција тржишта рада, подстицању запошљавања и укључивања на тржиште рада теже запошљивих лица, као и подршке регионалној и локалној политици запошљавања. Такође, континуирано се ради на унапређивању радне снаге у погледу квалитета, као и на улагању у људски капитал, све у циљу лакшег општег </w:t>
      </w:r>
      <w:r w:rsidRPr="00DE058F">
        <w:rPr>
          <w:rFonts w:cstheme="minorHAnsi"/>
          <w:bCs/>
          <w:szCs w:val="72"/>
          <w:lang w:val="sr-Cyrl-CS"/>
        </w:rPr>
        <w:lastRenderedPageBreak/>
        <w:t>запошљавања, а нарочито у оном делу привреде који има већу додату вредност. Досадашњу успешност ових мера потврђују подаци о порасту броја запослених у периоду од 2014. до 2021. године у</w:t>
      </w:r>
      <w:r w:rsidR="00574642" w:rsidRPr="00DE058F">
        <w:rPr>
          <w:rFonts w:cstheme="minorHAnsi"/>
          <w:bCs/>
          <w:szCs w:val="72"/>
          <w:lang w:val="sr-Cyrl-CS"/>
        </w:rPr>
        <w:t xml:space="preserve"> сектору ИКТ за 31.112 и научно-</w:t>
      </w:r>
      <w:r w:rsidRPr="00DE058F">
        <w:rPr>
          <w:rFonts w:cstheme="minorHAnsi"/>
          <w:bCs/>
          <w:szCs w:val="72"/>
          <w:lang w:val="sr-Cyrl-CS"/>
        </w:rPr>
        <w:t>техничким делатностима за 26.389. Наставиће се са политикама које имају за циљ смањивање броја запослених у сивој зони и њихово превођење у контингент формално запослених, чиме би њихови услови рада били побољшани, а позитиван ефекат би се одразио и на приходе буџета. У средњорочном периоду очекују се позитивни резултати активних мера обука, преквалификација и подршке социјалном предузетништву, чиме ће се олакшати доступност радних места социјално рањивим категоријама друштва и тиме додатно обезбедити инклузивност привредног раста. Узимајући у обзир све наведено у средњем року се пројектује смањивање стопе незапослености и раст зарада, али под утицајем тренутних геополитичких неизвесности изазваних кризом у Украјини, очекује се да то буде по успоренијој динамици. Ради економске одрживости, раст зарада треба да буде заснован на расту продуктивности.</w:t>
      </w:r>
    </w:p>
    <w:p w14:paraId="6500BAF6" w14:textId="77777777" w:rsidR="0021538A" w:rsidRPr="00DE058F" w:rsidRDefault="0021538A" w:rsidP="008527D6">
      <w:pPr>
        <w:rPr>
          <w:rFonts w:cstheme="minorHAnsi"/>
          <w:b/>
          <w:color w:val="2F5496" w:themeColor="accent1" w:themeShade="BF"/>
          <w:sz w:val="22"/>
          <w:lang w:val="sr-Cyrl-CS"/>
        </w:rPr>
      </w:pPr>
      <w:r w:rsidRPr="00DE058F">
        <w:rPr>
          <w:rFonts w:cstheme="minorHAnsi"/>
          <w:b/>
          <w:color w:val="2F5496" w:themeColor="accent1" w:themeShade="BF"/>
          <w:sz w:val="22"/>
          <w:lang w:val="sr-Cyrl-CS"/>
        </w:rPr>
        <w:t>Монетарна кретања</w:t>
      </w:r>
    </w:p>
    <w:p w14:paraId="3C075415" w14:textId="7A5EF9FB" w:rsidR="00871703" w:rsidRPr="00DE058F" w:rsidRDefault="00871703" w:rsidP="00871703">
      <w:pPr>
        <w:rPr>
          <w:bCs/>
          <w:lang w:val="sr-Cyrl-CS"/>
        </w:rPr>
      </w:pPr>
      <w:r w:rsidRPr="00DE058F">
        <w:rPr>
          <w:lang w:val="sr-Cyrl-CS"/>
        </w:rPr>
        <w:t>Међугодишња инфлација у Србији, као и у већини других земаља, наставила је да се креће узлазном путањом</w:t>
      </w:r>
      <w:r w:rsidR="00140BC2" w:rsidRPr="00DE058F">
        <w:rPr>
          <w:lang w:val="sr-Cyrl-CS"/>
        </w:rPr>
        <w:t xml:space="preserve"> и</w:t>
      </w:r>
      <w:r w:rsidRPr="00DE058F">
        <w:rPr>
          <w:lang w:val="sr-Cyrl-CS"/>
        </w:rPr>
        <w:t xml:space="preserve"> почетком ове године</w:t>
      </w:r>
      <w:r w:rsidRPr="00DE058F">
        <w:rPr>
          <w:bCs/>
          <w:lang w:val="sr-Cyrl-CS"/>
        </w:rPr>
        <w:t xml:space="preserve">. На овакво кретање инфлације утицала је, пре свега, тзв. увезена инфлација, тј. фактори екстерног карактера на које НБС нема директан утицај, као што су пораст светских цена нафте и примарних пољопривредних производа и застоји у глобалним ланцима снабдевања. Такође, у извесној мери на више стопе инфлације утицала је и њена ниска базна вредност. Априлски раст потрошачких цена је био изнад горње границе дозвољеног одступања од циљане инфлације и на међугодишњем нивоу је износио 9,6%. </w:t>
      </w:r>
      <w:r w:rsidRPr="00DE058F">
        <w:rPr>
          <w:bCs/>
          <w:spacing w:val="-2"/>
          <w:lang w:val="sr-Cyrl-CS"/>
        </w:rPr>
        <w:t xml:space="preserve">У овом периоду више од три четвртине инфлације било је опредељено повећањем цена хране и безалкохолних пића, нафтних деривата и воћа и поврћа. Истовремено базна инфлација је била знатно нижа и износила је 5,5%, на шта је значајно утицала очувана </w:t>
      </w:r>
      <w:r w:rsidR="008E0CD7" w:rsidRPr="00DE058F">
        <w:rPr>
          <w:bCs/>
          <w:spacing w:val="-2"/>
          <w:lang w:val="sr-Cyrl-CS"/>
        </w:rPr>
        <w:t xml:space="preserve">релативна </w:t>
      </w:r>
      <w:r w:rsidRPr="00DE058F">
        <w:rPr>
          <w:bCs/>
          <w:spacing w:val="-2"/>
          <w:lang w:val="sr-Cyrl-CS"/>
        </w:rPr>
        <w:t xml:space="preserve">стабилност девизног курса и укупна макроекономска стабилност, као и </w:t>
      </w:r>
      <w:r w:rsidR="00B5476F" w:rsidRPr="00DE058F">
        <w:rPr>
          <w:bCs/>
          <w:spacing w:val="-2"/>
          <w:lang w:val="sr-Cyrl-CS"/>
        </w:rPr>
        <w:t xml:space="preserve">средњорочна </w:t>
      </w:r>
      <w:r w:rsidRPr="00DE058F">
        <w:rPr>
          <w:bCs/>
          <w:spacing w:val="-2"/>
          <w:lang w:val="sr-Cyrl-CS"/>
        </w:rPr>
        <w:t>инфлациона очекивања финансијског сектора и привреде у границама циља.</w:t>
      </w:r>
    </w:p>
    <w:p w14:paraId="68114981" w14:textId="5B71F05D" w:rsidR="0021538A" w:rsidRPr="00DE058F" w:rsidRDefault="0021538A" w:rsidP="0021538A">
      <w:pPr>
        <w:rPr>
          <w:lang w:val="sr-Cyrl-CS"/>
        </w:rPr>
      </w:pPr>
      <w:r w:rsidRPr="00DE058F">
        <w:rPr>
          <w:lang w:val="sr-Cyrl-CS"/>
        </w:rPr>
        <w:t>Како би ублажила раст цена и инфлациона очекивања, НБС је у два наврата у априлу и мају 2022. године донела одлуку о повећању рестриктивности монетарне политике, подизањем референтне каматне стопе за по 0,5 п.п</w:t>
      </w:r>
      <w:r w:rsidR="00007166" w:rsidRPr="00DE058F">
        <w:rPr>
          <w:lang w:val="sr-Cyrl-CS"/>
        </w:rPr>
        <w:t>.</w:t>
      </w:r>
      <w:r w:rsidRPr="00DE058F">
        <w:rPr>
          <w:lang w:val="sr-Cyrl-CS"/>
        </w:rPr>
        <w:t xml:space="preserve">, на 2,0%. </w:t>
      </w:r>
      <w:r w:rsidR="00BE49BE" w:rsidRPr="00DE058F">
        <w:rPr>
          <w:lang w:val="sr-Cyrl-CS"/>
        </w:rPr>
        <w:t xml:space="preserve">Пре повећања референтне каматне стопе, </w:t>
      </w:r>
      <w:r w:rsidRPr="00DE058F">
        <w:rPr>
          <w:lang w:val="sr-Cyrl-CS"/>
        </w:rPr>
        <w:t xml:space="preserve">НБС је користила флексибилност свог монетарног оквира, па је </w:t>
      </w:r>
      <w:r w:rsidR="00BE49BE" w:rsidRPr="00DE058F">
        <w:rPr>
          <w:lang w:val="sr-Cyrl-CS"/>
        </w:rPr>
        <w:t xml:space="preserve">од октобра прошле године </w:t>
      </w:r>
      <w:r w:rsidR="00AD3773" w:rsidRPr="00DE058F">
        <w:rPr>
          <w:lang w:val="sr-Cyrl-CS"/>
        </w:rPr>
        <w:t xml:space="preserve">постепено </w:t>
      </w:r>
      <w:r w:rsidRPr="00DE058F">
        <w:rPr>
          <w:lang w:val="sr-Cyrl-CS"/>
        </w:rPr>
        <w:t>повећала просечну</w:t>
      </w:r>
      <w:r w:rsidR="00BE49BE" w:rsidRPr="00DE058F">
        <w:rPr>
          <w:lang w:val="sr-Cyrl-CS"/>
        </w:rPr>
        <w:t xml:space="preserve"> </w:t>
      </w:r>
      <w:r w:rsidR="00AD3773" w:rsidRPr="00DE058F">
        <w:rPr>
          <w:lang w:val="sr-Cyrl-CS"/>
        </w:rPr>
        <w:t xml:space="preserve">пондерисану </w:t>
      </w:r>
      <w:r w:rsidR="00BE49BE" w:rsidRPr="00DE058F">
        <w:rPr>
          <w:lang w:val="sr-Cyrl-CS"/>
        </w:rPr>
        <w:t>репо стопу и тиме започела</w:t>
      </w:r>
      <w:r w:rsidRPr="00DE058F">
        <w:rPr>
          <w:lang w:val="sr-Cyrl-CS"/>
        </w:rPr>
        <w:t xml:space="preserve"> процес пооштравања монетарних услова. </w:t>
      </w:r>
      <w:r w:rsidR="000070D4" w:rsidRPr="00DE058F">
        <w:rPr>
          <w:lang w:val="sr-Cyrl-CS"/>
        </w:rPr>
        <w:t>Значајан антиинфлациони ефекат има и релативна стабилност курса динара према евру, која је очувана захваљујући правовременим интервенцијама НБС у условима снажних депрецијацијских притисака који су били присутни од четвртог квартала 2021. године, пре свега услед тражње за девизама од стране домаћих компанија увозника енергената</w:t>
      </w:r>
      <w:r w:rsidRPr="00DE058F">
        <w:rPr>
          <w:lang w:val="sr-Cyrl-CS"/>
        </w:rPr>
        <w:t>. Поред утицаја на стабилност девизног курса, интервенције на девизном тржишту су имале и антиинфлациони ефекат повлачењем динарске ликвидности из банкарског система. У оваквим условима очувана је и додатно ојачана банкарска стабилност, уз даљи раст кредитне активности и смањење учешћа ненаплативих потраживања.</w:t>
      </w:r>
    </w:p>
    <w:p w14:paraId="1A3DC295" w14:textId="77777777" w:rsidR="00871703" w:rsidRPr="00DE058F" w:rsidRDefault="00871703" w:rsidP="00871703">
      <w:pPr>
        <w:pStyle w:val="Caption"/>
        <w:keepNext/>
        <w:spacing w:after="40"/>
        <w:rPr>
          <w:rFonts w:cstheme="minorHAnsi"/>
          <w:b w:val="0"/>
          <w:iCs w:val="0"/>
          <w:szCs w:val="22"/>
          <w:lang w:val="sr-Cyrl-CS"/>
        </w:rPr>
      </w:pPr>
      <w:r w:rsidRPr="00DE058F">
        <w:rPr>
          <w:rFonts w:cstheme="minorHAnsi"/>
          <w:iCs w:val="0"/>
          <w:szCs w:val="22"/>
          <w:lang w:val="sr-Cyrl-CS"/>
        </w:rPr>
        <w:t>Инфлација и референтна каматна стопа, %</w:t>
      </w:r>
    </w:p>
    <w:p w14:paraId="4E5E9D2D" w14:textId="77777777" w:rsidR="00871703" w:rsidRPr="00DE058F" w:rsidRDefault="00871703" w:rsidP="00871703">
      <w:pPr>
        <w:spacing w:after="40"/>
        <w:rPr>
          <w:rFonts w:cstheme="minorHAnsi"/>
          <w:bCs/>
          <w:szCs w:val="72"/>
          <w:highlight w:val="darkYellow"/>
          <w:lang w:val="sr-Cyrl-CS"/>
        </w:rPr>
      </w:pPr>
      <w:r w:rsidRPr="00DE058F">
        <w:rPr>
          <w:noProof/>
        </w:rPr>
        <w:drawing>
          <wp:inline distT="0" distB="0" distL="0" distR="0" wp14:anchorId="6294F656" wp14:editId="07BB2640">
            <wp:extent cx="2743200" cy="1758315"/>
            <wp:effectExtent l="0" t="0" r="0" b="0"/>
            <wp:docPr id="59" name="Chart 59">
              <a:extLst xmlns:a="http://schemas.openxmlformats.org/drawingml/2006/main">
                <a:ext uri="{FF2B5EF4-FFF2-40B4-BE49-F238E27FC236}">
                  <a16:creationId xmlns:a16="http://schemas.microsoft.com/office/drawing/2014/main" id="{00000000-0008-0000-0F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1EC0B964" w14:textId="77777777" w:rsidR="00871703" w:rsidRPr="00DE058F" w:rsidRDefault="00871703" w:rsidP="00871703">
      <w:pPr>
        <w:rPr>
          <w:rFonts w:cstheme="minorHAnsi"/>
          <w:bCs/>
          <w:szCs w:val="72"/>
          <w:lang w:val="sr-Cyrl-CS"/>
        </w:rPr>
      </w:pPr>
      <w:r w:rsidRPr="00DE058F">
        <w:rPr>
          <w:rFonts w:cstheme="minorHAnsi"/>
          <w:bCs/>
          <w:sz w:val="16"/>
          <w:szCs w:val="72"/>
          <w:lang w:val="sr-Cyrl-CS"/>
        </w:rPr>
        <w:t>Извор: РЗС и НБС</w:t>
      </w:r>
    </w:p>
    <w:p w14:paraId="3C396C42" w14:textId="23E919E9" w:rsidR="00D651FB" w:rsidRPr="00DE058F" w:rsidRDefault="00FD0B2E" w:rsidP="00D651FB">
      <w:pPr>
        <w:rPr>
          <w:lang w:val="sr-Cyrl-CS"/>
        </w:rPr>
      </w:pPr>
      <w:r w:rsidRPr="00DE058F">
        <w:rPr>
          <w:lang w:val="sr-Cyrl-CS"/>
        </w:rPr>
        <w:t xml:space="preserve">Са истим циљем смиривања инфлације и </w:t>
      </w:r>
      <w:r w:rsidR="00D651FB" w:rsidRPr="00DE058F">
        <w:rPr>
          <w:lang w:val="sr-Cyrl-CS"/>
        </w:rPr>
        <w:t>негативни</w:t>
      </w:r>
      <w:r w:rsidRPr="00DE058F">
        <w:rPr>
          <w:lang w:val="sr-Cyrl-CS"/>
        </w:rPr>
        <w:t>х</w:t>
      </w:r>
      <w:r w:rsidR="00D651FB" w:rsidRPr="00DE058F">
        <w:rPr>
          <w:lang w:val="sr-Cyrl-CS"/>
        </w:rPr>
        <w:t xml:space="preserve"> социјални</w:t>
      </w:r>
      <w:r w:rsidRPr="00DE058F">
        <w:rPr>
          <w:lang w:val="sr-Cyrl-CS"/>
        </w:rPr>
        <w:t>х</w:t>
      </w:r>
      <w:r w:rsidR="00D651FB" w:rsidRPr="00DE058F">
        <w:rPr>
          <w:lang w:val="sr-Cyrl-CS"/>
        </w:rPr>
        <w:t xml:space="preserve"> и економски</w:t>
      </w:r>
      <w:r w:rsidRPr="00DE058F">
        <w:rPr>
          <w:lang w:val="sr-Cyrl-CS"/>
        </w:rPr>
        <w:t>х</w:t>
      </w:r>
      <w:r w:rsidR="00AC7BB7" w:rsidRPr="00DE058F">
        <w:rPr>
          <w:lang w:val="sr-Cyrl-CS"/>
        </w:rPr>
        <w:t xml:space="preserve"> ефеката </w:t>
      </w:r>
      <w:r w:rsidR="00D651FB" w:rsidRPr="00DE058F">
        <w:rPr>
          <w:lang w:val="sr-Cyrl-CS"/>
        </w:rPr>
        <w:t xml:space="preserve"> раста светских цена хране и енергената</w:t>
      </w:r>
      <w:r w:rsidRPr="00DE058F">
        <w:rPr>
          <w:lang w:val="sr-Cyrl-CS"/>
        </w:rPr>
        <w:t>,</w:t>
      </w:r>
      <w:r w:rsidR="00D651FB" w:rsidRPr="00DE058F">
        <w:rPr>
          <w:lang w:val="sr-Cyrl-CS"/>
        </w:rPr>
        <w:t xml:space="preserve"> </w:t>
      </w:r>
      <w:r w:rsidRPr="00DE058F">
        <w:rPr>
          <w:lang w:val="sr-Cyrl-CS"/>
        </w:rPr>
        <w:t>Влада</w:t>
      </w:r>
      <w:r w:rsidR="00D651FB" w:rsidRPr="00DE058F">
        <w:rPr>
          <w:lang w:val="sr-Cyrl-CS"/>
        </w:rPr>
        <w:t xml:space="preserve"> је</w:t>
      </w:r>
      <w:r w:rsidRPr="00DE058F">
        <w:rPr>
          <w:lang w:val="sr-Cyrl-CS"/>
        </w:rPr>
        <w:t xml:space="preserve"> предузела</w:t>
      </w:r>
      <w:r w:rsidR="00D651FB" w:rsidRPr="00DE058F">
        <w:rPr>
          <w:lang w:val="sr-Cyrl-CS"/>
        </w:rPr>
        <w:t xml:space="preserve"> низ мера административног ограничавања цена и мањим делом фискалних мера у виду смањења акцизе на деривате нафте. Ограничене су цене основних животних </w:t>
      </w:r>
      <w:r w:rsidR="00D651FB" w:rsidRPr="00DE058F">
        <w:rPr>
          <w:lang w:val="sr-Cyrl-CS"/>
        </w:rPr>
        <w:lastRenderedPageBreak/>
        <w:t>намирница (шећер, брашно тип 400 и 50</w:t>
      </w:r>
      <w:r w:rsidR="00AC7510" w:rsidRPr="00DE058F">
        <w:rPr>
          <w:lang w:val="sr-Cyrl-CS"/>
        </w:rPr>
        <w:t>0</w:t>
      </w:r>
      <w:r w:rsidR="00D651FB" w:rsidRPr="00DE058F">
        <w:rPr>
          <w:lang w:val="sr-Cyrl-CS"/>
        </w:rPr>
        <w:t>, млеко са 2,8% мм, свињски бут, сунцокретово уље). Уредба је последњи пут крајем априла продужена на додатних 60 дана. Уредбом о привременој мери ограничења цена гаса утврђује се цена гаса за даљу продају и право на надокнаду разлике у цени гаса набављеног из увоза или произведеног у земљи. Уредбом о ограничењу висине цена нафтних деривата прописује се начин обрачуна највиших цена нафтних деривата у малопродаји, евродизела и европремијума БМБ 95. Посебно је ограничена цена деривата за пољопривреднике. Уз ову уредбу Влада је донела и одлуку о смањењу акциза на деривате наф</w:t>
      </w:r>
      <w:r w:rsidR="00916A0F" w:rsidRPr="00DE058F">
        <w:rPr>
          <w:lang w:val="sr-Cyrl-CS"/>
        </w:rPr>
        <w:t>те прво за 20%, а затим за 15%</w:t>
      </w:r>
      <w:r w:rsidR="00D651FB" w:rsidRPr="00DE058F">
        <w:rPr>
          <w:lang w:val="sr-Cyrl-CS"/>
        </w:rPr>
        <w:t>, док је изостало редовно јануарско усклађивање акциза на све производе. Привремено је био забрањен и извоз пшенице, пшеничног брашна, кукуруза, прекрупе и сунцокретовог уља како би се спречила несташица ових производа на домаћем тржишту. Од средине маја поново је дозвољен слободан извоз брашна, док су за остале производе и даље на снази ограничења (квоте). Циљ ових мера је смањење инфлаторних притисака и инфлационих очекивања, као и редовно и несметано снабдевање тржишта хран</w:t>
      </w:r>
      <w:r w:rsidR="001D530B" w:rsidRPr="00DE058F">
        <w:rPr>
          <w:lang w:val="sr-Cyrl-CS"/>
        </w:rPr>
        <w:t>ом и енергентима.</w:t>
      </w:r>
    </w:p>
    <w:p w14:paraId="7A3DC768" w14:textId="4BFB55C8" w:rsidR="0021538A" w:rsidRPr="00DE058F" w:rsidRDefault="0021538A" w:rsidP="00161001">
      <w:pPr>
        <w:pStyle w:val="Caption"/>
        <w:keepNext/>
        <w:jc w:val="both"/>
        <w:rPr>
          <w:rFonts w:cstheme="minorHAnsi"/>
          <w:b w:val="0"/>
          <w:iCs w:val="0"/>
          <w:color w:val="44546A" w:themeColor="text2"/>
          <w:spacing w:val="-2"/>
          <w:szCs w:val="22"/>
          <w:lang w:val="sr-Cyrl-CS"/>
        </w:rPr>
      </w:pPr>
      <w:r w:rsidRPr="00DE058F">
        <w:rPr>
          <w:rFonts w:cstheme="minorHAnsi"/>
          <w:b w:val="0"/>
          <w:iCs w:val="0"/>
          <w:color w:val="44546A" w:themeColor="text2"/>
          <w:spacing w:val="-2"/>
          <w:szCs w:val="22"/>
          <w:lang w:val="sr-Cyrl-CS"/>
        </w:rPr>
        <w:t>Кредитна активност бележи раст, који је подстакнут смањеним трошковима финансирања, до којих је дошло у претходним годинама, захваљујући ефектима ублажавања монетарне политике, али и снажног пада премије ризика, поправљања кредитног рејтинга, као и ублажавања монетарне политике ЕЦБ. На раст кредитне активности утицал</w:t>
      </w:r>
      <w:r w:rsidR="00BE49BE" w:rsidRPr="00DE058F">
        <w:rPr>
          <w:rFonts w:cstheme="minorHAnsi"/>
          <w:b w:val="0"/>
          <w:iCs w:val="0"/>
          <w:color w:val="44546A" w:themeColor="text2"/>
          <w:spacing w:val="-2"/>
          <w:szCs w:val="22"/>
          <w:lang w:val="sr-Cyrl-CS"/>
        </w:rPr>
        <w:t xml:space="preserve">о је </w:t>
      </w:r>
      <w:r w:rsidRPr="00DE058F">
        <w:rPr>
          <w:rFonts w:cstheme="minorHAnsi"/>
          <w:b w:val="0"/>
          <w:iCs w:val="0"/>
          <w:color w:val="44546A" w:themeColor="text2"/>
          <w:spacing w:val="-2"/>
          <w:szCs w:val="22"/>
          <w:lang w:val="sr-Cyrl-CS"/>
        </w:rPr>
        <w:t xml:space="preserve">и одобравање динарских кредита из гарантне шеме по нижим каматним стопама, затим смањено обавезно учешће за куповину првог стана, смањен минимални степен изграђености објекта чију је куповину могуће финансирати стамбеним кредитима банака и продужавање рока отплате стамбених кредита. Такође, значајно је повећан удео динарских пласмана, што је резултат раста динарских кредита привреди (добрим делом из гарантне шеме), односно пада каматних стопа на динарске кредите, као и мере НБС у циљу подршке процесу динаризације. Позитиван допринос расту кредита долази и од кредита привреди и кредита становништву. Кредити привреди су били значајно подстакнути растом кредита за ликвидност и </w:t>
      </w:r>
      <w:r w:rsidRPr="00DE058F">
        <w:rPr>
          <w:rFonts w:cstheme="minorHAnsi"/>
          <w:b w:val="0"/>
          <w:iCs w:val="0"/>
          <w:color w:val="44546A" w:themeColor="text2"/>
          <w:spacing w:val="-2"/>
          <w:szCs w:val="22"/>
          <w:lang w:val="sr-Cyrl-CS"/>
        </w:rPr>
        <w:t>обртна средства, али важно је напоменути и растући значај инвестиционих кредита који су забележили опоравак и континуирано расту од трећег квартала 2021. године. Истовремено, у великој мери као резултат подстицања стамбених кредита, њихов допринос расту укупних кредита становништву је био најзначајнији, већи и од доприноса готовинских кредита, који имају највећи удео у укупним кредитима становништву. Крајем марта 2022. године регистрован је номинални раст укупних кредита за 12,4%, мг</w:t>
      </w:r>
      <w:r w:rsidR="008D38D5" w:rsidRPr="00DE058F">
        <w:rPr>
          <w:rFonts w:cstheme="minorHAnsi"/>
          <w:b w:val="0"/>
          <w:iCs w:val="0"/>
          <w:color w:val="44546A" w:themeColor="text2"/>
          <w:spacing w:val="-2"/>
          <w:szCs w:val="22"/>
          <w:lang w:val="sr-Cyrl-CS"/>
        </w:rPr>
        <w:t>.</w:t>
      </w:r>
      <w:r w:rsidRPr="00DE058F">
        <w:rPr>
          <w:rFonts w:cstheme="minorHAnsi"/>
          <w:b w:val="0"/>
          <w:iCs w:val="0"/>
          <w:color w:val="44546A" w:themeColor="text2"/>
          <w:spacing w:val="-2"/>
          <w:szCs w:val="22"/>
          <w:lang w:val="sr-Cyrl-CS"/>
        </w:rPr>
        <w:t>, од чега су кредити привреди забележили раст од 14,0%, док су кредити становништву били већи за 10,5%. Раст кредитне активности истовремено није пратио пораст удела проблематичних кредита. Стратегијом за решавање проблематичних кредита, чија је примена започета у другој половини 2015. године, учешће проблематичних кредита банкарског сектора у укупним кредитима значајно је смањено и на крају фебруара 2022. године износило је 3,5%. То је у поређењу са периодом пре примене Стратегије смањење за 18,79 п.п.</w:t>
      </w:r>
    </w:p>
    <w:p w14:paraId="2F17D00D" w14:textId="77777777" w:rsidR="0021538A" w:rsidRPr="00DE058F" w:rsidRDefault="0021538A" w:rsidP="008527D6">
      <w:pPr>
        <w:pStyle w:val="Caption"/>
        <w:keepNext/>
        <w:rPr>
          <w:rFonts w:cstheme="minorHAnsi"/>
          <w:b w:val="0"/>
          <w:i/>
          <w:iCs w:val="0"/>
          <w:szCs w:val="22"/>
          <w:lang w:val="sr-Cyrl-CS"/>
        </w:rPr>
      </w:pPr>
      <w:r w:rsidRPr="00DE058F">
        <w:rPr>
          <w:rFonts w:cstheme="minorHAnsi"/>
          <w:iCs w:val="0"/>
          <w:szCs w:val="22"/>
          <w:lang w:val="sr-Cyrl-CS"/>
        </w:rPr>
        <w:t>Проблематични кредити, млрд РСД</w:t>
      </w:r>
    </w:p>
    <w:p w14:paraId="3F955286" w14:textId="77777777" w:rsidR="0021538A" w:rsidRPr="00DE058F" w:rsidRDefault="0021538A" w:rsidP="0021538A">
      <w:pPr>
        <w:spacing w:after="40"/>
        <w:rPr>
          <w:rFonts w:cstheme="minorHAnsi"/>
          <w:bCs/>
          <w:szCs w:val="72"/>
          <w:highlight w:val="yellow"/>
          <w:lang w:val="sr-Cyrl-CS"/>
        </w:rPr>
      </w:pPr>
      <w:r w:rsidRPr="00DE058F">
        <w:rPr>
          <w:noProof/>
        </w:rPr>
        <w:drawing>
          <wp:inline distT="0" distB="0" distL="0" distR="0" wp14:anchorId="50D56C51" wp14:editId="26A9373E">
            <wp:extent cx="2743200" cy="1673860"/>
            <wp:effectExtent l="0" t="0" r="0" b="2540"/>
            <wp:docPr id="56" name="Chart 56">
              <a:extLst xmlns:a="http://schemas.openxmlformats.org/drawingml/2006/main">
                <a:ext uri="{FF2B5EF4-FFF2-40B4-BE49-F238E27FC236}">
                  <a16:creationId xmlns:a16="http://schemas.microsoft.com/office/drawing/2014/main" id="{00000000-0008-0000-1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5E8BA350" w14:textId="77777777" w:rsidR="0021538A" w:rsidRPr="00DE058F" w:rsidRDefault="0021538A" w:rsidP="0021538A">
      <w:pPr>
        <w:spacing w:after="120"/>
        <w:rPr>
          <w:rFonts w:cstheme="minorHAnsi"/>
          <w:lang w:val="sr-Cyrl-CS"/>
        </w:rPr>
      </w:pPr>
      <w:r w:rsidRPr="00DE058F">
        <w:rPr>
          <w:rFonts w:cstheme="minorHAnsi"/>
          <w:bCs/>
          <w:sz w:val="16"/>
          <w:szCs w:val="72"/>
          <w:lang w:val="sr-Cyrl-CS"/>
        </w:rPr>
        <w:t>Извор: НБС</w:t>
      </w:r>
    </w:p>
    <w:p w14:paraId="26917D9D" w14:textId="34149F01" w:rsidR="0021538A" w:rsidRPr="00DE058F" w:rsidRDefault="0021538A" w:rsidP="00F762CA">
      <w:pPr>
        <w:rPr>
          <w:rFonts w:cstheme="minorHAnsi"/>
          <w:bCs/>
          <w:spacing w:val="-2"/>
          <w:szCs w:val="72"/>
          <w:lang w:val="sr-Cyrl-CS"/>
        </w:rPr>
      </w:pPr>
      <w:r w:rsidRPr="00DE058F">
        <w:rPr>
          <w:rFonts w:cstheme="minorHAnsi"/>
          <w:bCs/>
          <w:szCs w:val="72"/>
          <w:lang w:val="sr-Cyrl-CS"/>
        </w:rPr>
        <w:t xml:space="preserve">Услед добрих макроекономских кретања, привредног раста изнад очекиваног и солидног прилива </w:t>
      </w:r>
      <w:r w:rsidR="002D0316" w:rsidRPr="00DE058F">
        <w:rPr>
          <w:rFonts w:cstheme="minorHAnsi"/>
          <w:bCs/>
          <w:szCs w:val="72"/>
          <w:lang w:val="sr-Cyrl-CS"/>
        </w:rPr>
        <w:t>СДИ</w:t>
      </w:r>
      <w:r w:rsidRPr="00DE058F">
        <w:rPr>
          <w:rFonts w:cstheme="minorHAnsi"/>
          <w:bCs/>
          <w:szCs w:val="72"/>
          <w:lang w:val="sr-Cyrl-CS"/>
        </w:rPr>
        <w:t>, већи део 2021. године обележила су стабилна кретања на девизном тржишту.</w:t>
      </w:r>
      <w:r w:rsidRPr="00DE058F">
        <w:rPr>
          <w:rFonts w:cstheme="minorHAnsi"/>
          <w:bCs/>
          <w:color w:val="FF0000"/>
          <w:szCs w:val="72"/>
          <w:lang w:val="sr-Cyrl-CS"/>
        </w:rPr>
        <w:t xml:space="preserve"> </w:t>
      </w:r>
      <w:r w:rsidRPr="00DE058F">
        <w:rPr>
          <w:rFonts w:cstheme="minorHAnsi"/>
          <w:bCs/>
          <w:szCs w:val="72"/>
          <w:lang w:val="sr-Cyrl-CS"/>
        </w:rPr>
        <w:t>Међутим, од четвртог квартала 2021. године били су присутни значајни депрецијацијски притисци на девизном тржишту и повећана тражња за девизама као резултат интензивније куповине девиза од стране увозника енергената, као и појачане глобалне неизвесности услед геополитичке кризе у Украјини</w:t>
      </w:r>
      <w:r w:rsidRPr="00DE058F">
        <w:rPr>
          <w:rFonts w:cstheme="minorHAnsi"/>
          <w:bCs/>
          <w:spacing w:val="-2"/>
          <w:szCs w:val="72"/>
          <w:lang w:val="sr-Cyrl-CS"/>
        </w:rPr>
        <w:t xml:space="preserve">. Адекватним мерама НБС оваква кретања су у највећој мери заустављена у априлу, умирена је тражња за </w:t>
      </w:r>
      <w:r w:rsidRPr="00DE058F">
        <w:rPr>
          <w:rFonts w:cstheme="minorHAnsi"/>
          <w:bCs/>
          <w:spacing w:val="-2"/>
          <w:szCs w:val="72"/>
          <w:lang w:val="sr-Cyrl-CS"/>
        </w:rPr>
        <w:lastRenderedPageBreak/>
        <w:t xml:space="preserve">девизама, те </w:t>
      </w:r>
      <w:r w:rsidR="00CF1542" w:rsidRPr="00DE058F">
        <w:rPr>
          <w:rFonts w:cstheme="minorHAnsi"/>
          <w:bCs/>
          <w:spacing w:val="-2"/>
          <w:szCs w:val="72"/>
          <w:lang w:val="sr-Cyrl-CS"/>
        </w:rPr>
        <w:t>је однос тражње и понуде девиз</w:t>
      </w:r>
      <w:r w:rsidR="00BE49BE" w:rsidRPr="00DE058F">
        <w:rPr>
          <w:rFonts w:cstheme="minorHAnsi"/>
          <w:bCs/>
          <w:spacing w:val="-2"/>
          <w:szCs w:val="72"/>
          <w:lang w:val="sr-Cyrl-CS"/>
        </w:rPr>
        <w:t>а на девизном тржишту знатно уравнотеженији</w:t>
      </w:r>
      <w:r w:rsidRPr="00DE058F">
        <w:rPr>
          <w:rFonts w:cstheme="minorHAnsi"/>
          <w:bCs/>
          <w:spacing w:val="-2"/>
          <w:szCs w:val="72"/>
          <w:lang w:val="sr-Cyrl-CS"/>
        </w:rPr>
        <w:t>. У априлу 2022. године динар је на међугодишњем нивоу у просеку забележио номиналну депрецијацију (0,1%), односно реалну апрецијацију (1,8%). Ради очувања релативне стабилности курса динара према евру, НБС је у прва четири месеца 2022. године интервенисала на међубанкарском девизном тржишту нето продајом 2,3 млрд евра.</w:t>
      </w:r>
    </w:p>
    <w:p w14:paraId="2B8D0253" w14:textId="77777777" w:rsidR="008A5B9A" w:rsidRPr="00DE058F" w:rsidRDefault="008A5B9A" w:rsidP="005516BC">
      <w:pPr>
        <w:pStyle w:val="Caption"/>
        <w:keepNext/>
        <w:spacing w:after="0"/>
        <w:rPr>
          <w:rFonts w:cstheme="minorHAnsi"/>
          <w:b w:val="0"/>
          <w:i/>
          <w:iCs w:val="0"/>
          <w:szCs w:val="22"/>
          <w:lang w:val="sr-Cyrl-CS"/>
        </w:rPr>
      </w:pPr>
      <w:r w:rsidRPr="00DE058F">
        <w:rPr>
          <w:rFonts w:cstheme="minorHAnsi"/>
          <w:iCs w:val="0"/>
          <w:szCs w:val="22"/>
          <w:lang w:val="sr-Cyrl-CS"/>
        </w:rPr>
        <w:t>Девизни курс и интервенције НБС на девизном тржишту</w:t>
      </w:r>
    </w:p>
    <w:p w14:paraId="5B9F0198" w14:textId="77777777" w:rsidR="008A5B9A" w:rsidRPr="00DE058F" w:rsidRDefault="008A5B9A" w:rsidP="00F762CA">
      <w:pPr>
        <w:spacing w:after="20"/>
        <w:rPr>
          <w:rFonts w:cstheme="minorHAnsi"/>
          <w:bCs/>
          <w:szCs w:val="72"/>
          <w:highlight w:val="darkYellow"/>
          <w:lang w:val="sr-Cyrl-CS"/>
        </w:rPr>
      </w:pPr>
      <w:r w:rsidRPr="00DE058F">
        <w:rPr>
          <w:noProof/>
        </w:rPr>
        <w:drawing>
          <wp:inline distT="0" distB="0" distL="0" distR="0" wp14:anchorId="5355F8CD" wp14:editId="2436B926">
            <wp:extent cx="2743200" cy="1698625"/>
            <wp:effectExtent l="0" t="0" r="0" b="0"/>
            <wp:docPr id="57" name="Chart 57">
              <a:extLst xmlns:a="http://schemas.openxmlformats.org/drawingml/2006/main">
                <a:ext uri="{FF2B5EF4-FFF2-40B4-BE49-F238E27FC236}">
                  <a16:creationId xmlns:a16="http://schemas.microsoft.com/office/drawing/2014/main" id="{00000000-0008-0000-12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7E0CFD15" w14:textId="77777777" w:rsidR="008A5B9A" w:rsidRPr="00DE058F" w:rsidRDefault="008A5B9A" w:rsidP="00852421">
      <w:pPr>
        <w:spacing w:after="120"/>
        <w:rPr>
          <w:rFonts w:cstheme="minorHAnsi"/>
          <w:bCs/>
          <w:szCs w:val="72"/>
          <w:lang w:val="sr-Cyrl-CS"/>
        </w:rPr>
      </w:pPr>
      <w:r w:rsidRPr="00DE058F">
        <w:rPr>
          <w:rFonts w:cstheme="minorHAnsi"/>
          <w:bCs/>
          <w:sz w:val="16"/>
          <w:szCs w:val="72"/>
          <w:lang w:val="sr-Cyrl-CS"/>
        </w:rPr>
        <w:t>Извор: НБС</w:t>
      </w:r>
    </w:p>
    <w:p w14:paraId="0CE68954" w14:textId="0BC8310F" w:rsidR="0021538A" w:rsidRPr="00DE058F" w:rsidRDefault="0021538A" w:rsidP="00F762CA">
      <w:pPr>
        <w:rPr>
          <w:rFonts w:cstheme="minorHAnsi"/>
          <w:bCs/>
          <w:szCs w:val="72"/>
          <w:lang w:val="sr-Cyrl-CS"/>
        </w:rPr>
      </w:pPr>
      <w:r w:rsidRPr="00DE058F">
        <w:rPr>
          <w:rFonts w:cstheme="minorHAnsi"/>
          <w:bCs/>
          <w:szCs w:val="72"/>
          <w:lang w:val="sr-Cyrl-CS"/>
        </w:rPr>
        <w:t>Девизне резерве су у април</w:t>
      </w:r>
      <w:r w:rsidR="00815CC2" w:rsidRPr="00DE058F">
        <w:rPr>
          <w:rFonts w:cstheme="minorHAnsi"/>
          <w:bCs/>
          <w:szCs w:val="72"/>
          <w:lang w:val="sr-Cyrl-CS"/>
        </w:rPr>
        <w:t>у</w:t>
      </w:r>
      <w:r w:rsidRPr="00DE058F">
        <w:rPr>
          <w:rFonts w:cstheme="minorHAnsi"/>
          <w:bCs/>
          <w:szCs w:val="72"/>
          <w:lang w:val="sr-Cyrl-CS"/>
        </w:rPr>
        <w:t xml:space="preserve"> 2022. године у односу на претходни месец смањене за 182,7 мил. евра и износиле су 14,1 млрд евра, што је било довољно за покривеност новчане масе М1 од 135% и пет месеци увоза робе и услуга. На смањење бруто девизних резерви и у априлу у највећој мери су утицале активности Народне банке Србије на међубанкарском девизном тржишту, које су биле неопходне ради очувања стабилности на домаћем девизном тржишту. У поређењу са истим месецом претходне године, девизне резерве НБС су повећане за 116,2 мил</w:t>
      </w:r>
      <w:r w:rsidR="00D61C0C" w:rsidRPr="00DE058F">
        <w:rPr>
          <w:rFonts w:cstheme="minorHAnsi"/>
          <w:bCs/>
          <w:szCs w:val="72"/>
          <w:lang w:val="sr-Cyrl-CS"/>
        </w:rPr>
        <w:t>.</w:t>
      </w:r>
      <w:r w:rsidRPr="00DE058F">
        <w:rPr>
          <w:rFonts w:cstheme="minorHAnsi"/>
          <w:bCs/>
          <w:szCs w:val="72"/>
          <w:lang w:val="sr-Cyrl-CS"/>
        </w:rPr>
        <w:t xml:space="preserve"> евра.</w:t>
      </w:r>
    </w:p>
    <w:p w14:paraId="259A05AC" w14:textId="77777777" w:rsidR="008A5B9A" w:rsidRPr="00DE058F" w:rsidRDefault="008A5B9A" w:rsidP="00F762CA">
      <w:pPr>
        <w:spacing w:after="40"/>
        <w:jc w:val="center"/>
        <w:rPr>
          <w:rFonts w:cstheme="minorHAnsi"/>
          <w:b/>
          <w:i/>
          <w:iCs/>
          <w:color w:val="002060"/>
          <w:lang w:val="sr-Cyrl-CS"/>
        </w:rPr>
      </w:pPr>
      <w:r w:rsidRPr="00DE058F">
        <w:rPr>
          <w:rFonts w:cstheme="minorHAnsi"/>
          <w:b/>
          <w:color w:val="002060"/>
          <w:lang w:val="sr-Cyrl-CS"/>
        </w:rPr>
        <w:t>Девизне резерве и девизна штедња, млрд евра</w:t>
      </w:r>
    </w:p>
    <w:p w14:paraId="20D8712D" w14:textId="77777777" w:rsidR="008A5B9A" w:rsidRPr="00DE058F" w:rsidRDefault="008A5B9A" w:rsidP="008A5B9A">
      <w:pPr>
        <w:spacing w:after="0"/>
        <w:rPr>
          <w:rFonts w:cstheme="minorHAnsi"/>
          <w:bCs/>
          <w:szCs w:val="72"/>
          <w:highlight w:val="darkYellow"/>
          <w:lang w:val="sr-Cyrl-CS"/>
        </w:rPr>
      </w:pPr>
      <w:r w:rsidRPr="00DE058F">
        <w:rPr>
          <w:noProof/>
        </w:rPr>
        <w:drawing>
          <wp:inline distT="0" distB="0" distL="0" distR="0" wp14:anchorId="3ACFFA43" wp14:editId="2AF82DE0">
            <wp:extent cx="2743200" cy="1687132"/>
            <wp:effectExtent l="0" t="0" r="0" b="8890"/>
            <wp:docPr id="58" name="Chart 58">
              <a:extLst xmlns:a="http://schemas.openxmlformats.org/drawingml/2006/main">
                <a:ext uri="{FF2B5EF4-FFF2-40B4-BE49-F238E27FC236}">
                  <a16:creationId xmlns:a16="http://schemas.microsoft.com/office/drawing/2014/main" id="{00000000-0008-0000-11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2A7A8F16" w14:textId="77777777" w:rsidR="008A5B9A" w:rsidRPr="00DE058F" w:rsidRDefault="008A5B9A" w:rsidP="008A5B9A">
      <w:pPr>
        <w:spacing w:after="120"/>
        <w:rPr>
          <w:rFonts w:cstheme="minorHAnsi"/>
          <w:bCs/>
          <w:szCs w:val="72"/>
          <w:lang w:val="sr-Cyrl-CS"/>
        </w:rPr>
      </w:pPr>
      <w:r w:rsidRPr="00DE058F">
        <w:rPr>
          <w:rFonts w:cstheme="minorHAnsi"/>
          <w:bCs/>
          <w:sz w:val="16"/>
          <w:szCs w:val="72"/>
          <w:lang w:val="sr-Cyrl-CS"/>
        </w:rPr>
        <w:t>Извор: НБС</w:t>
      </w:r>
    </w:p>
    <w:p w14:paraId="4EAECB2B" w14:textId="174489AD" w:rsidR="0021538A" w:rsidRPr="00DE058F" w:rsidRDefault="0021538A" w:rsidP="00F762CA">
      <w:pPr>
        <w:spacing w:after="120"/>
        <w:rPr>
          <w:rFonts w:cstheme="minorHAnsi"/>
          <w:bCs/>
          <w:szCs w:val="72"/>
          <w:lang w:val="sr-Cyrl-CS"/>
        </w:rPr>
      </w:pPr>
      <w:r w:rsidRPr="00DE058F">
        <w:rPr>
          <w:rFonts w:cstheme="minorHAnsi"/>
          <w:bCs/>
          <w:szCs w:val="72"/>
          <w:lang w:val="sr-Cyrl-CS"/>
        </w:rPr>
        <w:t>Очекује се да ће инфлација под негативним утицајем фактора екстерног карактера, пре свега, раста светских цена примарних производа, енер</w:t>
      </w:r>
      <w:r w:rsidR="00FE4613" w:rsidRPr="00DE058F">
        <w:rPr>
          <w:rFonts w:cstheme="minorHAnsi"/>
          <w:bCs/>
          <w:szCs w:val="72"/>
          <w:lang w:val="sr-Cyrl-CS"/>
        </w:rPr>
        <w:t xml:space="preserve">гената и више увозне инфлације </w:t>
      </w:r>
      <w:r w:rsidRPr="00DE058F">
        <w:rPr>
          <w:rFonts w:cstheme="minorHAnsi"/>
          <w:bCs/>
          <w:szCs w:val="72"/>
          <w:lang w:val="sr-Cyrl-CS"/>
        </w:rPr>
        <w:t xml:space="preserve">наставити да се креће изнад горње границе циља у 2022. и у првој половини 2023. године. Са постепеним ишчезавањем дејства наведених фактора предвиђа се враћање инфлације у оквире циљаних вредности у другој половини 2023. године. У смеру смиривања инфлаторних притисака деловаће и ефекти досадашњег заоштравања монетарних услова, а у кратком року и ефекти економских мера Владе усмерених на цене основних животних намирница и енергената на домаћем тржишту. Кључни ризици остварења пројекције инфлације односе се на </w:t>
      </w:r>
      <w:r w:rsidR="00176F75" w:rsidRPr="00DE058F">
        <w:rPr>
          <w:rFonts w:cstheme="minorHAnsi"/>
          <w:bCs/>
          <w:szCs w:val="72"/>
          <w:lang w:val="sr-Cyrl-CS"/>
        </w:rPr>
        <w:t>геополитичка дешавања</w:t>
      </w:r>
      <w:r w:rsidRPr="00DE058F">
        <w:rPr>
          <w:rFonts w:cstheme="minorHAnsi"/>
          <w:bCs/>
          <w:szCs w:val="72"/>
          <w:lang w:val="sr-Cyrl-CS"/>
        </w:rPr>
        <w:t>, затим на неизвесности у погледу кретања светских цена ене</w:t>
      </w:r>
      <w:r w:rsidR="00E96528" w:rsidRPr="00DE058F">
        <w:rPr>
          <w:rFonts w:cstheme="minorHAnsi"/>
          <w:bCs/>
          <w:szCs w:val="72"/>
          <w:lang w:val="sr-Cyrl-CS"/>
        </w:rPr>
        <w:t>ргената, и примарних производа.</w:t>
      </w:r>
    </w:p>
    <w:p w14:paraId="165682EE" w14:textId="77777777" w:rsidR="0021538A" w:rsidRPr="00DE058F" w:rsidRDefault="0021538A" w:rsidP="00C130D2">
      <w:pPr>
        <w:pStyle w:val="Caption"/>
        <w:keepNext/>
        <w:rPr>
          <w:rFonts w:cstheme="minorHAnsi"/>
          <w:iCs w:val="0"/>
          <w:szCs w:val="22"/>
          <w:lang w:val="sr-Cyrl-CS"/>
        </w:rPr>
      </w:pPr>
      <w:r w:rsidRPr="00DE058F">
        <w:rPr>
          <w:rFonts w:cstheme="minorHAnsi"/>
          <w:iCs w:val="0"/>
          <w:szCs w:val="22"/>
          <w:lang w:val="sr-Cyrl-CS"/>
        </w:rPr>
        <w:t>Пројекција инфлације, %</w:t>
      </w:r>
    </w:p>
    <w:p w14:paraId="0FE9A3DB" w14:textId="1D8AC417" w:rsidR="0021538A" w:rsidRPr="00DE058F" w:rsidRDefault="008527D6" w:rsidP="00807FC3">
      <w:pPr>
        <w:spacing w:after="0"/>
        <w:rPr>
          <w:rFonts w:cstheme="minorHAnsi"/>
          <w:sz w:val="16"/>
          <w:szCs w:val="16"/>
          <w:lang w:val="sr-Cyrl-CS"/>
        </w:rPr>
      </w:pPr>
      <w:r w:rsidRPr="00DE058F">
        <w:rPr>
          <w:noProof/>
        </w:rPr>
        <w:drawing>
          <wp:inline distT="0" distB="0" distL="0" distR="0" wp14:anchorId="45978543" wp14:editId="6F916538">
            <wp:extent cx="2743200" cy="1687830"/>
            <wp:effectExtent l="0" t="0" r="0" b="7620"/>
            <wp:docPr id="35" name="Chart 35">
              <a:extLst xmlns:a="http://schemas.openxmlformats.org/drawingml/2006/main">
                <a:ext uri="{FF2B5EF4-FFF2-40B4-BE49-F238E27FC236}">
                  <a16:creationId xmlns:a16="http://schemas.microsoft.com/office/drawing/2014/main" id="{00000000-0008-0000-1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113FAF4D" w14:textId="77777777" w:rsidR="0021538A" w:rsidRPr="00DE058F" w:rsidRDefault="0021538A" w:rsidP="00161001">
      <w:pPr>
        <w:rPr>
          <w:rFonts w:cstheme="minorHAnsi"/>
          <w:bCs/>
          <w:sz w:val="16"/>
          <w:szCs w:val="72"/>
          <w:lang w:val="sr-Cyrl-CS"/>
        </w:rPr>
      </w:pPr>
      <w:r w:rsidRPr="00DE058F">
        <w:rPr>
          <w:rFonts w:cstheme="minorHAnsi"/>
          <w:bCs/>
          <w:sz w:val="16"/>
          <w:szCs w:val="72"/>
          <w:lang w:val="sr-Cyrl-CS"/>
        </w:rPr>
        <w:t>Изв</w:t>
      </w:r>
      <w:bookmarkStart w:id="11" w:name="_Toc23342463"/>
      <w:r w:rsidRPr="00DE058F">
        <w:rPr>
          <w:rFonts w:cstheme="minorHAnsi"/>
          <w:bCs/>
          <w:sz w:val="16"/>
          <w:szCs w:val="72"/>
          <w:lang w:val="sr-Cyrl-CS"/>
        </w:rPr>
        <w:t>ор: Министарство финансија</w:t>
      </w:r>
    </w:p>
    <w:bookmarkEnd w:id="11"/>
    <w:p w14:paraId="25C2EBCE" w14:textId="77777777" w:rsidR="00C32486" w:rsidRPr="00DE058F" w:rsidRDefault="00C32486" w:rsidP="008527D6">
      <w:pPr>
        <w:jc w:val="left"/>
        <w:rPr>
          <w:rFonts w:cstheme="minorHAnsi"/>
          <w:b/>
          <w:color w:val="2F5496" w:themeColor="accent1" w:themeShade="BF"/>
          <w:sz w:val="22"/>
          <w:lang w:val="sr-Cyrl-CS"/>
        </w:rPr>
      </w:pPr>
      <w:r w:rsidRPr="00DE058F">
        <w:rPr>
          <w:rFonts w:cstheme="minorHAnsi"/>
          <w:b/>
          <w:color w:val="2F5496" w:themeColor="accent1" w:themeShade="BF"/>
          <w:sz w:val="22"/>
          <w:lang w:val="sr-Cyrl-CS"/>
        </w:rPr>
        <w:t>Екстерни сектор</w:t>
      </w:r>
    </w:p>
    <w:p w14:paraId="41DD0B2A" w14:textId="0109A349" w:rsidR="00C32486" w:rsidRPr="00DE058F" w:rsidRDefault="00C32486" w:rsidP="00E96528">
      <w:pPr>
        <w:rPr>
          <w:rFonts w:cstheme="minorHAnsi"/>
          <w:spacing w:val="-2"/>
          <w:szCs w:val="20"/>
          <w:lang w:val="sr-Cyrl-CS"/>
        </w:rPr>
      </w:pPr>
      <w:r w:rsidRPr="00DE058F">
        <w:rPr>
          <w:rFonts w:eastAsia="Times New Roman" w:cstheme="minorHAnsi"/>
          <w:spacing w:val="-2"/>
          <w:szCs w:val="24"/>
          <w:lang w:val="sr-Cyrl-CS"/>
        </w:rPr>
        <w:t xml:space="preserve">Након смањеног обима спољнотрговинске робне размене у 2020. години, изазваног, пре свега, смањеном спољном тражњом и увођењем ванредног стања, кретања у екстерном сектору су била далеко повољнија у 2021. години. Томе је допринело више фактора, пре свега опоравак економија најзначајнијих трговинских партнера Србије и последично повећана екстерна тражња, побољшана структура домаће економије и активирање нових привредних капацитета, као и наставак побољшања односа размене. Укупан обим спољнотрговинске робне размене у 2021. години износио је 50,2 млрд евра, и био је за 25,5% већи </w:t>
      </w:r>
      <w:r w:rsidR="00F43E07" w:rsidRPr="00DE058F">
        <w:rPr>
          <w:rFonts w:eastAsia="Times New Roman" w:cstheme="minorHAnsi"/>
          <w:spacing w:val="-2"/>
          <w:szCs w:val="24"/>
          <w:lang w:val="sr-Cyrl-CS"/>
        </w:rPr>
        <w:t>у односу на 2020. годину</w:t>
      </w:r>
      <w:r w:rsidRPr="00DE058F">
        <w:rPr>
          <w:rFonts w:eastAsia="Times New Roman" w:cstheme="minorHAnsi"/>
          <w:spacing w:val="-2"/>
          <w:szCs w:val="24"/>
          <w:lang w:val="sr-Cyrl-CS"/>
        </w:rPr>
        <w:t xml:space="preserve">. Висок раст био је </w:t>
      </w:r>
      <w:r w:rsidRPr="00DE058F">
        <w:rPr>
          <w:rFonts w:eastAsia="Times New Roman" w:cstheme="minorHAnsi"/>
          <w:spacing w:val="-2"/>
          <w:szCs w:val="24"/>
          <w:lang w:val="sr-Cyrl-CS"/>
        </w:rPr>
        <w:lastRenderedPageBreak/>
        <w:t>резултат, пре свега убрзања економске активности, мада је једним делом и последица базног ефекта, односно ниског обима спољнотрговинске размене, нарочито у другом кварталу 2020. године.</w:t>
      </w:r>
    </w:p>
    <w:p w14:paraId="58020F1E" w14:textId="794E0568" w:rsidR="00C32486" w:rsidRPr="00DE058F" w:rsidRDefault="00C32486" w:rsidP="00E96528">
      <w:pPr>
        <w:rPr>
          <w:rFonts w:eastAsia="Times New Roman" w:cstheme="minorHAnsi"/>
          <w:szCs w:val="24"/>
          <w:highlight w:val="yellow"/>
          <w:lang w:val="sr-Cyrl-CS"/>
        </w:rPr>
      </w:pPr>
      <w:r w:rsidRPr="00DE058F">
        <w:rPr>
          <w:rFonts w:eastAsia="Times New Roman" w:cstheme="minorHAnsi"/>
          <w:szCs w:val="24"/>
          <w:lang w:val="sr-Cyrl-CS"/>
        </w:rPr>
        <w:t xml:space="preserve">Током првог квартала 2022. године, извезено је робе у укупној вредности од 6,2 млрд евра, што представља повећање у односу на исти период у прошлој години од 28,5%. Висок раст извоза условљен је, с једне стране, растом екстерне тражње као резултат опоравка привреда главних спољнотрговинских партнера, а са друге, активирањем нових извозно оријентисаних капацитета, услед високог прилива </w:t>
      </w:r>
      <w:r w:rsidR="002C13B8" w:rsidRPr="00DE058F">
        <w:rPr>
          <w:rFonts w:eastAsia="Times New Roman" w:cstheme="minorHAnsi"/>
          <w:szCs w:val="24"/>
          <w:lang w:val="sr-Cyrl-CS"/>
        </w:rPr>
        <w:t>СДИ</w:t>
      </w:r>
      <w:r w:rsidRPr="00DE058F">
        <w:rPr>
          <w:rFonts w:eastAsia="Times New Roman" w:cstheme="minorHAnsi"/>
          <w:szCs w:val="24"/>
          <w:lang w:val="sr-Cyrl-CS"/>
        </w:rPr>
        <w:t xml:space="preserve"> из претходног периода, које су у значајном обиму биле усмерене у разменљиве секторе. Извоз прерађивачке индустрије, која је и главни генератор раста извоза, већи је за чак 1,1 млрд евра или 25,9% у односу на прва три месеца 2021. године, при чему је у оквиру ње остварен раст у свих 23 области.</w:t>
      </w:r>
      <w:r w:rsidRPr="00DE058F">
        <w:rPr>
          <w:rFonts w:cstheme="minorHAnsi"/>
          <w:szCs w:val="20"/>
          <w:lang w:val="sr-Cyrl-CS"/>
        </w:rPr>
        <w:t xml:space="preserve"> </w:t>
      </w:r>
      <w:r w:rsidRPr="00DE058F">
        <w:rPr>
          <w:rFonts w:eastAsia="Times New Roman" w:cstheme="minorHAnsi"/>
          <w:szCs w:val="24"/>
          <w:lang w:val="sr-Cyrl-CS"/>
        </w:rPr>
        <w:t xml:space="preserve">Расту извоза прерађивачке индустрије највише је допринео раст извоза у металској, прехрамбеној и хемијској индустрији. Поред прерађивачке индустрије, значајан допринос расту извоза долази и од експлоатације руда метала, која бележи рекордно високе вредности оствареног извоза. Пољопривреда је, са друге стране, и поред раста цена житарица и примарних пољопривредних производа, забележила пад </w:t>
      </w:r>
      <w:r w:rsidR="00AB1EFC" w:rsidRPr="00DE058F">
        <w:rPr>
          <w:rFonts w:eastAsia="Times New Roman" w:cstheme="minorHAnsi"/>
          <w:szCs w:val="24"/>
          <w:lang w:val="sr-Cyrl-CS"/>
        </w:rPr>
        <w:t xml:space="preserve">извоза </w:t>
      </w:r>
      <w:r w:rsidRPr="00DE058F">
        <w:rPr>
          <w:rFonts w:eastAsia="Times New Roman" w:cstheme="minorHAnsi"/>
          <w:szCs w:val="24"/>
          <w:lang w:val="sr-Cyrl-CS"/>
        </w:rPr>
        <w:t>од 23,7%, услед слабије пољопривредне сезоне у претходној години</w:t>
      </w:r>
      <w:r w:rsidR="007619D0" w:rsidRPr="00DE058F">
        <w:rPr>
          <w:rFonts w:eastAsia="Times New Roman" w:cstheme="minorHAnsi"/>
          <w:szCs w:val="24"/>
          <w:lang w:val="sr-Cyrl-CS"/>
        </w:rPr>
        <w:t>, али делом и због забране извоза житарица</w:t>
      </w:r>
      <w:r w:rsidRPr="00DE058F">
        <w:rPr>
          <w:rFonts w:eastAsia="Times New Roman" w:cstheme="minorHAnsi"/>
          <w:szCs w:val="24"/>
          <w:lang w:val="sr-Cyrl-CS"/>
        </w:rPr>
        <w:t>.</w:t>
      </w:r>
    </w:p>
    <w:p w14:paraId="620AC8F7" w14:textId="371DDC36" w:rsidR="00C32486" w:rsidRPr="00DE058F" w:rsidRDefault="00C32486" w:rsidP="00E96528">
      <w:pPr>
        <w:rPr>
          <w:rFonts w:eastAsia="Times New Roman" w:cstheme="minorHAnsi"/>
          <w:lang w:val="sr-Cyrl-CS"/>
        </w:rPr>
      </w:pPr>
      <w:r w:rsidRPr="00DE058F">
        <w:rPr>
          <w:rFonts w:eastAsia="Times New Roman" w:cstheme="minorHAnsi"/>
          <w:szCs w:val="24"/>
          <w:lang w:val="sr-Cyrl-CS"/>
        </w:rPr>
        <w:t xml:space="preserve">У прва три месеца 2022. године, увоз робе износио је 8,9 милијарди евра, што је раст од 48,5% у односу на исти период претходне године. </w:t>
      </w:r>
      <w:r w:rsidR="007619D0" w:rsidRPr="00DE058F">
        <w:rPr>
          <w:rFonts w:eastAsia="Times New Roman" w:cstheme="minorHAnsi"/>
          <w:szCs w:val="24"/>
          <w:lang w:val="sr-Cyrl-CS"/>
        </w:rPr>
        <w:t>Значајан раст цена енергената који је био последица енергетске кризе и настављен раст економске активности одразили су се на кретање увоза у свим областима</w:t>
      </w:r>
      <w:r w:rsidRPr="00DE058F">
        <w:rPr>
          <w:rFonts w:eastAsia="Times New Roman" w:cstheme="minorHAnsi"/>
          <w:szCs w:val="24"/>
          <w:lang w:val="sr-Cyrl-CS"/>
        </w:rPr>
        <w:t xml:space="preserve">, при чему највећи допринос долази од увоза репродукционих добара. Нешто више од три четвртине раста увоза опредељено је вишим увозом репроматеријала што је раст од 68,5% мг. (прираст од 2,2 млрд евра), док је увоз потрошне робе и опреме повећан 21,2% и 8,0% мг, респективно. Поред повећаног увоза репроматеријала за потребе привреде, на снажан раст увоза утицао је и повећани увоз енергената, како електричне енергије услед проблема у снабдевању на домаћем тржишту, тако и нафте и </w:t>
      </w:r>
      <w:r w:rsidRPr="00DE058F">
        <w:rPr>
          <w:rFonts w:eastAsia="Times New Roman" w:cstheme="minorHAnsi"/>
          <w:szCs w:val="24"/>
          <w:lang w:val="sr-Cyrl-CS"/>
        </w:rPr>
        <w:t>гаса ради обезбеђења залиха услед повећане неизвесности у међународном окружењу изазване сукобом у Украјини.</w:t>
      </w:r>
    </w:p>
    <w:p w14:paraId="52CC881E" w14:textId="3CB51E71" w:rsidR="00C32486" w:rsidRPr="00DE058F" w:rsidRDefault="00C32486" w:rsidP="008527D6">
      <w:pPr>
        <w:pStyle w:val="NoSpacing"/>
        <w:jc w:val="center"/>
        <w:rPr>
          <w:rFonts w:cstheme="minorHAnsi"/>
          <w:color w:val="002060"/>
          <w:lang w:val="sr-Cyrl-CS"/>
        </w:rPr>
      </w:pPr>
      <w:r w:rsidRPr="00DE058F">
        <w:rPr>
          <w:rFonts w:cstheme="minorHAnsi"/>
          <w:color w:val="002060"/>
          <w:lang w:val="sr-Cyrl-CS"/>
        </w:rPr>
        <w:t>Доприноси стопи раста увоза, економска намена, п.п.</w:t>
      </w:r>
    </w:p>
    <w:p w14:paraId="0B8EBF51" w14:textId="196294B3" w:rsidR="00C32486" w:rsidRPr="00DE058F" w:rsidRDefault="00C32486" w:rsidP="008527D6">
      <w:pPr>
        <w:pStyle w:val="NoSpacing"/>
        <w:jc w:val="center"/>
        <w:rPr>
          <w:rFonts w:cstheme="minorHAnsi"/>
          <w:color w:val="44546A" w:themeColor="text2"/>
          <w:lang w:val="sr-Cyrl-CS"/>
        </w:rPr>
      </w:pPr>
      <w:r w:rsidRPr="00DE058F">
        <w:rPr>
          <w:noProof/>
        </w:rPr>
        <w:drawing>
          <wp:inline distT="0" distB="0" distL="0" distR="0" wp14:anchorId="447531BA" wp14:editId="17C6C497">
            <wp:extent cx="2743200" cy="1979930"/>
            <wp:effectExtent l="0" t="0" r="0" b="1270"/>
            <wp:docPr id="66" name="Chart 66">
              <a:extLst xmlns:a="http://schemas.openxmlformats.org/drawingml/2006/main">
                <a:ext uri="{FF2B5EF4-FFF2-40B4-BE49-F238E27FC236}">
                  <a16:creationId xmlns:a16="http://schemas.microsoft.com/office/drawing/2014/main" id="{00000000-0008-0000-14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7E4E46C9" w14:textId="3265769E" w:rsidR="00C32486" w:rsidRPr="00DE058F" w:rsidRDefault="00C32486" w:rsidP="00F762CA">
      <w:pPr>
        <w:rPr>
          <w:rFonts w:cstheme="minorHAnsi"/>
          <w:bCs/>
          <w:szCs w:val="72"/>
          <w:lang w:val="sr-Cyrl-CS"/>
        </w:rPr>
      </w:pPr>
      <w:r w:rsidRPr="00DE058F">
        <w:rPr>
          <w:rFonts w:cstheme="minorHAnsi"/>
          <w:bCs/>
          <w:sz w:val="16"/>
          <w:szCs w:val="72"/>
          <w:lang w:val="sr-Cyrl-CS"/>
        </w:rPr>
        <w:t>Извор: РЗС</w:t>
      </w:r>
    </w:p>
    <w:p w14:paraId="1BFE8E59" w14:textId="39DC1B28" w:rsidR="00C32486" w:rsidRPr="00DE058F" w:rsidRDefault="00C32486" w:rsidP="00E96528">
      <w:pPr>
        <w:rPr>
          <w:rFonts w:eastAsia="Times New Roman" w:cstheme="minorHAnsi"/>
          <w:szCs w:val="24"/>
          <w:lang w:val="sr-Cyrl-CS"/>
        </w:rPr>
      </w:pPr>
      <w:r w:rsidRPr="00DE058F">
        <w:rPr>
          <w:rFonts w:eastAsia="Times New Roman" w:cstheme="minorHAnsi"/>
          <w:szCs w:val="24"/>
          <w:lang w:val="sr-Cyrl-CS"/>
        </w:rPr>
        <w:t>Оваква кретања у спољнотрговинској размени резултирала су растом спољнотрговинског дефицита током прва три месеца 2022. године за нешто више од 1,5 милијарди евра, уз пад покривености увоза извозом ‒ са 80,4% на 69,6%.</w:t>
      </w:r>
    </w:p>
    <w:p w14:paraId="607B0C89" w14:textId="77777777" w:rsidR="00C32486" w:rsidRPr="00DE058F" w:rsidRDefault="00C32486" w:rsidP="008527D6">
      <w:pPr>
        <w:pStyle w:val="NoSpacing"/>
        <w:jc w:val="center"/>
        <w:rPr>
          <w:rFonts w:cstheme="minorHAnsi"/>
          <w:color w:val="002060"/>
          <w:lang w:val="sr-Cyrl-CS"/>
        </w:rPr>
      </w:pPr>
      <w:r w:rsidRPr="00DE058F">
        <w:rPr>
          <w:rFonts w:cstheme="minorHAnsi"/>
          <w:color w:val="002060"/>
          <w:lang w:val="sr-Cyrl-CS"/>
        </w:rPr>
        <w:t>Робна размена, мил. ЕУР</w:t>
      </w:r>
    </w:p>
    <w:p w14:paraId="6B9CC82C" w14:textId="475AAA58" w:rsidR="00C32486" w:rsidRPr="00DE058F" w:rsidRDefault="00C32486" w:rsidP="008527D6">
      <w:pPr>
        <w:pStyle w:val="NoSpacing"/>
        <w:jc w:val="center"/>
        <w:rPr>
          <w:rFonts w:cstheme="minorHAnsi"/>
          <w:b w:val="0"/>
          <w:color w:val="44546A" w:themeColor="text2"/>
          <w:lang w:val="sr-Cyrl-CS"/>
        </w:rPr>
      </w:pPr>
      <w:r w:rsidRPr="00DE058F">
        <w:rPr>
          <w:noProof/>
        </w:rPr>
        <w:drawing>
          <wp:inline distT="0" distB="0" distL="0" distR="0" wp14:anchorId="5A23D02F" wp14:editId="2AF68600">
            <wp:extent cx="2743200" cy="1659255"/>
            <wp:effectExtent l="0" t="0" r="0" b="0"/>
            <wp:docPr id="67" name="Chart 67">
              <a:extLst xmlns:a="http://schemas.openxmlformats.org/drawingml/2006/main">
                <a:ext uri="{FF2B5EF4-FFF2-40B4-BE49-F238E27FC236}">
                  <a16:creationId xmlns:a16="http://schemas.microsoft.com/office/drawing/2014/main" id="{00000000-0008-0000-15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78B8291B" w14:textId="77777777" w:rsidR="00C32486" w:rsidRPr="00DE058F" w:rsidRDefault="00C32486" w:rsidP="008527D6">
      <w:pPr>
        <w:spacing w:before="40" w:after="0"/>
        <w:rPr>
          <w:rFonts w:cstheme="minorHAnsi"/>
          <w:sz w:val="16"/>
          <w:lang w:val="sr-Cyrl-CS"/>
        </w:rPr>
      </w:pPr>
      <w:r w:rsidRPr="00DE058F">
        <w:rPr>
          <w:rFonts w:cstheme="minorHAnsi"/>
          <w:sz w:val="16"/>
          <w:lang w:val="sr-Cyrl-CS"/>
        </w:rPr>
        <w:t>Извор: РЗС</w:t>
      </w:r>
    </w:p>
    <w:p w14:paraId="4C0DEB04" w14:textId="77777777" w:rsidR="00C32486" w:rsidRPr="00DE058F" w:rsidRDefault="00C32486" w:rsidP="008527D6">
      <w:pPr>
        <w:rPr>
          <w:rFonts w:cstheme="minorHAnsi"/>
          <w:sz w:val="16"/>
          <w:lang w:val="sr-Cyrl-CS"/>
        </w:rPr>
      </w:pPr>
      <w:r w:rsidRPr="00DE058F">
        <w:rPr>
          <w:rFonts w:cstheme="minorHAnsi"/>
          <w:sz w:val="16"/>
          <w:lang w:val="sr-Cyrl-CS"/>
        </w:rPr>
        <w:t>* Процена МФИН.</w:t>
      </w:r>
    </w:p>
    <w:p w14:paraId="4CFDDC2F" w14:textId="4BA23FAD" w:rsidR="00C32486" w:rsidRPr="00DE058F" w:rsidRDefault="00C32486" w:rsidP="00E96528">
      <w:pPr>
        <w:rPr>
          <w:spacing w:val="-2"/>
          <w:lang w:val="sr-Cyrl-CS"/>
        </w:rPr>
      </w:pPr>
      <w:r w:rsidRPr="00DE058F">
        <w:rPr>
          <w:rFonts w:eastAsia="Times New Roman" w:cstheme="minorHAnsi"/>
          <w:spacing w:val="-2"/>
          <w:szCs w:val="24"/>
          <w:lang w:val="sr-Cyrl-CS"/>
        </w:rPr>
        <w:t>Најважнији спољнотрговински партнери током првог квартала 2022. године су земље ЕУ, на које се односило 65,1% укупног извоза и 57,2% укупног увоза. Највећи део укупног извоза (38,8%) у том периоду био је усмерен на тржиште пет</w:t>
      </w:r>
      <w:r w:rsidRPr="00DE058F">
        <w:rPr>
          <w:rFonts w:eastAsia="Times New Roman" w:cstheme="minorHAnsi"/>
          <w:color w:val="FF0000"/>
          <w:spacing w:val="-2"/>
          <w:szCs w:val="24"/>
          <w:lang w:val="sr-Cyrl-CS"/>
        </w:rPr>
        <w:t xml:space="preserve"> </w:t>
      </w:r>
      <w:r w:rsidRPr="00DE058F">
        <w:rPr>
          <w:rFonts w:eastAsia="Times New Roman" w:cstheme="minorHAnsi"/>
          <w:spacing w:val="-2"/>
          <w:szCs w:val="24"/>
          <w:lang w:val="sr-Cyrl-CS"/>
        </w:rPr>
        <w:t xml:space="preserve">земаља: Немачка, Италија, БиХ, Мађарска и Кина. Увоз из Кине, Немачке, Мађарске, Италије и Русије чинио је 46,1% укупног увоза. Спољнотрговински суфицит у овом периоду остварен је са БиХ, Црном Гором, Северном Македонијом, Словачком, Великом Британијом, Хрватском, Румунијом, Шведском, </w:t>
      </w:r>
      <w:r w:rsidRPr="00DE058F">
        <w:rPr>
          <w:rFonts w:eastAsia="Times New Roman" w:cstheme="minorHAnsi"/>
          <w:spacing w:val="-2"/>
          <w:szCs w:val="24"/>
          <w:lang w:val="sr-Cyrl-CS"/>
        </w:rPr>
        <w:lastRenderedPageBreak/>
        <w:t xml:space="preserve">Финском, Чешком и у нешто мањој мери са </w:t>
      </w:r>
      <w:r w:rsidR="000E2C4E" w:rsidRPr="00DE058F">
        <w:rPr>
          <w:rFonts w:eastAsia="Times New Roman" w:cstheme="minorHAnsi"/>
          <w:spacing w:val="-2"/>
          <w:szCs w:val="24"/>
          <w:lang w:val="sr-Cyrl-CS"/>
        </w:rPr>
        <w:t xml:space="preserve"> Јужном </w:t>
      </w:r>
      <w:r w:rsidRPr="00DE058F">
        <w:rPr>
          <w:rFonts w:eastAsia="Times New Roman" w:cstheme="minorHAnsi"/>
          <w:spacing w:val="-2"/>
          <w:szCs w:val="24"/>
          <w:lang w:val="sr-Cyrl-CS"/>
        </w:rPr>
        <w:t xml:space="preserve">Корејом, Бугарском и САД. Суфицит са овим земљама у посматраном периоду износио је 764,1 мил. евра. Највећи дефицит јавља се у трговини са Кином, Мађарском, Турском, Русијом </w:t>
      </w:r>
      <w:r w:rsidR="00E96528" w:rsidRPr="00DE058F">
        <w:rPr>
          <w:rFonts w:cstheme="minorHAnsi"/>
          <w:b/>
          <w:noProof/>
          <w:spacing w:val="-2"/>
          <w:sz w:val="24"/>
        </w:rPr>
        <mc:AlternateContent>
          <mc:Choice Requires="wps">
            <w:drawing>
              <wp:anchor distT="0" distB="0" distL="114300" distR="114300" simplePos="0" relativeHeight="251677184" behindDoc="1" locked="0" layoutInCell="1" allowOverlap="1" wp14:anchorId="577A483B" wp14:editId="731282BF">
                <wp:simplePos x="0" y="0"/>
                <wp:positionH relativeFrom="column">
                  <wp:posOffset>-66675</wp:posOffset>
                </wp:positionH>
                <wp:positionV relativeFrom="paragraph">
                  <wp:posOffset>914400</wp:posOffset>
                </wp:positionV>
                <wp:extent cx="2876550" cy="7210425"/>
                <wp:effectExtent l="0" t="0" r="0" b="9525"/>
                <wp:wrapNone/>
                <wp:docPr id="61" name="Rectangle 61"/>
                <wp:cNvGraphicFramePr/>
                <a:graphic xmlns:a="http://schemas.openxmlformats.org/drawingml/2006/main">
                  <a:graphicData uri="http://schemas.microsoft.com/office/word/2010/wordprocessingShape">
                    <wps:wsp>
                      <wps:cNvSpPr/>
                      <wps:spPr>
                        <a:xfrm>
                          <a:off x="0" y="0"/>
                          <a:ext cx="2876550" cy="7210425"/>
                        </a:xfrm>
                        <a:prstGeom prst="rect">
                          <a:avLst/>
                        </a:prstGeom>
                        <a:pattFill prst="pct25">
                          <a:fgClr>
                            <a:sysClr val="window" lastClr="FFFFFF">
                              <a:lumMod val="85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1C646A" id="Rectangle 61" o:spid="_x0000_s1026" style="position:absolute;margin-left:-5.25pt;margin-top:1in;width:226.5pt;height:567.7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" fillcolor="#d9d9d9" stroked="f" strokeweight="1pt">
                <v:fill r:id="rId85" o:title="" color2="window" type="pattern"/>
              </v:rect>
            </w:pict>
          </mc:Fallback>
        </mc:AlternateContent>
      </w:r>
      <w:r w:rsidRPr="00DE058F">
        <w:rPr>
          <w:rFonts w:eastAsia="Times New Roman" w:cstheme="minorHAnsi"/>
          <w:spacing w:val="-2"/>
          <w:szCs w:val="24"/>
          <w:lang w:val="sr-Cyrl-CS"/>
        </w:rPr>
        <w:t>и Ираком</w:t>
      </w:r>
      <w:r w:rsidRPr="00DE058F">
        <w:rPr>
          <w:spacing w:val="-2"/>
          <w:lang w:val="sr-Cyrl-CS"/>
        </w:rPr>
        <w:t>.</w:t>
      </w:r>
    </w:p>
    <w:p w14:paraId="41F4C7D9" w14:textId="440E4002" w:rsidR="00C32486" w:rsidRPr="00DE058F" w:rsidRDefault="00C32486" w:rsidP="00E96528">
      <w:pPr>
        <w:jc w:val="center"/>
        <w:rPr>
          <w:rFonts w:eastAsia="Times New Roman" w:cstheme="minorHAnsi"/>
          <w:b/>
          <w:szCs w:val="24"/>
          <w:lang w:val="sr-Cyrl-CS"/>
        </w:rPr>
      </w:pPr>
      <w:r w:rsidRPr="00DE058F">
        <w:rPr>
          <w:rFonts w:eastAsia="Times New Roman" w:cstheme="minorHAnsi"/>
          <w:b/>
          <w:szCs w:val="24"/>
          <w:lang w:val="sr-Cyrl-CS"/>
        </w:rPr>
        <w:t>Утицај сукоба у Украјини на екстерни сектор</w:t>
      </w:r>
    </w:p>
    <w:p w14:paraId="66A3A253" w14:textId="00969D4E" w:rsidR="00C32486" w:rsidRPr="00DE058F" w:rsidRDefault="00C32486" w:rsidP="00E96528">
      <w:pPr>
        <w:rPr>
          <w:rFonts w:eastAsia="Times New Roman" w:cstheme="minorHAnsi"/>
          <w:szCs w:val="24"/>
          <w:lang w:val="sr-Cyrl-CS"/>
        </w:rPr>
      </w:pPr>
      <w:r w:rsidRPr="00DE058F">
        <w:rPr>
          <w:rFonts w:eastAsia="Times New Roman" w:cstheme="minorHAnsi"/>
          <w:szCs w:val="24"/>
          <w:lang w:val="sr-Cyrl-CS"/>
        </w:rPr>
        <w:t>Војни сукоб у Украјини имаће директан утицај на ек</w:t>
      </w:r>
      <w:r w:rsidR="007635E3" w:rsidRPr="00DE058F">
        <w:rPr>
          <w:rFonts w:eastAsia="Times New Roman" w:cstheme="minorHAnsi"/>
          <w:szCs w:val="24"/>
          <w:lang w:val="sr-Cyrl-CS"/>
        </w:rPr>
        <w:t>с</w:t>
      </w:r>
      <w:r w:rsidRPr="00DE058F">
        <w:rPr>
          <w:rFonts w:eastAsia="Times New Roman" w:cstheme="minorHAnsi"/>
          <w:szCs w:val="24"/>
          <w:lang w:val="sr-Cyrl-CS"/>
        </w:rPr>
        <w:t>терну позицију земље кроз спољнот</w:t>
      </w:r>
      <w:r w:rsidR="007635E3" w:rsidRPr="00DE058F">
        <w:rPr>
          <w:rFonts w:eastAsia="Times New Roman" w:cstheme="minorHAnsi"/>
          <w:szCs w:val="24"/>
          <w:lang w:val="sr-Cyrl-CS"/>
        </w:rPr>
        <w:t>р</w:t>
      </w:r>
      <w:r w:rsidRPr="00DE058F">
        <w:rPr>
          <w:rFonts w:eastAsia="Times New Roman" w:cstheme="minorHAnsi"/>
          <w:szCs w:val="24"/>
          <w:lang w:val="sr-Cyrl-CS"/>
        </w:rPr>
        <w:t>говинску размену коју Србије обавља са ове две земље. Осим директног ефекта, ескалација сукоба може имати снажан утицај и на токове капитала, девизни приход о</w:t>
      </w:r>
      <w:r w:rsidR="007635E3" w:rsidRPr="00DE058F">
        <w:rPr>
          <w:rFonts w:eastAsia="Times New Roman" w:cstheme="minorHAnsi"/>
          <w:szCs w:val="24"/>
          <w:lang w:val="sr-Cyrl-CS"/>
        </w:rPr>
        <w:t>д туризма и приливе од дознака.</w:t>
      </w:r>
    </w:p>
    <w:p w14:paraId="2E9749D5" w14:textId="10F086F2" w:rsidR="00C32486" w:rsidRPr="00DE058F" w:rsidRDefault="00C32486" w:rsidP="00E96528">
      <w:pPr>
        <w:rPr>
          <w:rFonts w:eastAsia="Times New Roman" w:cstheme="minorHAnsi"/>
          <w:szCs w:val="24"/>
          <w:lang w:val="sr-Cyrl-CS"/>
        </w:rPr>
      </w:pPr>
      <w:r w:rsidRPr="00DE058F">
        <w:rPr>
          <w:rFonts w:eastAsia="Times New Roman" w:cstheme="minorHAnsi"/>
          <w:szCs w:val="24"/>
          <w:lang w:val="sr-Cyrl-CS"/>
        </w:rPr>
        <w:t xml:space="preserve">Током 2021. године Србија је извезла 840,3 милиона евра робе на руско тржиште, што чини 3,9% укупне вредности домаћег извоза. Истовремено, увоз робе из Русије је био на нивоу од 1,5 млрд евра, односно 5,4% укупне увезене вредности, при чему се скоро 50% односи на енергенте. </w:t>
      </w:r>
      <w:r w:rsidR="00530ACA" w:rsidRPr="00DE058F">
        <w:rPr>
          <w:rFonts w:eastAsia="Times New Roman" w:cstheme="minorHAnsi"/>
          <w:szCs w:val="24"/>
          <w:lang w:val="sr-Cyrl-CS"/>
        </w:rPr>
        <w:t>В</w:t>
      </w:r>
      <w:r w:rsidRPr="00DE058F">
        <w:rPr>
          <w:rFonts w:eastAsia="Times New Roman" w:cstheme="minorHAnsi"/>
          <w:szCs w:val="24"/>
          <w:lang w:val="sr-Cyrl-CS"/>
        </w:rPr>
        <w:t>редност увезене робе из Русије сврстава ову земљу на чет</w:t>
      </w:r>
      <w:r w:rsidR="003A75B2" w:rsidRPr="00DE058F">
        <w:rPr>
          <w:rFonts w:eastAsia="Times New Roman" w:cstheme="minorHAnsi"/>
          <w:szCs w:val="24"/>
          <w:lang w:val="sr-Cyrl-CS"/>
        </w:rPr>
        <w:t>в</w:t>
      </w:r>
      <w:r w:rsidRPr="00DE058F">
        <w:rPr>
          <w:rFonts w:eastAsia="Times New Roman" w:cstheme="minorHAnsi"/>
          <w:szCs w:val="24"/>
          <w:lang w:val="sr-Cyrl-CS"/>
        </w:rPr>
        <w:t>рту позицију по значају, након Немачке, Кине и Италије. Истовремено, значај спољнотрговинске размене са Украјином је знатно скромнији. Извоз је у 2021. години износио 153,5 милиона евра, док је увоз био 227,6 милиона евра, што чини мање од 1% укупне вредности домаћих спољнотрговинских токова. Први ефекти сукоба на спољнотрговинску робну размену су видљиви већ у марту. Извоз у Русију је у овом месецу међугодишње мањи за 20,4%, док је увоз порастао 172,4% услед снажног раста цене енергената</w:t>
      </w:r>
      <w:r w:rsidR="005B7570" w:rsidRPr="00DE058F">
        <w:rPr>
          <w:rFonts w:eastAsia="Times New Roman" w:cstheme="minorHAnsi"/>
          <w:szCs w:val="24"/>
          <w:lang w:val="sr-Cyrl-CS"/>
        </w:rPr>
        <w:t>,</w:t>
      </w:r>
      <w:r w:rsidRPr="00DE058F">
        <w:rPr>
          <w:rFonts w:eastAsia="Times New Roman" w:cstheme="minorHAnsi"/>
          <w:szCs w:val="24"/>
          <w:lang w:val="sr-Cyrl-CS"/>
        </w:rPr>
        <w:t xml:space="preserve"> као и већих увезених количина.</w:t>
      </w:r>
    </w:p>
    <w:p w14:paraId="1D34576D" w14:textId="6B9AE500" w:rsidR="00297111" w:rsidRPr="00DE058F" w:rsidRDefault="00297111" w:rsidP="00E96528">
      <w:pPr>
        <w:rPr>
          <w:rFonts w:eastAsia="Times New Roman" w:cstheme="minorHAnsi"/>
          <w:szCs w:val="24"/>
          <w:lang w:val="sr-Cyrl-CS"/>
        </w:rPr>
      </w:pPr>
      <w:r w:rsidRPr="00DE058F">
        <w:rPr>
          <w:rFonts w:eastAsia="Times New Roman" w:cstheme="minorHAnsi"/>
          <w:szCs w:val="24"/>
          <w:lang w:val="sr-Cyrl-CS"/>
        </w:rPr>
        <w:t>Приход од туризма остварен са овим земљама износио је око 140 милиона евра у 2021. години, док су приходи од дознака премашили 80 милиона евра. Иако прилив од СДИ у претходне две године није био значајан, посматрано у дужем временском периоду било је година када је, пре свега Русија, била међу водећим земљама инвеститорима. На будућу платнобилансну позицију земље утицаће промене односа размене преко увозних и извозних цена. Поред раста цена енергената и прехрамбених производа на светском тржишту, сукоб у Украјини ће деловати на трансфере становништву од дознака и приходе од туризма, као и на потенцијалне приливе од СДИ.</w:t>
      </w:r>
    </w:p>
    <w:p w14:paraId="597B3816" w14:textId="18653900" w:rsidR="00C32486" w:rsidRPr="00DE058F" w:rsidRDefault="00C32486" w:rsidP="00E96528">
      <w:pPr>
        <w:rPr>
          <w:rFonts w:eastAsia="Times New Roman" w:cstheme="minorHAnsi"/>
          <w:szCs w:val="24"/>
          <w:lang w:val="sr-Cyrl-CS"/>
        </w:rPr>
      </w:pPr>
      <w:r w:rsidRPr="00DE058F">
        <w:rPr>
          <w:rFonts w:eastAsia="Times New Roman" w:cstheme="minorHAnsi"/>
          <w:szCs w:val="24"/>
          <w:lang w:val="sr-Cyrl-CS"/>
        </w:rPr>
        <w:t xml:space="preserve">Платнобилансна кретања током 2021. године карактерисао је благи раст дефицита текућег рачуна платног биланса са 4,1% у 2020. години на 4,4% БДП. Дефицит текућег рачуна износио је 2,3 млрд евра, при чему је остварен нето прилив СДИ био више него довољан за његово покриће. За разлику од суфицита на текућем рачуну платног биланса у прва два месеца претходне године у износу од 168,9 мил. евра, у истом периоду ове године забележен је дефицит у износу од 866,8 мил. евра. Дефициту текућег рачуна у највећој мери допринео </w:t>
      </w:r>
      <w:r w:rsidR="008E563E" w:rsidRPr="00DE058F">
        <w:rPr>
          <w:rFonts w:eastAsia="Times New Roman" w:cstheme="minorHAnsi"/>
          <w:szCs w:val="24"/>
          <w:lang w:val="sr-Cyrl-CS"/>
        </w:rPr>
        <w:t>је</w:t>
      </w:r>
      <w:r w:rsidRPr="00DE058F">
        <w:rPr>
          <w:rFonts w:eastAsia="Times New Roman" w:cstheme="minorHAnsi"/>
          <w:szCs w:val="24"/>
          <w:lang w:val="sr-Cyrl-CS"/>
        </w:rPr>
        <w:t xml:space="preserve"> раст дефицита у размени робе са иностранством, првенствено услед раста домаће тражње и повећаног увоза енергената.</w:t>
      </w:r>
      <w:r w:rsidRPr="00DE058F">
        <w:rPr>
          <w:rFonts w:eastAsia="Times New Roman" w:cstheme="minorHAnsi"/>
          <w:color w:val="FF0000"/>
          <w:szCs w:val="24"/>
          <w:lang w:val="sr-Cyrl-CS"/>
        </w:rPr>
        <w:t xml:space="preserve"> </w:t>
      </w:r>
      <w:r w:rsidRPr="00DE058F">
        <w:rPr>
          <w:rFonts w:eastAsia="Times New Roman" w:cstheme="minorHAnsi"/>
          <w:szCs w:val="24"/>
          <w:lang w:val="sr-Cyrl-CS"/>
        </w:rPr>
        <w:t>Робни дефицит је повећан за 895,0 мил. евра, док је на рачуну услуга забележен суфицит који је био нижи за 8,7% и износио је 299,0 мил. евра. Позитиван нето извоз услуга у највећој мери резултат је већег извоза ИКТ и осталих пословних услуга у посматраном периоду. Нето прилив по основу ИКТ услуга повећан је за 53,8% међугодишње и износио је 254,7 мил. евра. Значајан нето прилив остварен је и по основу осталих пословних услуга који је износио 222,5 мил. евра, и био виши 65,4% мг. Дефицит примарног дохотка повећан је за 145,2 мил. евра, односно за 81,5%, док је суфицит секундарног дохотка био међугодишње виши за 5,7% и износио је 611,0 мил. евра, првенствено услед повећаног прилива дознака из иностранства (раст од 18%).</w:t>
      </w:r>
    </w:p>
    <w:p w14:paraId="6723961B" w14:textId="295010A5" w:rsidR="00C32486" w:rsidRPr="00DE058F" w:rsidRDefault="00C32486" w:rsidP="00E96528">
      <w:pPr>
        <w:rPr>
          <w:rFonts w:eastAsia="Times New Roman" w:cstheme="minorHAnsi"/>
          <w:szCs w:val="24"/>
          <w:lang w:val="sr-Cyrl-CS"/>
        </w:rPr>
      </w:pPr>
      <w:r w:rsidRPr="00DE058F">
        <w:rPr>
          <w:rFonts w:eastAsia="Times New Roman" w:cstheme="minorHAnsi"/>
          <w:szCs w:val="24"/>
          <w:lang w:val="sr-Cyrl-CS"/>
        </w:rPr>
        <w:t xml:space="preserve">Нето прилив СДИ у 2021. забележио је рекордан ниво и износио је 3,6 млрд евра, док је укупан прилив по основу СДИ износио је 3,9 млрд евра. Посматрано према делатностима, највећи нето прилив СДИ у протеклој години је остварен у прерађивачкој индустрији, сектору који традиционално привлачи највише СДИ, са остварених 1,5 млрд. евра. Висок прилив СДИ у овом периоду остварен је и у грађевинарству и транспорту, као и у рударству услед улагања компаније „Зиђин мајнинг” у изградњу рударских објеката и извођење радова за рудник бакра и злата „Чукару Пеки”. Осим производне разноврсности, СДИ су и географски диверсификоване, са растућим уделом земаља из азијско-пацифичког региона и Блиског истока. Посматрано према географском пореклу, Европска унија је и даље најзначајнији инвеститор </w:t>
      </w:r>
      <w:r w:rsidRPr="00DE058F">
        <w:rPr>
          <w:rFonts w:eastAsia="Times New Roman" w:cstheme="minorHAnsi"/>
          <w:szCs w:val="24"/>
          <w:lang w:val="sr-Cyrl-CS"/>
        </w:rPr>
        <w:lastRenderedPageBreak/>
        <w:t>у Србији, са оствареним уделом од 52,2% укупних инвестиција. Са друге стране, посматрано по земљама, највећи нето прилив страних директних улагања долази из Кине</w:t>
      </w:r>
      <w:r w:rsidRPr="00DE058F">
        <w:rPr>
          <w:rStyle w:val="FootnoteReference"/>
          <w:rFonts w:eastAsia="Times New Roman" w:cstheme="minorHAnsi"/>
          <w:szCs w:val="24"/>
          <w:lang w:val="sr-Cyrl-CS"/>
        </w:rPr>
        <w:footnoteReference w:id="3"/>
      </w:r>
      <w:r w:rsidRPr="00DE058F">
        <w:rPr>
          <w:rFonts w:eastAsia="Times New Roman" w:cstheme="minorHAnsi"/>
          <w:szCs w:val="24"/>
          <w:lang w:val="sr-Cyrl-CS"/>
        </w:rPr>
        <w:t xml:space="preserve">, Холандије, Швајцарске Немачке, и Велике Британије, које чине нешто више од три четвртине укупних доспелих инвестиција. Удео прилива СДИ из Кине значајно је порастао у последњих шест година, са 3,1% у 2015. на 20,0% у прошлој години. У 2021. години Кина је појединачно била највећи инвеститор, са 774,4 мил. евра улагања, што износи 21,4% укупно остварених нето СДИ у претходној години. Нето прилив </w:t>
      </w:r>
      <w:r w:rsidR="007D6C1B" w:rsidRPr="00DE058F">
        <w:rPr>
          <w:rFonts w:eastAsia="Times New Roman" w:cstheme="minorHAnsi"/>
          <w:szCs w:val="24"/>
          <w:lang w:val="sr-Cyrl-CS"/>
        </w:rPr>
        <w:t xml:space="preserve">СДИ </w:t>
      </w:r>
      <w:r w:rsidRPr="00DE058F">
        <w:rPr>
          <w:rFonts w:eastAsia="Times New Roman" w:cstheme="minorHAnsi"/>
          <w:szCs w:val="24"/>
          <w:lang w:val="sr-Cyrl-CS"/>
        </w:rPr>
        <w:t>у прва два месеца 2022. износио је 384,2 мил. евра, док је укупан прилив по основу СДИ износио је 413,8 мил. евра. Истовремено је забележен нето одлив портфолио инвестиција у износу од 181,0 мил. евра.</w:t>
      </w:r>
    </w:p>
    <w:p w14:paraId="5B427C26" w14:textId="5D374D8A" w:rsidR="00C32486" w:rsidRPr="00DE058F" w:rsidRDefault="00C32486" w:rsidP="00E96528">
      <w:pPr>
        <w:rPr>
          <w:rFonts w:eastAsia="Times New Roman" w:cstheme="minorHAnsi"/>
          <w:szCs w:val="24"/>
          <w:lang w:val="sr-Cyrl-CS"/>
        </w:rPr>
      </w:pPr>
      <w:r w:rsidRPr="00DE058F">
        <w:rPr>
          <w:rFonts w:eastAsia="Times New Roman" w:cstheme="minorHAnsi"/>
          <w:szCs w:val="24"/>
          <w:lang w:val="sr-Cyrl-CS"/>
        </w:rPr>
        <w:t>Екстерну позицију Србије током 2021. године карактерисала је отпорност на финансијске шокове из међународног окружења. Повећан је рацио девизних резерви и краткорочног дуга у односу на крај 2020. године, услед бржег раста девизних резерви од раста краткорочног дуга. Учешће спољног дуга у БДП повећано је са 65,8% у 2020.</w:t>
      </w:r>
      <w:r w:rsidR="00F643AF" w:rsidRPr="00DE058F">
        <w:rPr>
          <w:rFonts w:cstheme="minorHAnsi"/>
          <w:bCs/>
          <w:szCs w:val="72"/>
          <w:lang w:val="sr-Cyrl-CS"/>
        </w:rPr>
        <w:t xml:space="preserve"> </w:t>
      </w:r>
      <w:r w:rsidR="00F643AF" w:rsidRPr="00DE058F">
        <w:rPr>
          <w:rFonts w:eastAsia="Times New Roman" w:cstheme="minorHAnsi"/>
          <w:bCs/>
          <w:szCs w:val="24"/>
          <w:lang w:val="sr-Cyrl-CS"/>
        </w:rPr>
        <w:t>године</w:t>
      </w:r>
      <w:r w:rsidRPr="00DE058F">
        <w:rPr>
          <w:rFonts w:eastAsia="Times New Roman" w:cstheme="minorHAnsi"/>
          <w:szCs w:val="24"/>
          <w:lang w:val="sr-Cyrl-CS"/>
        </w:rPr>
        <w:t xml:space="preserve"> на 68,5% у 2021. години, док су удео краткорочног дуга у БДП и рацио спољног дуга и извоза робе и услуга смањени.</w:t>
      </w:r>
      <w:r w:rsidRPr="00DE058F">
        <w:rPr>
          <w:rFonts w:eastAsia="Times New Roman" w:cstheme="minorHAnsi"/>
          <w:color w:val="FF0000"/>
          <w:szCs w:val="24"/>
          <w:lang w:val="sr-Cyrl-CS"/>
        </w:rPr>
        <w:t xml:space="preserve"> </w:t>
      </w:r>
      <w:r w:rsidRPr="00DE058F">
        <w:rPr>
          <w:rFonts w:eastAsia="Times New Roman" w:cstheme="minorHAnsi"/>
          <w:szCs w:val="24"/>
          <w:lang w:val="sr-Cyrl-CS"/>
        </w:rPr>
        <w:t>Учешће спољног дуга у извозу роба и услуга на крају 2021. године износило је 127,9%, што је значајно испод критеријума Светске банке од 220% и гарант је одрживости његовог сервисирања. Девизне резерве на крају априла текуће године смањене су за 2,3 млрд евра од почетка године и износиле су 14,1 млрд евра.</w:t>
      </w:r>
    </w:p>
    <w:p w14:paraId="20A19EB0" w14:textId="54319F11" w:rsidR="00C32486" w:rsidRPr="00DE058F" w:rsidRDefault="00C32486" w:rsidP="00E96528">
      <w:pPr>
        <w:rPr>
          <w:szCs w:val="20"/>
          <w:lang w:val="sr-Cyrl-CS"/>
        </w:rPr>
      </w:pPr>
      <w:r w:rsidRPr="00DE058F">
        <w:rPr>
          <w:rFonts w:eastAsia="Times New Roman" w:cstheme="minorHAnsi"/>
          <w:szCs w:val="24"/>
          <w:lang w:val="sr-Cyrl-CS"/>
        </w:rPr>
        <w:t>Очекује се да ће укупан дефицит текућег рачуна у 2022. години износити 3,9 млрд евра, односно 6,7% БДП. Средњорочним макроекономским оквиром предвиђен је раст дефицита текућег рачуна у овој и наредној години, након чега ће његово учешће у БДП постепено опадати на ниво од 6% БДП у 2025. години. На раст текућег рачуна платног биланса утицаће, пре свега, неповољна кретања у спољнотрговинској робној размени. И поред очекиваних високих стопа раста извоза у средњ</w:t>
      </w:r>
      <w:r w:rsidR="003A75B2" w:rsidRPr="00DE058F">
        <w:rPr>
          <w:rFonts w:eastAsia="Times New Roman" w:cstheme="minorHAnsi"/>
          <w:szCs w:val="24"/>
          <w:lang w:val="sr-Cyrl-CS"/>
        </w:rPr>
        <w:t>о</w:t>
      </w:r>
      <w:r w:rsidRPr="00DE058F">
        <w:rPr>
          <w:rFonts w:eastAsia="Times New Roman" w:cstheme="minorHAnsi"/>
          <w:szCs w:val="24"/>
          <w:lang w:val="sr-Cyrl-CS"/>
        </w:rPr>
        <w:t xml:space="preserve">рочном периоду, рекордне цене </w:t>
      </w:r>
      <w:r w:rsidRPr="00DE058F">
        <w:rPr>
          <w:rFonts w:eastAsia="Times New Roman" w:cstheme="minorHAnsi"/>
          <w:szCs w:val="24"/>
          <w:lang w:val="sr-Cyrl-CS"/>
        </w:rPr>
        <w:t xml:space="preserve">енергената на светском тржишту, изазване повећаном неизвесношћу у међународном окружењу </w:t>
      </w:r>
      <w:r w:rsidR="00530ACA" w:rsidRPr="00DE058F">
        <w:rPr>
          <w:rFonts w:eastAsia="Times New Roman" w:cstheme="minorHAnsi"/>
          <w:szCs w:val="24"/>
          <w:lang w:val="sr-Cyrl-CS"/>
        </w:rPr>
        <w:t>услед растућих геополитичких тензија</w:t>
      </w:r>
      <w:r w:rsidRPr="00DE058F">
        <w:rPr>
          <w:rFonts w:eastAsia="Times New Roman" w:cstheme="minorHAnsi"/>
          <w:szCs w:val="24"/>
          <w:lang w:val="sr-Cyrl-CS"/>
        </w:rPr>
        <w:t>, уз повећање увезених количина довешће до пораста дефицита у спољнотрговинској робној размени. Могућност наставка сукоба у Украјини и његова потенцијална ескалација представља додатни ризик по даље погоршање екстерне позиције земље.</w:t>
      </w:r>
    </w:p>
    <w:p w14:paraId="73519A74" w14:textId="77777777" w:rsidR="00C32486" w:rsidRPr="00DE058F" w:rsidRDefault="00C32486" w:rsidP="007635E3">
      <w:pPr>
        <w:spacing w:after="0"/>
        <w:jc w:val="center"/>
        <w:rPr>
          <w:rFonts w:cstheme="minorHAnsi"/>
          <w:b/>
          <w:color w:val="002060"/>
          <w:lang w:val="sr-Cyrl-CS"/>
        </w:rPr>
      </w:pPr>
      <w:r w:rsidRPr="00DE058F">
        <w:rPr>
          <w:rFonts w:cstheme="minorHAnsi"/>
          <w:b/>
          <w:color w:val="002060"/>
          <w:lang w:val="sr-Cyrl-CS"/>
        </w:rPr>
        <w:t>Структура текућег рачуна, % БДП</w:t>
      </w:r>
    </w:p>
    <w:p w14:paraId="1C9F5026" w14:textId="77777777" w:rsidR="00C32486" w:rsidRPr="00DE058F" w:rsidRDefault="00C32486" w:rsidP="007635E3">
      <w:pPr>
        <w:spacing w:after="40"/>
        <w:rPr>
          <w:rFonts w:cstheme="minorHAnsi"/>
          <w:sz w:val="16"/>
          <w:lang w:val="sr-Cyrl-CS"/>
        </w:rPr>
      </w:pPr>
      <w:r w:rsidRPr="00DE058F">
        <w:rPr>
          <w:noProof/>
        </w:rPr>
        <w:drawing>
          <wp:inline distT="0" distB="0" distL="0" distR="0" wp14:anchorId="7D29C266" wp14:editId="49F6B2C1">
            <wp:extent cx="2743200" cy="2088000"/>
            <wp:effectExtent l="0" t="0" r="0" b="7620"/>
            <wp:docPr id="68" name="Chart 68">
              <a:extLst xmlns:a="http://schemas.openxmlformats.org/drawingml/2006/main">
                <a:ext uri="{FF2B5EF4-FFF2-40B4-BE49-F238E27FC236}">
                  <a16:creationId xmlns:a16="http://schemas.microsoft.com/office/drawing/2014/main" id="{00000000-0008-0000-1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26D28CF6" w14:textId="77777777" w:rsidR="00C32486" w:rsidRPr="00DE058F" w:rsidRDefault="00C32486" w:rsidP="007635E3">
      <w:pPr>
        <w:spacing w:after="0"/>
        <w:rPr>
          <w:rFonts w:cstheme="minorHAnsi"/>
          <w:sz w:val="16"/>
          <w:lang w:val="sr-Cyrl-CS"/>
        </w:rPr>
      </w:pPr>
      <w:r w:rsidRPr="00DE058F">
        <w:rPr>
          <w:rFonts w:cstheme="minorHAnsi"/>
          <w:sz w:val="16"/>
          <w:lang w:val="sr-Cyrl-CS"/>
        </w:rPr>
        <w:t>Извор: Министарство финансија, НБС, РЗС</w:t>
      </w:r>
    </w:p>
    <w:p w14:paraId="767673F5" w14:textId="77777777" w:rsidR="00C32486" w:rsidRPr="00DE058F" w:rsidRDefault="00C32486" w:rsidP="00E96528">
      <w:pPr>
        <w:rPr>
          <w:rFonts w:cstheme="minorHAnsi"/>
          <w:sz w:val="16"/>
          <w:lang w:val="sr-Cyrl-CS"/>
        </w:rPr>
      </w:pPr>
      <w:r w:rsidRPr="00DE058F">
        <w:rPr>
          <w:rFonts w:cstheme="minorHAnsi"/>
          <w:sz w:val="16"/>
          <w:lang w:val="sr-Cyrl-CS"/>
        </w:rPr>
        <w:t>* Процена МФИН.</w:t>
      </w:r>
    </w:p>
    <w:p w14:paraId="2B5F9C63" w14:textId="03AC6491" w:rsidR="00E96528" w:rsidRPr="00DE058F" w:rsidRDefault="00C32486" w:rsidP="00E96528">
      <w:pPr>
        <w:rPr>
          <w:rFonts w:eastAsia="Times New Roman" w:cstheme="minorHAnsi"/>
          <w:szCs w:val="24"/>
          <w:lang w:val="sr-Cyrl-CS"/>
        </w:rPr>
      </w:pPr>
      <w:r w:rsidRPr="00DE058F">
        <w:rPr>
          <w:rFonts w:eastAsia="Times New Roman" w:cstheme="minorHAnsi"/>
          <w:spacing w:val="-4"/>
          <w:szCs w:val="24"/>
          <w:lang w:val="sr-Cyrl-CS"/>
        </w:rPr>
        <w:t>Раст робног извоза у еврима по просечној стопи од 13,7% и увоза за 11,6% у пројектованом трогодишњем периоду смањиће спољнотрговински дефицит роба на 12,1% БДП у 2025. години, са овогодишњих 13,2%. Предвиђа се</w:t>
      </w:r>
      <w:r w:rsidRPr="00DE058F">
        <w:rPr>
          <w:rFonts w:eastAsia="Times New Roman" w:cstheme="minorHAnsi"/>
          <w:szCs w:val="24"/>
          <w:lang w:val="sr-Cyrl-CS"/>
        </w:rPr>
        <w:t xml:space="preserve"> наставак повољних кретања на рачуну услуга, где ће суфицит у пројектованом трогодишњем периоду износити у просеку 1,8 млрд евра. Прилив по основу текућих трансфера износиће у просеку 7,3% БДП годишње, при чему ће приходи од дознака задржати улогу доминантне компоненте. Нето ефекат текућих трансфера и нето факторских плаћања у наредном трогодишњем периоду биће позитиван и износиће око 2,4 млрд евра просечно годишње, што ће значајно ублажити дефицит спољнотрговинског биланса роба и услуга. Оваква кретања уз пројектовану динамику економске активности имаће за резултат смањење учешћа дефицита текућег рачуна платног биланса на 6,0% БДП на крају пројектованог периода.</w:t>
      </w:r>
    </w:p>
    <w:p w14:paraId="079AB618" w14:textId="77777777" w:rsidR="00E96528" w:rsidRPr="00DE058F" w:rsidRDefault="00E96528" w:rsidP="00E96528">
      <w:pPr>
        <w:rPr>
          <w:rFonts w:eastAsia="Times New Roman" w:cstheme="minorHAnsi"/>
          <w:szCs w:val="24"/>
          <w:lang w:val="sr-Cyrl-CS"/>
        </w:rPr>
        <w:sectPr w:rsidR="00E96528" w:rsidRPr="00DE058F" w:rsidSect="0021538A">
          <w:footerReference w:type="default" r:id="rId87"/>
          <w:type w:val="continuous"/>
          <w:pgSz w:w="12240" w:h="15840" w:code="1"/>
          <w:pgMar w:top="1440" w:right="1440" w:bottom="1440" w:left="1440" w:header="720" w:footer="720" w:gutter="0"/>
          <w:cols w:num="2" w:space="720"/>
          <w:docGrid w:linePitch="360"/>
          <w15:footnoteColumns w:val="1"/>
        </w:sectPr>
      </w:pPr>
    </w:p>
    <w:p w14:paraId="2074C628" w14:textId="5848E676" w:rsidR="00C32486" w:rsidRPr="00DE058F" w:rsidRDefault="00C32486" w:rsidP="008527D6">
      <w:pPr>
        <w:jc w:val="center"/>
        <w:rPr>
          <w:rFonts w:cstheme="minorHAnsi"/>
          <w:b/>
          <w:color w:val="002060"/>
          <w:lang w:val="sr-Cyrl-CS"/>
        </w:rPr>
      </w:pPr>
      <w:r w:rsidRPr="00DE058F">
        <w:rPr>
          <w:rFonts w:cstheme="minorHAnsi"/>
          <w:b/>
          <w:color w:val="002060"/>
          <w:lang w:val="sr-Cyrl-CS"/>
        </w:rPr>
        <w:lastRenderedPageBreak/>
        <w:t>Дефицит текућег рачуна и СДИ, % БДП</w:t>
      </w:r>
    </w:p>
    <w:p w14:paraId="3AE2BEF4" w14:textId="77777777" w:rsidR="00C32486" w:rsidRPr="00DE058F" w:rsidRDefault="00C32486" w:rsidP="00E96528">
      <w:pPr>
        <w:spacing w:after="80"/>
        <w:jc w:val="center"/>
        <w:rPr>
          <w:rFonts w:cstheme="minorHAnsi"/>
          <w:lang w:val="sr-Cyrl-CS"/>
        </w:rPr>
      </w:pPr>
      <w:r w:rsidRPr="00DE058F">
        <w:rPr>
          <w:noProof/>
        </w:rPr>
        <w:drawing>
          <wp:inline distT="0" distB="0" distL="0" distR="0" wp14:anchorId="7D81A061" wp14:editId="1AE6C1D8">
            <wp:extent cx="2743200" cy="1815921"/>
            <wp:effectExtent l="0" t="0" r="0" b="0"/>
            <wp:docPr id="69" name="Chart 69">
              <a:extLst xmlns:a="http://schemas.openxmlformats.org/drawingml/2006/main">
                <a:ext uri="{FF2B5EF4-FFF2-40B4-BE49-F238E27FC236}">
                  <a16:creationId xmlns:a16="http://schemas.microsoft.com/office/drawing/2014/main" id="{00000000-0008-0000-17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27C468FD" w14:textId="77777777" w:rsidR="00C32486" w:rsidRPr="00DE058F" w:rsidRDefault="00C32486" w:rsidP="008527D6">
      <w:pPr>
        <w:rPr>
          <w:lang w:val="sr-Cyrl-CS"/>
        </w:rPr>
      </w:pPr>
      <w:r w:rsidRPr="00DE058F">
        <w:rPr>
          <w:rFonts w:cstheme="minorHAnsi"/>
          <w:sz w:val="16"/>
          <w:lang w:val="sr-Cyrl-CS"/>
        </w:rPr>
        <w:t>Извор: НБС и Министарство финансија</w:t>
      </w:r>
    </w:p>
    <w:p w14:paraId="2494383C" w14:textId="34004162" w:rsidR="00D35692" w:rsidRPr="00DE058F" w:rsidRDefault="00C32486" w:rsidP="008527D6">
      <w:pPr>
        <w:rPr>
          <w:rFonts w:eastAsia="Times New Roman" w:cstheme="minorHAnsi"/>
          <w:szCs w:val="24"/>
          <w:lang w:val="sr-Cyrl-CS"/>
        </w:rPr>
      </w:pPr>
      <w:r w:rsidRPr="00DE058F">
        <w:rPr>
          <w:rFonts w:eastAsia="Times New Roman" w:cstheme="minorHAnsi"/>
          <w:szCs w:val="24"/>
          <w:lang w:val="sr-Cyrl-CS"/>
        </w:rPr>
        <w:t>У структури финансијског рачуна доминираће удео СДИ са учешћем у БДП од 5,0% просечно годишње. Овај прилив ће уједно бити главни извор финансирања дефицита текућег рачуна. Задржана повољна инвестициона перспектива наше земље и очекиван наставак високог прилива СДИ, као и њихова даља диверсификација ка сектору разменљивих добара, допринеће наставку раста извоза и јачању спољне и унутрашње макроекономске равнотеже.</w:t>
      </w:r>
    </w:p>
    <w:p w14:paraId="08D9259F" w14:textId="21D7E499" w:rsidR="00D35692" w:rsidRPr="00DE058F" w:rsidRDefault="00D35692" w:rsidP="00E96528">
      <w:pPr>
        <w:rPr>
          <w:lang w:val="sr-Cyrl-CS"/>
        </w:rPr>
      </w:pPr>
    </w:p>
    <w:p w14:paraId="72698D8E" w14:textId="04EF07F6" w:rsidR="00D35692" w:rsidRPr="00DE058F" w:rsidRDefault="00D35692" w:rsidP="00E96528">
      <w:pPr>
        <w:rPr>
          <w:lang w:val="sr-Cyrl-CS"/>
        </w:rPr>
      </w:pPr>
    </w:p>
    <w:p w14:paraId="61112522" w14:textId="77777777" w:rsidR="00D35692" w:rsidRPr="00DE058F" w:rsidRDefault="00D35692" w:rsidP="008527D6">
      <w:pPr>
        <w:rPr>
          <w:rFonts w:eastAsia="Times New Roman" w:cstheme="minorHAnsi"/>
          <w:szCs w:val="24"/>
          <w:lang w:val="sr-Cyrl-CS"/>
        </w:rPr>
        <w:sectPr w:rsidR="00D35692" w:rsidRPr="00DE058F" w:rsidSect="0021538A">
          <w:type w:val="continuous"/>
          <w:pgSz w:w="12240" w:h="15840" w:code="1"/>
          <w:pgMar w:top="1440" w:right="1440" w:bottom="1440" w:left="1440" w:header="720" w:footer="720" w:gutter="0"/>
          <w:cols w:num="2" w:space="720"/>
          <w:docGrid w:linePitch="360"/>
          <w15:footnoteColumns w:val="1"/>
        </w:sectPr>
      </w:pPr>
    </w:p>
    <w:p w14:paraId="6193B659" w14:textId="77777777" w:rsidR="00E96528" w:rsidRPr="00DE058F" w:rsidRDefault="00E96528" w:rsidP="00E96528">
      <w:pPr>
        <w:rPr>
          <w:lang w:val="sr-Cyrl-CS"/>
        </w:rPr>
      </w:pPr>
      <w:bookmarkStart w:id="12" w:name="_Toc11155989"/>
      <w:bookmarkStart w:id="13" w:name="_Toc56667074"/>
      <w:bookmarkStart w:id="14" w:name="_Toc86923720"/>
      <w:r w:rsidRPr="00DE058F">
        <w:rPr>
          <w:lang w:val="sr-Cyrl-CS"/>
        </w:rPr>
        <w:br w:type="page"/>
      </w:r>
    </w:p>
    <w:p w14:paraId="2A127C46" w14:textId="21AC144E" w:rsidR="00D35692" w:rsidRPr="00DE058F" w:rsidRDefault="00D35692" w:rsidP="00D35692">
      <w:pPr>
        <w:keepNext/>
        <w:keepLines/>
        <w:spacing w:before="240" w:after="0"/>
        <w:jc w:val="center"/>
        <w:outlineLvl w:val="0"/>
        <w:rPr>
          <w:rFonts w:eastAsiaTheme="majorEastAsia" w:cstheme="minorHAnsi"/>
          <w:b/>
          <w:color w:val="2F5496" w:themeColor="accent1" w:themeShade="BF"/>
          <w:sz w:val="24"/>
          <w:szCs w:val="24"/>
          <w:lang w:val="sr-Cyrl-CS"/>
        </w:rPr>
      </w:pPr>
      <w:bookmarkStart w:id="15" w:name="_Toc104899604"/>
      <w:r w:rsidRPr="00DE058F">
        <w:rPr>
          <w:rFonts w:eastAsiaTheme="majorEastAsia" w:cstheme="minorHAnsi"/>
          <w:b/>
          <w:color w:val="2F5496" w:themeColor="accent1" w:themeShade="BF"/>
          <w:sz w:val="24"/>
          <w:szCs w:val="24"/>
          <w:lang w:val="sr-Cyrl-CS"/>
        </w:rPr>
        <w:lastRenderedPageBreak/>
        <w:t xml:space="preserve">II. </w:t>
      </w:r>
      <w:r w:rsidR="004B7C27" w:rsidRPr="00DE058F">
        <w:rPr>
          <w:rFonts w:eastAsiaTheme="majorEastAsia" w:cstheme="minorHAnsi"/>
          <w:b/>
          <w:color w:val="2F5496" w:themeColor="accent1" w:themeShade="BF"/>
          <w:sz w:val="24"/>
          <w:szCs w:val="24"/>
          <w:lang w:val="sr-Cyrl-CS"/>
        </w:rPr>
        <w:t>ФИСКАЛНИ ОКВИР ЗА ПЕРИОД ОД 2023. ДО 2025</w:t>
      </w:r>
      <w:r w:rsidRPr="00DE058F">
        <w:rPr>
          <w:rFonts w:eastAsiaTheme="majorEastAsia" w:cstheme="minorHAnsi"/>
          <w:b/>
          <w:color w:val="2F5496" w:themeColor="accent1" w:themeShade="BF"/>
          <w:sz w:val="24"/>
          <w:szCs w:val="24"/>
          <w:lang w:val="sr-Cyrl-CS"/>
        </w:rPr>
        <w:t>. ГОДИНЕ</w:t>
      </w:r>
      <w:bookmarkStart w:id="16" w:name="_Toc528909823"/>
      <w:bookmarkStart w:id="17" w:name="_Toc530635104"/>
      <w:bookmarkEnd w:id="12"/>
      <w:bookmarkEnd w:id="13"/>
      <w:bookmarkEnd w:id="14"/>
      <w:bookmarkEnd w:id="15"/>
    </w:p>
    <w:p w14:paraId="22364992" w14:textId="77777777" w:rsidR="00D35692" w:rsidRPr="00DE058F" w:rsidRDefault="00D35692" w:rsidP="00D35692">
      <w:pPr>
        <w:keepNext/>
        <w:keepLines/>
        <w:spacing w:before="40" w:after="360"/>
        <w:jc w:val="center"/>
        <w:outlineLvl w:val="1"/>
        <w:rPr>
          <w:rFonts w:eastAsiaTheme="majorEastAsia" w:cstheme="minorHAnsi"/>
          <w:b/>
          <w:color w:val="2F5496" w:themeColor="accent1" w:themeShade="BF"/>
          <w:sz w:val="24"/>
          <w:szCs w:val="26"/>
          <w:lang w:val="sr-Cyrl-CS"/>
        </w:rPr>
      </w:pPr>
      <w:bookmarkStart w:id="18" w:name="_Toc11155990"/>
      <w:bookmarkStart w:id="19" w:name="_Toc56667075"/>
      <w:bookmarkStart w:id="20" w:name="_Toc86923721"/>
      <w:bookmarkStart w:id="21" w:name="_Toc104899605"/>
      <w:r w:rsidRPr="00DE058F">
        <w:rPr>
          <w:rFonts w:eastAsiaTheme="majorEastAsia" w:cstheme="minorHAnsi"/>
          <w:b/>
          <w:color w:val="2F5496" w:themeColor="accent1" w:themeShade="BF"/>
          <w:sz w:val="24"/>
          <w:szCs w:val="26"/>
          <w:lang w:val="sr-Cyrl-CS"/>
        </w:rPr>
        <w:t xml:space="preserve">1. </w:t>
      </w:r>
      <w:bookmarkEnd w:id="16"/>
      <w:r w:rsidRPr="00DE058F">
        <w:rPr>
          <w:rFonts w:eastAsiaTheme="majorEastAsia" w:cstheme="minorHAnsi"/>
          <w:b/>
          <w:color w:val="2F5496" w:themeColor="accent1" w:themeShade="BF"/>
          <w:sz w:val="24"/>
          <w:szCs w:val="26"/>
          <w:lang w:val="sr-Cyrl-CS"/>
        </w:rPr>
        <w:t>Средњорочни циљеви фискалне политике</w:t>
      </w:r>
      <w:bookmarkEnd w:id="17"/>
      <w:bookmarkEnd w:id="18"/>
      <w:bookmarkEnd w:id="19"/>
      <w:bookmarkEnd w:id="20"/>
      <w:bookmarkEnd w:id="21"/>
    </w:p>
    <w:p w14:paraId="17B12C1A" w14:textId="77777777" w:rsidR="00D35692" w:rsidRPr="00DE058F" w:rsidRDefault="00D35692" w:rsidP="00D35692">
      <w:pPr>
        <w:spacing w:after="120" w:line="276" w:lineRule="auto"/>
        <w:rPr>
          <w:rFonts w:ascii="Calibri" w:hAnsi="Calibri" w:cs="Calibri"/>
          <w:bCs/>
          <w:color w:val="FF0000"/>
          <w:szCs w:val="20"/>
          <w:lang w:val="sr-Cyrl-CS"/>
        </w:rPr>
        <w:sectPr w:rsidR="00D35692" w:rsidRPr="00DE058F" w:rsidSect="00C91F83">
          <w:headerReference w:type="even" r:id="rId89"/>
          <w:footerReference w:type="even" r:id="rId90"/>
          <w:footerReference w:type="default" r:id="rId91"/>
          <w:headerReference w:type="first" r:id="rId92"/>
          <w:type w:val="continuous"/>
          <w:pgSz w:w="12240" w:h="15840" w:code="1"/>
          <w:pgMar w:top="1418" w:right="1418" w:bottom="1418" w:left="1418" w:header="720" w:footer="720" w:gutter="0"/>
          <w:cols w:space="720"/>
          <w:docGrid w:linePitch="272"/>
        </w:sectPr>
      </w:pPr>
    </w:p>
    <w:p w14:paraId="4CEE7CB0" w14:textId="7255B879" w:rsidR="000A125C" w:rsidRPr="00DE058F" w:rsidRDefault="000A125C" w:rsidP="000A125C">
      <w:pPr>
        <w:rPr>
          <w:rFonts w:ascii="Calibri" w:hAnsi="Calibri" w:cs="Calibri"/>
          <w:bCs/>
          <w:szCs w:val="20"/>
          <w:lang w:val="sr-Cyrl-CS"/>
        </w:rPr>
      </w:pPr>
      <w:r w:rsidRPr="00DE058F">
        <w:rPr>
          <w:rFonts w:ascii="Calibri" w:hAnsi="Calibri" w:cs="Calibri"/>
          <w:bCs/>
          <w:szCs w:val="20"/>
          <w:lang w:val="sr-Cyrl-CS"/>
        </w:rPr>
        <w:t>Наставак борбе са пандемијом коронавируса и привредни опоравак обележили су 2021. годину. Пакети мера подршке, вакцинација, повратак економских и друштвених токова, у земљи и у окружењу, у нормалу, довели су до економског опоравка и значајног раста БДП. Са додатним слабљењем интензитета пандемије повећан је оптимизам у вези очекиваних макроекономских кретања у 2022. години и</w:t>
      </w:r>
      <w:r w:rsidR="00B93D6A" w:rsidRPr="00DE058F">
        <w:rPr>
          <w:rFonts w:ascii="Calibri" w:hAnsi="Calibri" w:cs="Calibri"/>
          <w:bCs/>
          <w:szCs w:val="20"/>
          <w:lang w:val="sr-Cyrl-CS"/>
        </w:rPr>
        <w:t xml:space="preserve"> наредном средњорочном периоду.</w:t>
      </w:r>
    </w:p>
    <w:p w14:paraId="74323C08" w14:textId="4374D082" w:rsidR="000A125C" w:rsidRPr="00DE058F" w:rsidRDefault="000A125C" w:rsidP="000A125C">
      <w:pPr>
        <w:rPr>
          <w:rFonts w:ascii="Calibri" w:hAnsi="Calibri" w:cs="Calibri"/>
          <w:bCs/>
          <w:szCs w:val="20"/>
          <w:lang w:val="sr-Cyrl-CS"/>
        </w:rPr>
      </w:pPr>
      <w:r w:rsidRPr="00DE058F">
        <w:rPr>
          <w:rFonts w:ascii="Calibri" w:hAnsi="Calibri" w:cs="Calibri"/>
          <w:bCs/>
          <w:szCs w:val="20"/>
          <w:lang w:val="sr-Cyrl-CS"/>
        </w:rPr>
        <w:t>Таква перспектива је нарушена, прво, растом инфлације изазване кризом на међународним тржиштима енергије и сировина крајем 2021. године, а онда и ескалацијом сукоба у Украјини почетком ове године. Последице украјинских дешавања се у првом кварталу још увек нису одразиле на економске токове у Србији, али је јасно да ће остатак 2022. године, а вероватно и одређени период након тога, бити снажно погођен овом кризом. Уз то</w:t>
      </w:r>
      <w:r w:rsidR="009962BC" w:rsidRPr="00DE058F">
        <w:rPr>
          <w:rFonts w:ascii="Calibri" w:hAnsi="Calibri" w:cs="Calibri"/>
          <w:bCs/>
          <w:szCs w:val="20"/>
          <w:lang w:val="sr-Cyrl-CS"/>
        </w:rPr>
        <w:t>,</w:t>
      </w:r>
      <w:r w:rsidRPr="00DE058F">
        <w:rPr>
          <w:rFonts w:ascii="Calibri" w:hAnsi="Calibri" w:cs="Calibri"/>
          <w:bCs/>
          <w:szCs w:val="20"/>
          <w:lang w:val="sr-Cyrl-CS"/>
        </w:rPr>
        <w:t xml:space="preserve"> глобална пандемија још није завршена</w:t>
      </w:r>
      <w:r w:rsidR="009962BC" w:rsidRPr="00DE058F">
        <w:rPr>
          <w:rFonts w:ascii="Calibri" w:hAnsi="Calibri" w:cs="Calibri"/>
          <w:bCs/>
          <w:szCs w:val="20"/>
          <w:lang w:val="sr-Cyrl-CS"/>
        </w:rPr>
        <w:t>,</w:t>
      </w:r>
      <w:r w:rsidRPr="00DE058F">
        <w:rPr>
          <w:rFonts w:ascii="Calibri" w:hAnsi="Calibri" w:cs="Calibri"/>
          <w:bCs/>
          <w:szCs w:val="20"/>
          <w:lang w:val="sr-Cyrl-CS"/>
        </w:rPr>
        <w:t xml:space="preserve"> тако да је предстојећи период пун неизвесности.</w:t>
      </w:r>
    </w:p>
    <w:p w14:paraId="463605C7" w14:textId="45159E1E" w:rsidR="000A125C" w:rsidRPr="00DE058F" w:rsidRDefault="000A125C" w:rsidP="000A125C">
      <w:pPr>
        <w:rPr>
          <w:rFonts w:ascii="Calibri" w:hAnsi="Calibri" w:cs="Calibri"/>
          <w:bCs/>
          <w:szCs w:val="20"/>
          <w:lang w:val="sr-Cyrl-CS"/>
        </w:rPr>
      </w:pPr>
      <w:r w:rsidRPr="00DE058F">
        <w:rPr>
          <w:rFonts w:ascii="Calibri" w:hAnsi="Calibri" w:cs="Calibri"/>
          <w:bCs/>
          <w:szCs w:val="20"/>
          <w:lang w:val="sr-Cyrl-CS"/>
        </w:rPr>
        <w:t>Планирање економске и, посебно, фискалне политике првенствено ће зависити од процене ефеката украјинске кризе на међународно окружење и домаће прилике. Опредељење је да се и по</w:t>
      </w:r>
      <w:r w:rsidR="00A1564C" w:rsidRPr="00DE058F">
        <w:rPr>
          <w:rFonts w:ascii="Calibri" w:hAnsi="Calibri" w:cs="Calibri"/>
          <w:bCs/>
          <w:szCs w:val="20"/>
          <w:lang w:val="sr-Cyrl-CS"/>
        </w:rPr>
        <w:t xml:space="preserve">ред неповољне ситуације иде на </w:t>
      </w:r>
      <w:r w:rsidRPr="00DE058F">
        <w:rPr>
          <w:rFonts w:ascii="Calibri" w:hAnsi="Calibri" w:cs="Calibri"/>
          <w:bCs/>
          <w:szCs w:val="20"/>
          <w:lang w:val="sr-Cyrl-CS"/>
        </w:rPr>
        <w:t>уравнотежење и стабилизацију јавних финансија, како би се смањило учешће јавног дуга у БДП и створиле основе за стабилан привредни раст. Паралелно са тим потребно је обезбедити простор за правовремену реакцију фискалне политике на економске девијације. Евентуална фискална интервенција државе у циљу минимизирања ефеката кризе свакако ће бити комбинована са настојањима да се не зауставе развојни програми и инфраструктурни пројекти финансирани из буџета.</w:t>
      </w:r>
    </w:p>
    <w:p w14:paraId="21887B56" w14:textId="14E62460" w:rsidR="000A125C" w:rsidRPr="00DE058F" w:rsidRDefault="000A125C" w:rsidP="000A125C">
      <w:pPr>
        <w:rPr>
          <w:rFonts w:ascii="Calibri" w:hAnsi="Calibri" w:cs="Calibri"/>
          <w:bCs/>
          <w:szCs w:val="20"/>
          <w:lang w:val="sr-Cyrl-CS"/>
        </w:rPr>
      </w:pPr>
      <w:r w:rsidRPr="00DE058F">
        <w:rPr>
          <w:rFonts w:ascii="Calibri" w:hAnsi="Calibri" w:cs="Calibri"/>
          <w:bCs/>
          <w:szCs w:val="20"/>
          <w:lang w:val="sr-Cyrl-CS"/>
        </w:rPr>
        <w:t>Средњорочни фискални оквир предвиђа умерено напуштање експанзивне фискалне политике која је била присутна током пандемије. С обзиром на неизвесну економску ситуацију, буџет ће свакако представљати „сигурносну мрежу” у случају ескалације неповољних кретања. Са једне стране обезбедиће се континуитет развојних и социјалних програма, а са друге стране одрживост јавних финансија и наставак смањења нивоа јавног дуга у смислу учешћа у БДП. Имајући у виду очекивана макроекономска кретања, предвиђени годишњи фискални дефицити омогућавају смањење учешћа дуга опште државе у БДП и у наредном периоду.</w:t>
      </w:r>
    </w:p>
    <w:p w14:paraId="5D48CD4D" w14:textId="0BF05621" w:rsidR="00D35692" w:rsidRPr="00DE058F" w:rsidRDefault="000A125C" w:rsidP="000A125C">
      <w:pPr>
        <w:rPr>
          <w:rFonts w:ascii="Calibri" w:hAnsi="Calibri" w:cs="Calibri"/>
          <w:bCs/>
          <w:szCs w:val="20"/>
          <w:lang w:val="sr-Cyrl-CS"/>
        </w:rPr>
      </w:pPr>
      <w:r w:rsidRPr="00DE058F">
        <w:rPr>
          <w:rFonts w:ascii="Calibri" w:hAnsi="Calibri" w:cs="Calibri"/>
          <w:bCs/>
          <w:szCs w:val="20"/>
          <w:lang w:val="sr-Cyrl-CS"/>
        </w:rPr>
        <w:t>Фискална политика ће у наредном периоду бити фокусирана, у складу са расположивим фискалним простором, на даље смањење укупног пореског оптерећења рада чиме се додатно растерећује привреда, односно повећава конкурентност приватног сектора. На расходној страни, приоритет ће имати инфраструктурни и капитални пројекти, те политика пензија и плата. При томе ће се водити рачуна да се повећањем ових, највећих, категорија расхода не изађе из планираног одрживог оквира. Додатно, стабилности јавних финансија и одрживом фискалном оквиру допринеће планиране измене Закона о буџетском систему, којима ће, између осталог, бити редизајниран скуп фискалних правила, општих и посебних, те дефинисане посебне мере и консеквенце у случају њиховог непоштовања. Посебан акценат биће стављен на измену општих правила која се односе на јавни дуг и дефицит опште државе, те посебних правила везаних за одрживи ниво расхода за плате и пензије.</w:t>
      </w:r>
    </w:p>
    <w:p w14:paraId="4CF8E8F3" w14:textId="77777777" w:rsidR="00D35692" w:rsidRPr="00DE058F" w:rsidRDefault="00D35692" w:rsidP="00D35692">
      <w:pPr>
        <w:spacing w:after="120"/>
        <w:rPr>
          <w:rFonts w:ascii="Calibri" w:hAnsi="Calibri" w:cs="Calibri"/>
          <w:bCs/>
          <w:color w:val="FF0000"/>
          <w:szCs w:val="20"/>
          <w:lang w:val="sr-Cyrl-CS"/>
        </w:rPr>
        <w:sectPr w:rsidR="00D35692" w:rsidRPr="00DE058F" w:rsidSect="00AE40EB">
          <w:type w:val="continuous"/>
          <w:pgSz w:w="12240" w:h="15840" w:code="1"/>
          <w:pgMar w:top="1440" w:right="1440" w:bottom="1440" w:left="1440" w:header="720" w:footer="720" w:gutter="0"/>
          <w:cols w:num="2" w:space="720"/>
          <w:docGrid w:linePitch="360"/>
        </w:sectPr>
      </w:pPr>
    </w:p>
    <w:p w14:paraId="34FC7D4A" w14:textId="1A127EDE" w:rsidR="00C32486" w:rsidRPr="00DE058F" w:rsidRDefault="00C32486" w:rsidP="008527D6">
      <w:pPr>
        <w:rPr>
          <w:rFonts w:eastAsia="Times New Roman" w:cstheme="minorHAnsi"/>
          <w:szCs w:val="24"/>
          <w:highlight w:val="yellow"/>
          <w:lang w:val="sr-Cyrl-CS"/>
        </w:rPr>
      </w:pPr>
    </w:p>
    <w:bookmarkEnd w:id="3"/>
    <w:bookmarkEnd w:id="4"/>
    <w:bookmarkEnd w:id="5"/>
    <w:p w14:paraId="12413B1B" w14:textId="7AA6BA7E" w:rsidR="00D36187" w:rsidRPr="00DE058F" w:rsidRDefault="00D36187">
      <w:pPr>
        <w:jc w:val="left"/>
        <w:rPr>
          <w:lang w:val="sr-Cyrl-CS"/>
        </w:rPr>
      </w:pPr>
      <w:r w:rsidRPr="00DE058F">
        <w:rPr>
          <w:lang w:val="sr-Cyrl-CS"/>
        </w:rPr>
        <w:br w:type="page"/>
      </w:r>
    </w:p>
    <w:p w14:paraId="032F3BFE" w14:textId="77777777" w:rsidR="003A3F4B" w:rsidRPr="00DE058F" w:rsidRDefault="003A3F4B" w:rsidP="00D81397">
      <w:pPr>
        <w:keepNext/>
        <w:keepLines/>
        <w:spacing w:after="120"/>
        <w:jc w:val="center"/>
        <w:outlineLvl w:val="1"/>
        <w:rPr>
          <w:rFonts w:eastAsia="MS PGothic" w:cstheme="minorHAnsi"/>
          <w:b/>
          <w:color w:val="2F5496" w:themeColor="accent1" w:themeShade="BF"/>
          <w:sz w:val="24"/>
          <w:szCs w:val="26"/>
          <w:lang w:val="sr-Cyrl-CS" w:eastAsia="ja-JP"/>
        </w:rPr>
        <w:sectPr w:rsidR="003A3F4B" w:rsidRPr="00DE058F" w:rsidSect="00C91F83">
          <w:headerReference w:type="even" r:id="rId93"/>
          <w:headerReference w:type="default" r:id="rId94"/>
          <w:footerReference w:type="even" r:id="rId95"/>
          <w:footerReference w:type="default" r:id="rId96"/>
          <w:headerReference w:type="first" r:id="rId97"/>
          <w:type w:val="continuous"/>
          <w:pgSz w:w="12240" w:h="15840" w:code="1"/>
          <w:pgMar w:top="1440" w:right="1440" w:bottom="1440" w:left="1440" w:header="720" w:footer="720" w:gutter="0"/>
          <w:cols w:num="2" w:space="720"/>
          <w:docGrid w:linePitch="360"/>
          <w15:footnoteColumns w:val="1"/>
        </w:sectPr>
      </w:pPr>
      <w:bookmarkStart w:id="22" w:name="_Toc86923722"/>
      <w:bookmarkStart w:id="23" w:name="_Toc11155992"/>
      <w:bookmarkStart w:id="24" w:name="_Toc56667077"/>
      <w:bookmarkStart w:id="25" w:name="_Toc24119837"/>
      <w:bookmarkStart w:id="26" w:name="_Toc530635105"/>
      <w:bookmarkStart w:id="27" w:name="_Toc24119831"/>
      <w:bookmarkStart w:id="28" w:name="_Toc56667076"/>
      <w:bookmarkStart w:id="29" w:name="_Toc530635106"/>
    </w:p>
    <w:p w14:paraId="592C2090" w14:textId="23B8CA22" w:rsidR="003A3F4B" w:rsidRPr="00DE058F" w:rsidRDefault="003A3F4B" w:rsidP="003A3F4B">
      <w:pPr>
        <w:keepNext/>
        <w:keepLines/>
        <w:spacing w:after="240"/>
        <w:jc w:val="center"/>
        <w:outlineLvl w:val="1"/>
        <w:rPr>
          <w:rFonts w:eastAsia="MS PGothic" w:cstheme="minorHAnsi"/>
          <w:b/>
          <w:color w:val="2F5496" w:themeColor="accent1" w:themeShade="BF"/>
          <w:sz w:val="24"/>
          <w:szCs w:val="26"/>
          <w:lang w:val="sr-Cyrl-CS" w:eastAsia="ja-JP"/>
        </w:rPr>
      </w:pPr>
      <w:bookmarkStart w:id="30" w:name="_Toc104899606"/>
      <w:r w:rsidRPr="00DE058F">
        <w:rPr>
          <w:rFonts w:eastAsia="MS PGothic" w:cstheme="minorHAnsi"/>
          <w:b/>
          <w:color w:val="2F5496" w:themeColor="accent1" w:themeShade="BF"/>
          <w:sz w:val="24"/>
          <w:szCs w:val="26"/>
          <w:lang w:val="sr-Cyrl-CS" w:eastAsia="ja-JP"/>
        </w:rPr>
        <w:lastRenderedPageBreak/>
        <w:t>2. Фискална кретања у 2021. години</w:t>
      </w:r>
      <w:bookmarkEnd w:id="22"/>
      <w:bookmarkEnd w:id="30"/>
    </w:p>
    <w:p w14:paraId="69DD39AA" w14:textId="77777777" w:rsidR="003A3F4B" w:rsidRPr="00DE058F" w:rsidRDefault="003A3F4B" w:rsidP="003A3F4B">
      <w:pPr>
        <w:spacing w:after="240"/>
        <w:rPr>
          <w:rFonts w:cstheme="minorHAnsi"/>
          <w:lang w:val="sr-Cyrl-CS" w:eastAsia="ja-JP"/>
        </w:rPr>
        <w:sectPr w:rsidR="003A3F4B" w:rsidRPr="00DE058F" w:rsidSect="003A3F4B">
          <w:type w:val="continuous"/>
          <w:pgSz w:w="12240" w:h="15840" w:code="1"/>
          <w:pgMar w:top="1440" w:right="1440" w:bottom="1440" w:left="1440" w:header="720" w:footer="720" w:gutter="0"/>
          <w:cols w:space="720"/>
          <w:docGrid w:linePitch="360"/>
          <w15:footnoteColumns w:val="1"/>
        </w:sectPr>
      </w:pPr>
    </w:p>
    <w:p w14:paraId="25B3EB28" w14:textId="77777777" w:rsidR="003A3F4B" w:rsidRPr="00DE058F" w:rsidRDefault="003A3F4B" w:rsidP="00C91F83">
      <w:pPr>
        <w:rPr>
          <w:rFonts w:cstheme="minorHAnsi"/>
          <w:bCs/>
          <w:szCs w:val="72"/>
          <w:lang w:val="sr-Cyrl-CS"/>
        </w:rPr>
      </w:pPr>
      <w:r w:rsidRPr="00DE058F">
        <w:rPr>
          <w:rFonts w:cstheme="minorHAnsi"/>
          <w:bCs/>
          <w:szCs w:val="72"/>
          <w:lang w:val="sr-Cyrl-CS"/>
        </w:rPr>
        <w:t>На крају 2021. године, на нивоу опште државе остварен је фискални дефицит у износу од 259,4 млрд динара, односно 4,1% БДП, што је за 0,8% БДП боље од планираног, с обзиром да је јесењом пројекцијом планиран фискални дефицит од 4,9% БДП. Пролећном пројекцијом планиран је фискални дефицит од 6,9% БДП. У оригиналном буџетском плану, који није укључивао пакет мера за ублажавање утицаја пандемије, дефицит је износио 3% БДП.</w:t>
      </w:r>
    </w:p>
    <w:p w14:paraId="0251331A" w14:textId="3C8BB255" w:rsidR="003A3F4B" w:rsidRPr="00DE058F" w:rsidRDefault="003A3F4B" w:rsidP="00C91F83">
      <w:pPr>
        <w:rPr>
          <w:rFonts w:cstheme="minorHAnsi"/>
          <w:bCs/>
          <w:szCs w:val="72"/>
          <w:lang w:val="sr-Cyrl-CS"/>
        </w:rPr>
      </w:pPr>
      <w:r w:rsidRPr="00DE058F">
        <w:rPr>
          <w:rFonts w:cstheme="minorHAnsi"/>
          <w:bCs/>
          <w:szCs w:val="72"/>
          <w:lang w:val="sr-Cyrl-CS"/>
        </w:rPr>
        <w:t>У 2021. години остварен је примарни фискални дефицит од 2,4% БДП. Дуг је смањен за 0,7 п.п</w:t>
      </w:r>
      <w:r w:rsidR="00007166" w:rsidRPr="00DE058F">
        <w:rPr>
          <w:rFonts w:cstheme="minorHAnsi"/>
          <w:bCs/>
          <w:szCs w:val="72"/>
          <w:lang w:val="sr-Cyrl-CS"/>
        </w:rPr>
        <w:t>.</w:t>
      </w:r>
      <w:r w:rsidRPr="00DE058F">
        <w:rPr>
          <w:rFonts w:cstheme="minorHAnsi"/>
          <w:bCs/>
          <w:szCs w:val="72"/>
          <w:lang w:val="sr-Cyrl-CS"/>
        </w:rPr>
        <w:t>, са 57,8% БДП, колико је износио на крају 2020. године на 57,1% БДП на крају 2021. године. Укупан пакет мера планиран за 2021. годину износио је око 280 млрд динара, односно 4,5% БДП, од чега је реализовано око 178,5 млрд динара, односно 2,8% БДП. Директан фискални ефекат овог пакета м</w:t>
      </w:r>
      <w:r w:rsidR="00445557" w:rsidRPr="00DE058F">
        <w:rPr>
          <w:rFonts w:cstheme="minorHAnsi"/>
          <w:bCs/>
          <w:szCs w:val="72"/>
          <w:lang w:val="sr-Cyrl-CS"/>
        </w:rPr>
        <w:t>е</w:t>
      </w:r>
      <w:r w:rsidRPr="00DE058F">
        <w:rPr>
          <w:rFonts w:cstheme="minorHAnsi"/>
          <w:bCs/>
          <w:szCs w:val="72"/>
          <w:lang w:val="sr-Cyrl-CS"/>
        </w:rPr>
        <w:t>ра на фискални резултат је износио 2,2% БДП. Укупан пакет мера у 2020. и 2021. години износио је око 986 млрд динара, односно 17,3% БДП, од чега је реализовано 880,1 млрд динара, односно 15,6% БДП.</w:t>
      </w:r>
    </w:p>
    <w:p w14:paraId="0022308F" w14:textId="5DBD1AFD" w:rsidR="003A3F4B" w:rsidRPr="00DE058F" w:rsidRDefault="003A3F4B" w:rsidP="00C91F83">
      <w:pPr>
        <w:rPr>
          <w:rFonts w:cstheme="minorHAnsi"/>
          <w:bCs/>
          <w:szCs w:val="72"/>
          <w:lang w:val="sr-Cyrl-CS"/>
        </w:rPr>
      </w:pPr>
      <w:r w:rsidRPr="00DE058F">
        <w:rPr>
          <w:rFonts w:cstheme="minorHAnsi"/>
          <w:bCs/>
          <w:szCs w:val="72"/>
          <w:lang w:val="sr-Cyrl-CS"/>
        </w:rPr>
        <w:t>Бројни фактори утицали су на измене у висини и структури</w:t>
      </w:r>
      <w:r w:rsidR="00815CC2" w:rsidRPr="00DE058F">
        <w:rPr>
          <w:rFonts w:cstheme="minorHAnsi"/>
          <w:bCs/>
          <w:szCs w:val="72"/>
          <w:lang w:val="sr-Cyrl-CS"/>
        </w:rPr>
        <w:t>,</w:t>
      </w:r>
      <w:r w:rsidRPr="00DE058F">
        <w:rPr>
          <w:rFonts w:cstheme="minorHAnsi"/>
          <w:bCs/>
          <w:szCs w:val="72"/>
          <w:lang w:val="sr-Cyrl-CS"/>
        </w:rPr>
        <w:t xml:space="preserve"> како прихода</w:t>
      </w:r>
      <w:r w:rsidR="00815CC2" w:rsidRPr="00DE058F">
        <w:rPr>
          <w:rFonts w:cstheme="minorHAnsi"/>
          <w:bCs/>
          <w:szCs w:val="72"/>
          <w:lang w:val="sr-Cyrl-CS"/>
        </w:rPr>
        <w:t>,</w:t>
      </w:r>
      <w:r w:rsidRPr="00DE058F">
        <w:rPr>
          <w:rFonts w:cstheme="minorHAnsi"/>
          <w:bCs/>
          <w:szCs w:val="72"/>
          <w:lang w:val="sr-Cyrl-CS"/>
        </w:rPr>
        <w:t xml:space="preserve"> тако и расхода опште државе. На боље остварење прихода су утицали: базни ефекат (боље остварење на крају 2020. године), већа стопа реалног раста БДП, конзервативност у планирању одређених пореских категорија, наплата пореских прихода током првог квартала 2021. године, повољнија кретања на тржишту рада, опоравак спољнотрговинске размене, уплата непланираних непореских прихода, позитиван утицај програма економских мера на привредну активност и личну потрошњу и сл. На веће расходе у односу на оригинални план највише је утицало спровођење трећег пакета мера за подршку привреди и становништву у условима пандемије, расходи везани за директну борбу против пандемије, улагања у здравствени систем и повећање капацитета и значајно увећање других јавних инвестиција, првенствено у саобраћајну инфраструктуру.</w:t>
      </w:r>
    </w:p>
    <w:p w14:paraId="3AAD95B3" w14:textId="77777777" w:rsidR="003A3F4B" w:rsidRPr="00DE058F" w:rsidRDefault="003A3F4B" w:rsidP="00C91F83">
      <w:pPr>
        <w:rPr>
          <w:rFonts w:cstheme="minorHAnsi"/>
          <w:bCs/>
          <w:spacing w:val="-2"/>
          <w:szCs w:val="72"/>
          <w:lang w:val="sr-Cyrl-CS"/>
        </w:rPr>
      </w:pPr>
      <w:r w:rsidRPr="00DE058F">
        <w:rPr>
          <w:rFonts w:cstheme="minorHAnsi"/>
          <w:bCs/>
          <w:spacing w:val="-2"/>
          <w:szCs w:val="72"/>
          <w:lang w:val="sr-Cyrl-CS"/>
        </w:rPr>
        <w:t>Јавни приходи су остварени у износу већем за 288 млрд динара (4,6% БДП) у односу на износ планиран оригиналним буџетом, док су у односу на 2020. годину номинално већи за 20,3%. Највеће одступање у односу на план је забележено код пореских прихода тј. доприноса, ПДВ и пореза на добит правних лица. Доприноси и порез на доходак грађана су укупно већи у односу на план за 1,7% БДП, услед позитивних трендова на тржишту рада – запослености и кретању просечних зарада. Индиректни порези (највећим делом ПДВ) виши су за 1,3% БДП у односу на план, што је последица раста личне потрошње, ефеката стимулативних мера државе на потрошњу, опоравка привредне активности, раста спољнотрговинске размене и сл. Порез на добит правних лица је остварен у износу вишем од планираног за око 0,8% БДП, услед конзервативног приступа у планирању ове категорије заснованог на умереном расту профитабилности привреде. Непорески приходи су виши за 0,6% БДП у односу на план, захваљујући уплатама ванредних непореских прихода, који нису обухваћени планом (добит, дивиденде буџета, емисионе премије итд.), док су и редовни непорески приходи забележили опоравак (путарине, казне, судске и административне таксе и накнаде и сл.).</w:t>
      </w:r>
    </w:p>
    <w:p w14:paraId="3054C3E6" w14:textId="77777777" w:rsidR="003A3F4B" w:rsidRPr="00DE058F" w:rsidRDefault="003A3F4B" w:rsidP="003A3F4B">
      <w:pPr>
        <w:spacing w:after="480"/>
        <w:rPr>
          <w:rFonts w:cstheme="minorHAnsi"/>
          <w:bCs/>
          <w:szCs w:val="72"/>
          <w:lang w:val="sr-Cyrl-CS"/>
        </w:rPr>
      </w:pPr>
      <w:r w:rsidRPr="00DE058F">
        <w:rPr>
          <w:rFonts w:cstheme="minorHAnsi"/>
          <w:bCs/>
          <w:szCs w:val="72"/>
          <w:lang w:val="sr-Cyrl-CS"/>
        </w:rPr>
        <w:t xml:space="preserve">Јавни расходи извршени су у износу вишем за 368 млрд динара (5,9% БДП) у односу на оригинални план. У односу на 2020. годину бележе раст од 10,1%. Највеће одступање је остварено код капиталних расхода. Реализација јавних инвестиција у 2021. години је износила рекордних 7,4% БДП и премашила је план за 2,2% БДП. Улагало се у путну, железничку и комуналну инфраструктуру, што је имало значајан утицај на привредни раст, у нове здравствене капацитете и опрему, као и у сектор одбране. Субвенције су премашиле план за 1,2% БДП, од чега се највећи део односи на исплату директне помоћи привреди у условима пандемије. Повећано је и субвенционисање у пољопривреди и железничком саобраћају. Исплата директне новчане помоћи становништву са позиције осталих текућих расхода утицала је да ови расходи буду већи за 1,2% БДП у односу на план. Расходи </w:t>
      </w:r>
      <w:r w:rsidRPr="00DE058F">
        <w:rPr>
          <w:rFonts w:cstheme="minorHAnsi"/>
          <w:bCs/>
          <w:szCs w:val="72"/>
          <w:lang w:val="sr-Cyrl-CS"/>
        </w:rPr>
        <w:lastRenderedPageBreak/>
        <w:t xml:space="preserve">за робе и услуге су већи од плана за око 0,5% БДП због повећаних издатака за набавку лекова и медицинске опреме, али и повећаних расхода за одржавање путне мреже код ЈП „Путеви Србије”, док су расходи за запослене већи за 0,4% БДП највише због повећања броја лица ангажованих у здравственом систему и другим секторима који су учествовали у контроли епидемиолошке ситуације. Расходи за запослене у 2021. години износили су 10% БДП. Расходи за социјалну заштиту су извршени незнатно ниже у односу на </w:t>
      </w:r>
      <w:r w:rsidRPr="00DE058F">
        <w:rPr>
          <w:rFonts w:cstheme="minorHAnsi"/>
          <w:bCs/>
          <w:szCs w:val="72"/>
          <w:lang w:val="sr-Cyrl-CS"/>
        </w:rPr>
        <w:t>план, иако је са ове позиције извршена исплата помоћи корисницима НСЗ и ПИО, по 60 и 50 евра, респективно, која није била обухваћена оригиналним планом, док су укупни расходи за пензије нижи за 0,2% БДП и износили су 9,7% БДП. Позиција нето буџетских позајмица увећана је за 0,4% БДП у односу на оригинални план, највећим делом због буџетске подршке ЈП „Србијагас” за набавку гаса, услед новонастале кризе на тржишту енергената.</w:t>
      </w:r>
    </w:p>
    <w:p w14:paraId="3EEC09E6" w14:textId="77777777" w:rsidR="003A3F4B" w:rsidRPr="00DE058F" w:rsidRDefault="003A3F4B" w:rsidP="00C91F83">
      <w:pPr>
        <w:spacing w:line="276" w:lineRule="auto"/>
        <w:rPr>
          <w:rFonts w:cstheme="minorHAnsi"/>
          <w:bCs/>
          <w:szCs w:val="72"/>
          <w:lang w:val="sr-Cyrl-CS"/>
        </w:rPr>
        <w:sectPr w:rsidR="003A3F4B" w:rsidRPr="00DE058F" w:rsidSect="00C91F83">
          <w:type w:val="continuous"/>
          <w:pgSz w:w="12240" w:h="15840"/>
          <w:pgMar w:top="1440" w:right="1440" w:bottom="1440" w:left="1440" w:header="720" w:footer="720" w:gutter="0"/>
          <w:cols w:num="2" w:space="720"/>
          <w:docGrid w:linePitch="360"/>
        </w:sectPr>
      </w:pPr>
    </w:p>
    <w:p w14:paraId="00449101" w14:textId="77777777" w:rsidR="003A3F4B" w:rsidRPr="00DE058F" w:rsidRDefault="003A3F4B" w:rsidP="00C91F83">
      <w:pPr>
        <w:spacing w:after="0" w:line="276" w:lineRule="auto"/>
        <w:jc w:val="center"/>
        <w:rPr>
          <w:rFonts w:cs="Times New Roman"/>
          <w:b/>
          <w:sz w:val="24"/>
          <w:szCs w:val="24"/>
          <w:lang w:val="sr-Cyrl-CS"/>
        </w:rPr>
        <w:sectPr w:rsidR="003A3F4B" w:rsidRPr="00DE058F" w:rsidSect="00AE40EB">
          <w:type w:val="continuous"/>
          <w:pgSz w:w="12240" w:h="15840" w:code="1"/>
          <w:pgMar w:top="1440" w:right="1440" w:bottom="1440" w:left="1440" w:header="720" w:footer="720" w:gutter="0"/>
          <w:cols w:space="720"/>
          <w:docGrid w:linePitch="360"/>
        </w:sectPr>
      </w:pPr>
      <w:r w:rsidRPr="00DE058F">
        <w:rPr>
          <w:rFonts w:cstheme="minorHAnsi"/>
          <w:b/>
          <w:color w:val="002060"/>
          <w:lang w:val="sr-Cyrl-CS"/>
        </w:rPr>
        <w:t>Табела 5. Преглед пакета мера за подршку привреди и становништву у 2020. и 2021. години</w:t>
      </w:r>
    </w:p>
    <w:tbl>
      <w:tblPr>
        <w:tblStyle w:val="PlainTable41"/>
        <w:tblW w:w="10445" w:type="dxa"/>
        <w:jc w:val="center"/>
        <w:tblLayout w:type="fixed"/>
        <w:tblLook w:val="04A0" w:firstRow="1" w:lastRow="0" w:firstColumn="1" w:lastColumn="0" w:noHBand="0" w:noVBand="1"/>
      </w:tblPr>
      <w:tblGrid>
        <w:gridCol w:w="6787"/>
        <w:gridCol w:w="914"/>
        <w:gridCol w:w="915"/>
        <w:gridCol w:w="914"/>
        <w:gridCol w:w="915"/>
      </w:tblGrid>
      <w:tr w:rsidR="003A3F4B" w:rsidRPr="00DE058F" w14:paraId="0CE10EC3" w14:textId="77777777" w:rsidTr="00F967BE">
        <w:trPr>
          <w:cnfStyle w:val="100000000000" w:firstRow="1" w:lastRow="0" w:firstColumn="0" w:lastColumn="0" w:oddVBand="0" w:evenVBand="0" w:oddHBand="0"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6787" w:type="dxa"/>
            <w:noWrap/>
            <w:hideMark/>
          </w:tcPr>
          <w:p w14:paraId="617B7BAC" w14:textId="77777777" w:rsidR="003A3F4B" w:rsidRPr="00DE058F" w:rsidRDefault="003A3F4B" w:rsidP="00C91F83">
            <w:pPr>
              <w:rPr>
                <w:rFonts w:ascii="Times New Roman" w:eastAsia="Times New Roman" w:hAnsi="Times New Roman" w:cs="Times New Roman"/>
                <w:color w:val="002060"/>
                <w:szCs w:val="20"/>
                <w:lang w:val="sr-Cyrl-CS"/>
              </w:rPr>
            </w:pPr>
          </w:p>
        </w:tc>
        <w:tc>
          <w:tcPr>
            <w:tcW w:w="1829" w:type="dxa"/>
            <w:gridSpan w:val="2"/>
            <w:hideMark/>
          </w:tcPr>
          <w:p w14:paraId="59446B0C" w14:textId="77777777" w:rsidR="003A3F4B" w:rsidRPr="00DE058F" w:rsidRDefault="003A3F4B" w:rsidP="00C91F83">
            <w:pPr>
              <w:jc w:val="center"/>
              <w:cnfStyle w:val="100000000000" w:firstRow="1"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План</w:t>
            </w:r>
          </w:p>
        </w:tc>
        <w:tc>
          <w:tcPr>
            <w:tcW w:w="1829" w:type="dxa"/>
            <w:gridSpan w:val="2"/>
            <w:hideMark/>
          </w:tcPr>
          <w:p w14:paraId="30CB935C" w14:textId="77777777" w:rsidR="003A3F4B" w:rsidRPr="00DE058F" w:rsidRDefault="003A3F4B" w:rsidP="00C91F83">
            <w:pPr>
              <w:jc w:val="center"/>
              <w:cnfStyle w:val="100000000000" w:firstRow="1"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 xml:space="preserve">Реализација </w:t>
            </w:r>
          </w:p>
        </w:tc>
      </w:tr>
      <w:tr w:rsidR="003A3F4B" w:rsidRPr="00DE058F" w14:paraId="57CF8234" w14:textId="77777777" w:rsidTr="00F967BE">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6787" w:type="dxa"/>
            <w:noWrap/>
            <w:hideMark/>
          </w:tcPr>
          <w:p w14:paraId="30FFF641" w14:textId="77777777" w:rsidR="003A3F4B" w:rsidRPr="00DE058F" w:rsidRDefault="003A3F4B" w:rsidP="00C91F83">
            <w:pPr>
              <w:rPr>
                <w:rFonts w:ascii="Times New Roman" w:eastAsia="Times New Roman" w:hAnsi="Times New Roman" w:cs="Times New Roman"/>
                <w:color w:val="002060"/>
                <w:szCs w:val="20"/>
                <w:lang w:val="sr-Cyrl-CS"/>
              </w:rPr>
            </w:pPr>
            <w:r w:rsidRPr="00DE058F">
              <w:rPr>
                <w:rFonts w:ascii="Times New Roman" w:eastAsia="Times New Roman" w:hAnsi="Times New Roman" w:cs="Times New Roman"/>
                <w:color w:val="002060"/>
                <w:szCs w:val="20"/>
                <w:lang w:val="sr-Cyrl-CS"/>
              </w:rPr>
              <w:t> </w:t>
            </w:r>
          </w:p>
        </w:tc>
        <w:tc>
          <w:tcPr>
            <w:tcW w:w="914" w:type="dxa"/>
            <w:noWrap/>
            <w:vAlign w:val="center"/>
            <w:hideMark/>
          </w:tcPr>
          <w:p w14:paraId="6696E3EB" w14:textId="77777777" w:rsidR="003A3F4B" w:rsidRPr="00DE058F" w:rsidRDefault="003A3F4B" w:rsidP="00C91F83">
            <w:pPr>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у млрд РСД</w:t>
            </w:r>
          </w:p>
        </w:tc>
        <w:tc>
          <w:tcPr>
            <w:tcW w:w="915" w:type="dxa"/>
            <w:noWrap/>
            <w:vAlign w:val="center"/>
            <w:hideMark/>
          </w:tcPr>
          <w:p w14:paraId="45B29313" w14:textId="77777777" w:rsidR="003A3F4B" w:rsidRPr="00DE058F" w:rsidRDefault="003A3F4B" w:rsidP="00C91F83">
            <w:pPr>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у % БДП</w:t>
            </w:r>
          </w:p>
        </w:tc>
        <w:tc>
          <w:tcPr>
            <w:tcW w:w="914" w:type="dxa"/>
            <w:noWrap/>
            <w:vAlign w:val="center"/>
            <w:hideMark/>
          </w:tcPr>
          <w:p w14:paraId="6EC11E89" w14:textId="77777777" w:rsidR="003A3F4B" w:rsidRPr="00DE058F" w:rsidRDefault="003A3F4B" w:rsidP="00C91F83">
            <w:pPr>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у млрд РСД</w:t>
            </w:r>
          </w:p>
        </w:tc>
        <w:tc>
          <w:tcPr>
            <w:tcW w:w="915" w:type="dxa"/>
            <w:noWrap/>
            <w:vAlign w:val="center"/>
            <w:hideMark/>
          </w:tcPr>
          <w:p w14:paraId="01BD576C" w14:textId="77777777" w:rsidR="003A3F4B" w:rsidRPr="00DE058F" w:rsidRDefault="003A3F4B" w:rsidP="00C91F83">
            <w:pPr>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у % БДП</w:t>
            </w:r>
          </w:p>
        </w:tc>
      </w:tr>
      <w:tr w:rsidR="003A3F4B" w:rsidRPr="00DE058F" w14:paraId="78877E91" w14:textId="77777777" w:rsidTr="00F967BE">
        <w:trPr>
          <w:trHeight w:val="22"/>
          <w:jc w:val="center"/>
        </w:trPr>
        <w:tc>
          <w:tcPr>
            <w:cnfStyle w:val="001000000000" w:firstRow="0" w:lastRow="0" w:firstColumn="1" w:lastColumn="0" w:oddVBand="0" w:evenVBand="0" w:oddHBand="0" w:evenHBand="0" w:firstRowFirstColumn="0" w:firstRowLastColumn="0" w:lastRowFirstColumn="0" w:lastRowLastColumn="0"/>
            <w:tcW w:w="6787" w:type="dxa"/>
            <w:noWrap/>
            <w:hideMark/>
          </w:tcPr>
          <w:p w14:paraId="4EC2F908" w14:textId="77777777" w:rsidR="003A3F4B" w:rsidRPr="00DE058F" w:rsidRDefault="003A3F4B" w:rsidP="00C91F83">
            <w:pPr>
              <w:spacing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Мере пореске политике</w:t>
            </w:r>
          </w:p>
        </w:tc>
        <w:tc>
          <w:tcPr>
            <w:tcW w:w="914" w:type="dxa"/>
            <w:noWrap/>
            <w:hideMark/>
          </w:tcPr>
          <w:p w14:paraId="28D88737" w14:textId="77777777" w:rsidR="003A3F4B" w:rsidRPr="00DE058F" w:rsidRDefault="003A3F4B" w:rsidP="00C91F83">
            <w:pPr>
              <w:spacing w:line="276" w:lineRule="auto"/>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 </w:t>
            </w:r>
          </w:p>
        </w:tc>
        <w:tc>
          <w:tcPr>
            <w:tcW w:w="915" w:type="dxa"/>
            <w:noWrap/>
            <w:hideMark/>
          </w:tcPr>
          <w:p w14:paraId="15C8249F" w14:textId="77777777" w:rsidR="003A3F4B" w:rsidRPr="00DE058F" w:rsidRDefault="003A3F4B" w:rsidP="00C91F83">
            <w:pPr>
              <w:spacing w:line="276" w:lineRule="auto"/>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 </w:t>
            </w:r>
          </w:p>
        </w:tc>
        <w:tc>
          <w:tcPr>
            <w:tcW w:w="914" w:type="dxa"/>
            <w:noWrap/>
            <w:hideMark/>
          </w:tcPr>
          <w:p w14:paraId="3A31A0DC"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 </w:t>
            </w:r>
          </w:p>
        </w:tc>
        <w:tc>
          <w:tcPr>
            <w:tcW w:w="915" w:type="dxa"/>
            <w:noWrap/>
            <w:hideMark/>
          </w:tcPr>
          <w:p w14:paraId="1CF4DB23"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 </w:t>
            </w:r>
          </w:p>
        </w:tc>
      </w:tr>
      <w:tr w:rsidR="003A3F4B" w:rsidRPr="00DE058F" w14:paraId="4F5B5144" w14:textId="77777777" w:rsidTr="00F967BE">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6787" w:type="dxa"/>
            <w:hideMark/>
          </w:tcPr>
          <w:p w14:paraId="010F6B01" w14:textId="77777777" w:rsidR="003A3F4B" w:rsidRPr="00DE058F" w:rsidRDefault="003A3F4B" w:rsidP="00C91F83">
            <w:pPr>
              <w:spacing w:line="276" w:lineRule="auto"/>
              <w:rPr>
                <w:rFonts w:eastAsia="MS PGothic" w:cstheme="minorHAnsi"/>
                <w:b w:val="0"/>
                <w:color w:val="002060"/>
                <w:sz w:val="18"/>
                <w:szCs w:val="18"/>
                <w:lang w:val="sr-Cyrl-CS" w:eastAsia="ja-JP"/>
              </w:rPr>
            </w:pPr>
            <w:r w:rsidRPr="00DE058F">
              <w:rPr>
                <w:rFonts w:eastAsia="MS PGothic" w:cstheme="minorHAnsi"/>
                <w:b w:val="0"/>
                <w:color w:val="002060"/>
                <w:sz w:val="18"/>
                <w:szCs w:val="18"/>
                <w:lang w:val="sr-Cyrl-CS" w:eastAsia="ja-JP"/>
              </w:rPr>
              <w:t>Одложено плаћање пореза на зараде и доприноса за приватни сектор током ванредног стања и за један додатни месец; приватне компаније обавезе отплаћују на рате, од јануара 2021. године</w:t>
            </w:r>
          </w:p>
        </w:tc>
        <w:tc>
          <w:tcPr>
            <w:tcW w:w="914" w:type="dxa"/>
            <w:noWrap/>
            <w:vAlign w:val="center"/>
            <w:hideMark/>
          </w:tcPr>
          <w:p w14:paraId="4788AF40"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168,0</w:t>
            </w:r>
          </w:p>
        </w:tc>
        <w:tc>
          <w:tcPr>
            <w:tcW w:w="915" w:type="dxa"/>
            <w:noWrap/>
            <w:vAlign w:val="center"/>
            <w:hideMark/>
          </w:tcPr>
          <w:p w14:paraId="61B7F255"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3,1</w:t>
            </w:r>
          </w:p>
        </w:tc>
        <w:tc>
          <w:tcPr>
            <w:tcW w:w="914" w:type="dxa"/>
            <w:noWrap/>
            <w:vAlign w:val="center"/>
            <w:hideMark/>
          </w:tcPr>
          <w:p w14:paraId="68D88224"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119,8</w:t>
            </w:r>
          </w:p>
        </w:tc>
        <w:tc>
          <w:tcPr>
            <w:tcW w:w="915" w:type="dxa"/>
            <w:noWrap/>
            <w:vAlign w:val="center"/>
            <w:hideMark/>
          </w:tcPr>
          <w:p w14:paraId="5505820F"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2,2</w:t>
            </w:r>
          </w:p>
        </w:tc>
      </w:tr>
      <w:tr w:rsidR="003A3F4B" w:rsidRPr="00DE058F" w14:paraId="6844B252" w14:textId="77777777" w:rsidTr="00F967BE">
        <w:trPr>
          <w:trHeight w:val="22"/>
          <w:jc w:val="center"/>
        </w:trPr>
        <w:tc>
          <w:tcPr>
            <w:cnfStyle w:val="001000000000" w:firstRow="0" w:lastRow="0" w:firstColumn="1" w:lastColumn="0" w:oddVBand="0" w:evenVBand="0" w:oddHBand="0" w:evenHBand="0" w:firstRowFirstColumn="0" w:firstRowLastColumn="0" w:lastRowFirstColumn="0" w:lastRowLastColumn="0"/>
            <w:tcW w:w="6787" w:type="dxa"/>
            <w:hideMark/>
          </w:tcPr>
          <w:p w14:paraId="7D49730B" w14:textId="095B7259" w:rsidR="003A3F4B" w:rsidRPr="00DE058F" w:rsidRDefault="003A3F4B" w:rsidP="00F967BE">
            <w:pPr>
              <w:spacing w:line="276" w:lineRule="auto"/>
              <w:rPr>
                <w:rFonts w:eastAsia="MS PGothic" w:cstheme="minorHAnsi"/>
                <w:b w:val="0"/>
                <w:color w:val="002060"/>
                <w:sz w:val="18"/>
                <w:szCs w:val="18"/>
                <w:lang w:val="sr-Cyrl-CS" w:eastAsia="ja-JP"/>
              </w:rPr>
            </w:pPr>
            <w:r w:rsidRPr="00DE058F">
              <w:rPr>
                <w:rFonts w:eastAsia="MS PGothic" w:cstheme="minorHAnsi"/>
                <w:b w:val="0"/>
                <w:color w:val="002060"/>
                <w:sz w:val="18"/>
                <w:szCs w:val="18"/>
                <w:lang w:val="sr-Cyrl-CS" w:eastAsia="ja-JP"/>
              </w:rPr>
              <w:t>Одложено плаћање аконтације за други квартал 2020. пореза на добит правних лица</w:t>
            </w:r>
          </w:p>
        </w:tc>
        <w:tc>
          <w:tcPr>
            <w:tcW w:w="914" w:type="dxa"/>
            <w:noWrap/>
            <w:vAlign w:val="center"/>
            <w:hideMark/>
          </w:tcPr>
          <w:p w14:paraId="05CF68EE"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21,0</w:t>
            </w:r>
          </w:p>
        </w:tc>
        <w:tc>
          <w:tcPr>
            <w:tcW w:w="915" w:type="dxa"/>
            <w:noWrap/>
            <w:vAlign w:val="center"/>
            <w:hideMark/>
          </w:tcPr>
          <w:p w14:paraId="00F936BA"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0,4</w:t>
            </w:r>
          </w:p>
        </w:tc>
        <w:tc>
          <w:tcPr>
            <w:tcW w:w="914" w:type="dxa"/>
            <w:noWrap/>
            <w:vAlign w:val="center"/>
            <w:hideMark/>
          </w:tcPr>
          <w:p w14:paraId="73B51CE3"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13,5</w:t>
            </w:r>
          </w:p>
        </w:tc>
        <w:tc>
          <w:tcPr>
            <w:tcW w:w="915" w:type="dxa"/>
            <w:noWrap/>
            <w:vAlign w:val="center"/>
            <w:hideMark/>
          </w:tcPr>
          <w:p w14:paraId="06222DD3"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0,2</w:t>
            </w:r>
          </w:p>
        </w:tc>
      </w:tr>
      <w:tr w:rsidR="003A3F4B" w:rsidRPr="00DE058F" w14:paraId="017F9D4D" w14:textId="77777777" w:rsidTr="00F967BE">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6787" w:type="dxa"/>
            <w:noWrap/>
            <w:hideMark/>
          </w:tcPr>
          <w:p w14:paraId="2E79D63F" w14:textId="77777777" w:rsidR="003A3F4B" w:rsidRPr="00DE058F" w:rsidRDefault="003A3F4B" w:rsidP="00C91F83">
            <w:pPr>
              <w:spacing w:line="276" w:lineRule="auto"/>
              <w:rPr>
                <w:rFonts w:eastAsia="MS PGothic" w:cstheme="minorHAnsi"/>
                <w:b w:val="0"/>
                <w:color w:val="002060"/>
                <w:sz w:val="18"/>
                <w:szCs w:val="18"/>
                <w:lang w:val="sr-Cyrl-CS" w:eastAsia="ja-JP"/>
              </w:rPr>
            </w:pPr>
            <w:r w:rsidRPr="00DE058F">
              <w:rPr>
                <w:rFonts w:eastAsia="MS PGothic" w:cstheme="minorHAnsi"/>
                <w:b w:val="0"/>
                <w:color w:val="002060"/>
                <w:sz w:val="18"/>
                <w:szCs w:val="18"/>
                <w:lang w:val="sr-Cyrl-CS" w:eastAsia="ja-JP"/>
              </w:rPr>
              <w:t>Ослобађање од плаћања ПДВ за све донаторе</w:t>
            </w:r>
          </w:p>
        </w:tc>
        <w:tc>
          <w:tcPr>
            <w:tcW w:w="914" w:type="dxa"/>
            <w:noWrap/>
            <w:vAlign w:val="center"/>
            <w:hideMark/>
          </w:tcPr>
          <w:p w14:paraId="131CFC4A"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w:t>
            </w:r>
          </w:p>
        </w:tc>
        <w:tc>
          <w:tcPr>
            <w:tcW w:w="915" w:type="dxa"/>
            <w:noWrap/>
            <w:vAlign w:val="center"/>
            <w:hideMark/>
          </w:tcPr>
          <w:p w14:paraId="5A076EB5"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w:t>
            </w:r>
          </w:p>
        </w:tc>
        <w:tc>
          <w:tcPr>
            <w:tcW w:w="914" w:type="dxa"/>
            <w:noWrap/>
            <w:vAlign w:val="center"/>
            <w:hideMark/>
          </w:tcPr>
          <w:p w14:paraId="6A2F0F10"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w:t>
            </w:r>
          </w:p>
        </w:tc>
        <w:tc>
          <w:tcPr>
            <w:tcW w:w="915" w:type="dxa"/>
            <w:noWrap/>
            <w:vAlign w:val="center"/>
            <w:hideMark/>
          </w:tcPr>
          <w:p w14:paraId="2A61B593"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w:t>
            </w:r>
          </w:p>
        </w:tc>
      </w:tr>
      <w:tr w:rsidR="003A3F4B" w:rsidRPr="00DE058F" w14:paraId="363C3D2B" w14:textId="77777777" w:rsidTr="00F967BE">
        <w:trPr>
          <w:trHeight w:val="22"/>
          <w:jc w:val="center"/>
        </w:trPr>
        <w:tc>
          <w:tcPr>
            <w:cnfStyle w:val="001000000000" w:firstRow="0" w:lastRow="0" w:firstColumn="1" w:lastColumn="0" w:oddVBand="0" w:evenVBand="0" w:oddHBand="0" w:evenHBand="0" w:firstRowFirstColumn="0" w:firstRowLastColumn="0" w:lastRowFirstColumn="0" w:lastRowLastColumn="0"/>
            <w:tcW w:w="6787" w:type="dxa"/>
            <w:noWrap/>
            <w:hideMark/>
          </w:tcPr>
          <w:p w14:paraId="17C23EBC" w14:textId="77777777" w:rsidR="003A3F4B" w:rsidRPr="00DE058F" w:rsidRDefault="003A3F4B" w:rsidP="00C91F83">
            <w:pPr>
              <w:spacing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Укупно</w:t>
            </w:r>
          </w:p>
        </w:tc>
        <w:tc>
          <w:tcPr>
            <w:tcW w:w="914" w:type="dxa"/>
            <w:noWrap/>
            <w:vAlign w:val="center"/>
            <w:hideMark/>
          </w:tcPr>
          <w:p w14:paraId="11ED68C6"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189,0</w:t>
            </w:r>
          </w:p>
        </w:tc>
        <w:tc>
          <w:tcPr>
            <w:tcW w:w="915" w:type="dxa"/>
            <w:noWrap/>
            <w:vAlign w:val="center"/>
            <w:hideMark/>
          </w:tcPr>
          <w:p w14:paraId="5BD934EE"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3,4</w:t>
            </w:r>
          </w:p>
        </w:tc>
        <w:tc>
          <w:tcPr>
            <w:tcW w:w="914" w:type="dxa"/>
            <w:noWrap/>
            <w:vAlign w:val="center"/>
            <w:hideMark/>
          </w:tcPr>
          <w:p w14:paraId="36D06B1C"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133,3</w:t>
            </w:r>
          </w:p>
        </w:tc>
        <w:tc>
          <w:tcPr>
            <w:tcW w:w="915" w:type="dxa"/>
            <w:noWrap/>
            <w:vAlign w:val="center"/>
            <w:hideMark/>
          </w:tcPr>
          <w:p w14:paraId="74A9EED4"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2,4</w:t>
            </w:r>
          </w:p>
        </w:tc>
      </w:tr>
      <w:tr w:rsidR="003A3F4B" w:rsidRPr="00DE058F" w14:paraId="146C17A4" w14:textId="77777777" w:rsidTr="00F967BE">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6787" w:type="dxa"/>
            <w:noWrap/>
            <w:hideMark/>
          </w:tcPr>
          <w:p w14:paraId="400361BA" w14:textId="77777777" w:rsidR="003A3F4B" w:rsidRPr="00DE058F" w:rsidRDefault="003A3F4B" w:rsidP="00C91F83">
            <w:pPr>
              <w:spacing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Директна подршка приватном сектору</w:t>
            </w:r>
          </w:p>
        </w:tc>
        <w:tc>
          <w:tcPr>
            <w:tcW w:w="914" w:type="dxa"/>
            <w:noWrap/>
            <w:vAlign w:val="center"/>
            <w:hideMark/>
          </w:tcPr>
          <w:p w14:paraId="5CC904DE"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p>
        </w:tc>
        <w:tc>
          <w:tcPr>
            <w:tcW w:w="915" w:type="dxa"/>
            <w:noWrap/>
            <w:vAlign w:val="center"/>
            <w:hideMark/>
          </w:tcPr>
          <w:p w14:paraId="26CCB2DC"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p>
        </w:tc>
        <w:tc>
          <w:tcPr>
            <w:tcW w:w="914" w:type="dxa"/>
            <w:noWrap/>
            <w:vAlign w:val="center"/>
            <w:hideMark/>
          </w:tcPr>
          <w:p w14:paraId="15F65F37"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p>
        </w:tc>
        <w:tc>
          <w:tcPr>
            <w:tcW w:w="915" w:type="dxa"/>
            <w:noWrap/>
            <w:vAlign w:val="center"/>
            <w:hideMark/>
          </w:tcPr>
          <w:p w14:paraId="27AF8AC9"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p>
        </w:tc>
      </w:tr>
      <w:tr w:rsidR="003A3F4B" w:rsidRPr="00DE058F" w14:paraId="064A8AFC" w14:textId="77777777" w:rsidTr="00F967BE">
        <w:trPr>
          <w:trHeight w:val="22"/>
          <w:jc w:val="center"/>
        </w:trPr>
        <w:tc>
          <w:tcPr>
            <w:cnfStyle w:val="001000000000" w:firstRow="0" w:lastRow="0" w:firstColumn="1" w:lastColumn="0" w:oddVBand="0" w:evenVBand="0" w:oddHBand="0" w:evenHBand="0" w:firstRowFirstColumn="0" w:firstRowLastColumn="0" w:lastRowFirstColumn="0" w:lastRowLastColumn="0"/>
            <w:tcW w:w="6787" w:type="dxa"/>
            <w:hideMark/>
          </w:tcPr>
          <w:p w14:paraId="11D3A128" w14:textId="05540FB5" w:rsidR="003A3F4B" w:rsidRPr="00DE058F" w:rsidRDefault="003A3F4B" w:rsidP="00C91F83">
            <w:pPr>
              <w:spacing w:line="276" w:lineRule="auto"/>
              <w:rPr>
                <w:rFonts w:eastAsia="MS PGothic" w:cstheme="minorHAnsi"/>
                <w:b w:val="0"/>
                <w:color w:val="002060"/>
                <w:sz w:val="18"/>
                <w:szCs w:val="18"/>
                <w:lang w:val="sr-Cyrl-CS" w:eastAsia="ja-JP"/>
              </w:rPr>
            </w:pPr>
            <w:r w:rsidRPr="00DE058F">
              <w:rPr>
                <w:rFonts w:eastAsia="MS PGothic" w:cstheme="minorHAnsi"/>
                <w:b w:val="0"/>
                <w:color w:val="002060"/>
                <w:sz w:val="18"/>
                <w:szCs w:val="18"/>
                <w:lang w:val="sr-Cyrl-CS" w:eastAsia="ja-JP"/>
              </w:rPr>
              <w:t>Директна подршка предузетницима који плаћају паушални порез и предузетницима који плаћају порез на стварне приходе, микро, малим и средњим предузећима у приватном сектору - три месеца исплата 100% нето минималне зараде и још два додатна месеца исплата 60% нето минималне зараде, директна подршка великим приватним компанијама - подршка у износу од 50% нето минималне зараде (за време ванредног стања) запосленима који су добили решење о престанку рада (на основу ч</w:t>
            </w:r>
            <w:r w:rsidR="00D060F0" w:rsidRPr="00DE058F">
              <w:rPr>
                <w:rFonts w:eastAsia="MS PGothic" w:cstheme="minorHAnsi"/>
                <w:b w:val="0"/>
                <w:color w:val="002060"/>
                <w:sz w:val="18"/>
                <w:szCs w:val="18"/>
                <w:lang w:val="sr-Cyrl-CS" w:eastAsia="ja-JP"/>
              </w:rPr>
              <w:t>л. 116. и 117. Закона о раду), три</w:t>
            </w:r>
            <w:r w:rsidRPr="00DE058F">
              <w:rPr>
                <w:rFonts w:eastAsia="MS PGothic" w:cstheme="minorHAnsi"/>
                <w:b w:val="0"/>
                <w:color w:val="002060"/>
                <w:sz w:val="18"/>
                <w:szCs w:val="18"/>
                <w:lang w:val="sr-Cyrl-CS" w:eastAsia="ja-JP"/>
              </w:rPr>
              <w:t xml:space="preserve"> месеца исплата 50% нето минималне зараде свим предузетницима, микро, малим, средњим и великим предузећима у 2021. години</w:t>
            </w:r>
          </w:p>
        </w:tc>
        <w:tc>
          <w:tcPr>
            <w:tcW w:w="914" w:type="dxa"/>
            <w:noWrap/>
            <w:vAlign w:val="center"/>
            <w:hideMark/>
          </w:tcPr>
          <w:p w14:paraId="7EDA464E"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203,1</w:t>
            </w:r>
          </w:p>
        </w:tc>
        <w:tc>
          <w:tcPr>
            <w:tcW w:w="915" w:type="dxa"/>
            <w:noWrap/>
            <w:vAlign w:val="center"/>
            <w:hideMark/>
          </w:tcPr>
          <w:p w14:paraId="16C8292E"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3,5</w:t>
            </w:r>
          </w:p>
        </w:tc>
        <w:tc>
          <w:tcPr>
            <w:tcW w:w="914" w:type="dxa"/>
            <w:noWrap/>
            <w:vAlign w:val="center"/>
            <w:hideMark/>
          </w:tcPr>
          <w:p w14:paraId="17E09385"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184,2</w:t>
            </w:r>
          </w:p>
        </w:tc>
        <w:tc>
          <w:tcPr>
            <w:tcW w:w="915" w:type="dxa"/>
            <w:noWrap/>
            <w:vAlign w:val="center"/>
            <w:hideMark/>
          </w:tcPr>
          <w:p w14:paraId="1D880593"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3,2</w:t>
            </w:r>
          </w:p>
        </w:tc>
      </w:tr>
      <w:tr w:rsidR="003A3F4B" w:rsidRPr="00DE058F" w14:paraId="10F9CFA5" w14:textId="77777777" w:rsidTr="00F967BE">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6787" w:type="dxa"/>
            <w:hideMark/>
          </w:tcPr>
          <w:p w14:paraId="74C289F6" w14:textId="77777777" w:rsidR="003A3F4B" w:rsidRPr="00DE058F" w:rsidRDefault="003A3F4B" w:rsidP="00C91F83">
            <w:pPr>
              <w:spacing w:line="276" w:lineRule="auto"/>
              <w:rPr>
                <w:rFonts w:eastAsia="MS PGothic" w:cstheme="minorHAnsi"/>
                <w:b w:val="0"/>
                <w:color w:val="002060"/>
                <w:sz w:val="18"/>
                <w:szCs w:val="18"/>
                <w:lang w:val="sr-Cyrl-CS" w:eastAsia="ja-JP"/>
              </w:rPr>
            </w:pPr>
            <w:r w:rsidRPr="00DE058F">
              <w:rPr>
                <w:rFonts w:eastAsia="MS PGothic" w:cstheme="minorHAnsi"/>
                <w:b w:val="0"/>
                <w:color w:val="002060"/>
                <w:sz w:val="18"/>
                <w:szCs w:val="18"/>
                <w:lang w:val="sr-Cyrl-CS" w:eastAsia="ja-JP"/>
              </w:rPr>
              <w:t>Директна секторска подршка – сектор путничких превозника у друмском саобраћају и аутобуске станице – 600€ по аутобусу</w:t>
            </w:r>
          </w:p>
        </w:tc>
        <w:tc>
          <w:tcPr>
            <w:tcW w:w="914" w:type="dxa"/>
            <w:noWrap/>
            <w:vAlign w:val="center"/>
            <w:hideMark/>
          </w:tcPr>
          <w:p w14:paraId="663386D8"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2,6</w:t>
            </w:r>
          </w:p>
        </w:tc>
        <w:tc>
          <w:tcPr>
            <w:tcW w:w="915" w:type="dxa"/>
            <w:noWrap/>
            <w:vAlign w:val="center"/>
            <w:hideMark/>
          </w:tcPr>
          <w:p w14:paraId="61C8FCA2"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w:t>
            </w:r>
          </w:p>
        </w:tc>
        <w:tc>
          <w:tcPr>
            <w:tcW w:w="914" w:type="dxa"/>
            <w:noWrap/>
            <w:vAlign w:val="center"/>
            <w:hideMark/>
          </w:tcPr>
          <w:p w14:paraId="7690CFD4"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2,7</w:t>
            </w:r>
          </w:p>
        </w:tc>
        <w:tc>
          <w:tcPr>
            <w:tcW w:w="915" w:type="dxa"/>
            <w:noWrap/>
            <w:vAlign w:val="center"/>
            <w:hideMark/>
          </w:tcPr>
          <w:p w14:paraId="2C81F752"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w:t>
            </w:r>
          </w:p>
        </w:tc>
      </w:tr>
      <w:tr w:rsidR="003A3F4B" w:rsidRPr="00DE058F" w14:paraId="268B7714" w14:textId="77777777" w:rsidTr="00F967BE">
        <w:trPr>
          <w:trHeight w:val="22"/>
          <w:jc w:val="center"/>
        </w:trPr>
        <w:tc>
          <w:tcPr>
            <w:cnfStyle w:val="001000000000" w:firstRow="0" w:lastRow="0" w:firstColumn="1" w:lastColumn="0" w:oddVBand="0" w:evenVBand="0" w:oddHBand="0" w:evenHBand="0" w:firstRowFirstColumn="0" w:firstRowLastColumn="0" w:lastRowFirstColumn="0" w:lastRowLastColumn="0"/>
            <w:tcW w:w="6787" w:type="dxa"/>
            <w:hideMark/>
          </w:tcPr>
          <w:p w14:paraId="5A9FB206" w14:textId="77777777" w:rsidR="003A3F4B" w:rsidRPr="00DE058F" w:rsidRDefault="003A3F4B" w:rsidP="00C91F83">
            <w:pPr>
              <w:spacing w:line="276" w:lineRule="auto"/>
              <w:rPr>
                <w:rFonts w:eastAsia="MS PGothic" w:cstheme="minorHAnsi"/>
                <w:b w:val="0"/>
                <w:color w:val="002060"/>
                <w:sz w:val="18"/>
                <w:szCs w:val="18"/>
                <w:lang w:val="sr-Cyrl-CS" w:eastAsia="ja-JP"/>
              </w:rPr>
            </w:pPr>
            <w:r w:rsidRPr="00DE058F">
              <w:rPr>
                <w:rFonts w:eastAsia="MS PGothic" w:cstheme="minorHAnsi"/>
                <w:b w:val="0"/>
                <w:color w:val="002060"/>
                <w:sz w:val="18"/>
                <w:szCs w:val="18"/>
                <w:lang w:val="sr-Cyrl-CS" w:eastAsia="ja-JP"/>
              </w:rPr>
              <w:t>Директна подршка хотелијерском сектору - 350€ по кревету, 150€ по соби, у динарској противвредности прерачунато по званичном средњем курсу НБС</w:t>
            </w:r>
          </w:p>
        </w:tc>
        <w:tc>
          <w:tcPr>
            <w:tcW w:w="914" w:type="dxa"/>
            <w:noWrap/>
            <w:vAlign w:val="center"/>
            <w:hideMark/>
          </w:tcPr>
          <w:p w14:paraId="3B7D7C27"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3,3</w:t>
            </w:r>
          </w:p>
        </w:tc>
        <w:tc>
          <w:tcPr>
            <w:tcW w:w="915" w:type="dxa"/>
            <w:noWrap/>
            <w:vAlign w:val="center"/>
            <w:hideMark/>
          </w:tcPr>
          <w:p w14:paraId="5810B431"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0,1</w:t>
            </w:r>
          </w:p>
        </w:tc>
        <w:tc>
          <w:tcPr>
            <w:tcW w:w="914" w:type="dxa"/>
            <w:noWrap/>
            <w:vAlign w:val="center"/>
            <w:hideMark/>
          </w:tcPr>
          <w:p w14:paraId="13DD9558"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2,4</w:t>
            </w:r>
          </w:p>
        </w:tc>
        <w:tc>
          <w:tcPr>
            <w:tcW w:w="915" w:type="dxa"/>
            <w:noWrap/>
            <w:vAlign w:val="center"/>
            <w:hideMark/>
          </w:tcPr>
          <w:p w14:paraId="36B706C5"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w:t>
            </w:r>
          </w:p>
        </w:tc>
      </w:tr>
      <w:tr w:rsidR="003A3F4B" w:rsidRPr="00DE058F" w14:paraId="6338A95F" w14:textId="77777777" w:rsidTr="00F967BE">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6787" w:type="dxa"/>
          </w:tcPr>
          <w:p w14:paraId="4F6406FE" w14:textId="77777777" w:rsidR="003A3F4B" w:rsidRPr="00DE058F" w:rsidRDefault="003A3F4B" w:rsidP="00C91F83">
            <w:pPr>
              <w:spacing w:line="276" w:lineRule="auto"/>
              <w:rPr>
                <w:rFonts w:eastAsia="MS PGothic" w:cstheme="minorHAnsi"/>
                <w:b w:val="0"/>
                <w:color w:val="002060"/>
                <w:sz w:val="18"/>
                <w:szCs w:val="18"/>
                <w:lang w:val="sr-Cyrl-CS" w:eastAsia="ja-JP"/>
              </w:rPr>
            </w:pPr>
            <w:r w:rsidRPr="00DE058F">
              <w:rPr>
                <w:rFonts w:eastAsia="MS PGothic" w:cstheme="minorHAnsi"/>
                <w:b w:val="0"/>
                <w:color w:val="002060"/>
                <w:sz w:val="18"/>
                <w:szCs w:val="18"/>
                <w:lang w:val="sr-Cyrl-CS" w:eastAsia="ja-JP"/>
              </w:rPr>
              <w:t xml:space="preserve">Директна подршка угоститељима, туристичким агенцијама, хотелима и </w:t>
            </w:r>
            <w:r w:rsidRPr="00DE058F">
              <w:rPr>
                <w:rFonts w:eastAsia="MS PGothic" w:cstheme="minorHAnsi"/>
                <w:b w:val="0"/>
                <w:i/>
                <w:color w:val="002060"/>
                <w:sz w:val="18"/>
                <w:szCs w:val="18"/>
                <w:lang w:val="sr-Cyrl-CS" w:eastAsia="ja-JP"/>
              </w:rPr>
              <w:t>rent a car</w:t>
            </w:r>
            <w:r w:rsidRPr="00DE058F">
              <w:rPr>
                <w:rFonts w:eastAsia="MS PGothic" w:cstheme="minorHAnsi"/>
                <w:b w:val="0"/>
                <w:color w:val="002060"/>
                <w:sz w:val="18"/>
                <w:szCs w:val="18"/>
                <w:lang w:val="sr-Cyrl-CS" w:eastAsia="ja-JP"/>
              </w:rPr>
              <w:t xml:space="preserve"> агенцијама (30.000 РСД)</w:t>
            </w:r>
          </w:p>
        </w:tc>
        <w:tc>
          <w:tcPr>
            <w:tcW w:w="914" w:type="dxa"/>
            <w:noWrap/>
            <w:vAlign w:val="center"/>
          </w:tcPr>
          <w:p w14:paraId="4B6D181D"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6,9</w:t>
            </w:r>
          </w:p>
        </w:tc>
        <w:tc>
          <w:tcPr>
            <w:tcW w:w="915" w:type="dxa"/>
            <w:noWrap/>
            <w:vAlign w:val="center"/>
          </w:tcPr>
          <w:p w14:paraId="3342E235"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0,1</w:t>
            </w:r>
          </w:p>
        </w:tc>
        <w:tc>
          <w:tcPr>
            <w:tcW w:w="914" w:type="dxa"/>
            <w:noWrap/>
            <w:vAlign w:val="center"/>
          </w:tcPr>
          <w:p w14:paraId="27ECE4A5"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6,1</w:t>
            </w:r>
          </w:p>
        </w:tc>
        <w:tc>
          <w:tcPr>
            <w:tcW w:w="915" w:type="dxa"/>
            <w:noWrap/>
            <w:vAlign w:val="center"/>
          </w:tcPr>
          <w:p w14:paraId="460C5C2B"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0,1</w:t>
            </w:r>
          </w:p>
        </w:tc>
      </w:tr>
      <w:tr w:rsidR="003A3F4B" w:rsidRPr="00DE058F" w14:paraId="667DB5BB" w14:textId="77777777" w:rsidTr="00F967BE">
        <w:trPr>
          <w:trHeight w:val="22"/>
          <w:jc w:val="center"/>
        </w:trPr>
        <w:tc>
          <w:tcPr>
            <w:cnfStyle w:val="001000000000" w:firstRow="0" w:lastRow="0" w:firstColumn="1" w:lastColumn="0" w:oddVBand="0" w:evenVBand="0" w:oddHBand="0" w:evenHBand="0" w:firstRowFirstColumn="0" w:firstRowLastColumn="0" w:lastRowFirstColumn="0" w:lastRowLastColumn="0"/>
            <w:tcW w:w="6787" w:type="dxa"/>
            <w:noWrap/>
          </w:tcPr>
          <w:p w14:paraId="0FC693DB" w14:textId="77777777" w:rsidR="003A3F4B" w:rsidRPr="00DE058F" w:rsidRDefault="003A3F4B" w:rsidP="00C91F83">
            <w:pPr>
              <w:spacing w:line="276" w:lineRule="auto"/>
              <w:rPr>
                <w:rFonts w:eastAsia="MS PGothic" w:cstheme="minorHAnsi"/>
                <w:b w:val="0"/>
                <w:color w:val="002060"/>
                <w:sz w:val="18"/>
                <w:szCs w:val="18"/>
                <w:lang w:val="sr-Cyrl-CS" w:eastAsia="ja-JP"/>
              </w:rPr>
            </w:pPr>
            <w:r w:rsidRPr="00DE058F">
              <w:rPr>
                <w:rFonts w:eastAsia="MS PGothic" w:cstheme="minorHAnsi"/>
                <w:b w:val="0"/>
                <w:color w:val="002060"/>
                <w:sz w:val="18"/>
                <w:szCs w:val="18"/>
                <w:lang w:val="sr-Cyrl-CS" w:eastAsia="ja-JP"/>
              </w:rPr>
              <w:t>Директна подршка спортским клубовима</w:t>
            </w:r>
          </w:p>
        </w:tc>
        <w:tc>
          <w:tcPr>
            <w:tcW w:w="914" w:type="dxa"/>
            <w:noWrap/>
            <w:vAlign w:val="center"/>
          </w:tcPr>
          <w:p w14:paraId="5022F314"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2,3</w:t>
            </w:r>
          </w:p>
        </w:tc>
        <w:tc>
          <w:tcPr>
            <w:tcW w:w="915" w:type="dxa"/>
            <w:noWrap/>
            <w:vAlign w:val="center"/>
          </w:tcPr>
          <w:p w14:paraId="67D41AC8"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w:t>
            </w:r>
          </w:p>
        </w:tc>
        <w:tc>
          <w:tcPr>
            <w:tcW w:w="914" w:type="dxa"/>
            <w:noWrap/>
            <w:vAlign w:val="center"/>
          </w:tcPr>
          <w:p w14:paraId="4F1466A9"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2,3</w:t>
            </w:r>
          </w:p>
        </w:tc>
        <w:tc>
          <w:tcPr>
            <w:tcW w:w="915" w:type="dxa"/>
            <w:noWrap/>
            <w:vAlign w:val="center"/>
          </w:tcPr>
          <w:p w14:paraId="5CB352D6"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w:t>
            </w:r>
          </w:p>
        </w:tc>
      </w:tr>
      <w:tr w:rsidR="003A3F4B" w:rsidRPr="00DE058F" w14:paraId="5D81A44E" w14:textId="77777777" w:rsidTr="00F967BE">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6787" w:type="dxa"/>
            <w:noWrap/>
          </w:tcPr>
          <w:p w14:paraId="7FB1A68A" w14:textId="77777777" w:rsidR="003A3F4B" w:rsidRPr="00DE058F" w:rsidRDefault="003A3F4B" w:rsidP="00C91F83">
            <w:pPr>
              <w:spacing w:line="276" w:lineRule="auto"/>
              <w:rPr>
                <w:rFonts w:eastAsia="MS PGothic" w:cstheme="minorHAnsi"/>
                <w:b w:val="0"/>
                <w:color w:val="002060"/>
                <w:sz w:val="18"/>
                <w:szCs w:val="18"/>
                <w:lang w:val="sr-Cyrl-CS" w:eastAsia="ja-JP"/>
              </w:rPr>
            </w:pPr>
            <w:r w:rsidRPr="00DE058F">
              <w:rPr>
                <w:rFonts w:eastAsia="MS PGothic" w:cstheme="minorHAnsi"/>
                <w:b w:val="0"/>
                <w:color w:val="002060"/>
                <w:sz w:val="18"/>
                <w:szCs w:val="18"/>
                <w:lang w:val="sr-Cyrl-CS" w:eastAsia="ja-JP"/>
              </w:rPr>
              <w:t>Директна подршка самосталним уметницима</w:t>
            </w:r>
          </w:p>
        </w:tc>
        <w:tc>
          <w:tcPr>
            <w:tcW w:w="914" w:type="dxa"/>
            <w:noWrap/>
            <w:vAlign w:val="center"/>
          </w:tcPr>
          <w:p w14:paraId="5D4EF3A4"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0,3</w:t>
            </w:r>
          </w:p>
        </w:tc>
        <w:tc>
          <w:tcPr>
            <w:tcW w:w="915" w:type="dxa"/>
            <w:noWrap/>
            <w:vAlign w:val="center"/>
          </w:tcPr>
          <w:p w14:paraId="38E5CFFE"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w:t>
            </w:r>
          </w:p>
        </w:tc>
        <w:tc>
          <w:tcPr>
            <w:tcW w:w="914" w:type="dxa"/>
            <w:noWrap/>
            <w:vAlign w:val="center"/>
          </w:tcPr>
          <w:p w14:paraId="63690EF3"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0,3</w:t>
            </w:r>
          </w:p>
        </w:tc>
        <w:tc>
          <w:tcPr>
            <w:tcW w:w="915" w:type="dxa"/>
            <w:noWrap/>
            <w:vAlign w:val="center"/>
          </w:tcPr>
          <w:p w14:paraId="506F6BA6"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w:t>
            </w:r>
          </w:p>
        </w:tc>
      </w:tr>
      <w:tr w:rsidR="003A3F4B" w:rsidRPr="00DE058F" w14:paraId="4935E3DF" w14:textId="77777777" w:rsidTr="00F967BE">
        <w:trPr>
          <w:trHeight w:val="22"/>
          <w:jc w:val="center"/>
        </w:trPr>
        <w:tc>
          <w:tcPr>
            <w:cnfStyle w:val="001000000000" w:firstRow="0" w:lastRow="0" w:firstColumn="1" w:lastColumn="0" w:oddVBand="0" w:evenVBand="0" w:oddHBand="0" w:evenHBand="0" w:firstRowFirstColumn="0" w:firstRowLastColumn="0" w:lastRowFirstColumn="0" w:lastRowLastColumn="0"/>
            <w:tcW w:w="6787" w:type="dxa"/>
            <w:noWrap/>
            <w:hideMark/>
          </w:tcPr>
          <w:p w14:paraId="51893ED8" w14:textId="77777777" w:rsidR="003A3F4B" w:rsidRPr="00DE058F" w:rsidRDefault="003A3F4B" w:rsidP="00C91F83">
            <w:pPr>
              <w:spacing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Укупно</w:t>
            </w:r>
          </w:p>
        </w:tc>
        <w:tc>
          <w:tcPr>
            <w:tcW w:w="914" w:type="dxa"/>
            <w:noWrap/>
            <w:vAlign w:val="center"/>
            <w:hideMark/>
          </w:tcPr>
          <w:p w14:paraId="193CBDA3"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218,5</w:t>
            </w:r>
          </w:p>
        </w:tc>
        <w:tc>
          <w:tcPr>
            <w:tcW w:w="915" w:type="dxa"/>
            <w:noWrap/>
            <w:vAlign w:val="center"/>
            <w:hideMark/>
          </w:tcPr>
          <w:p w14:paraId="4A43CF89"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3,8</w:t>
            </w:r>
          </w:p>
        </w:tc>
        <w:tc>
          <w:tcPr>
            <w:tcW w:w="914" w:type="dxa"/>
            <w:noWrap/>
            <w:vAlign w:val="center"/>
            <w:hideMark/>
          </w:tcPr>
          <w:p w14:paraId="267D92E3"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198,0</w:t>
            </w:r>
          </w:p>
        </w:tc>
        <w:tc>
          <w:tcPr>
            <w:tcW w:w="915" w:type="dxa"/>
            <w:noWrap/>
            <w:vAlign w:val="center"/>
            <w:hideMark/>
          </w:tcPr>
          <w:p w14:paraId="3A78D952"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3,5</w:t>
            </w:r>
          </w:p>
        </w:tc>
      </w:tr>
      <w:tr w:rsidR="003A3F4B" w:rsidRPr="00DE058F" w14:paraId="64929F39" w14:textId="77777777" w:rsidTr="00F967BE">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6787" w:type="dxa"/>
            <w:noWrap/>
            <w:hideMark/>
          </w:tcPr>
          <w:p w14:paraId="3373CDFC" w14:textId="77777777" w:rsidR="003A3F4B" w:rsidRPr="00DE058F" w:rsidRDefault="003A3F4B" w:rsidP="00C91F83">
            <w:pPr>
              <w:spacing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Мере за очување ликвидности приватног сектора</w:t>
            </w:r>
          </w:p>
        </w:tc>
        <w:tc>
          <w:tcPr>
            <w:tcW w:w="914" w:type="dxa"/>
            <w:noWrap/>
            <w:vAlign w:val="center"/>
            <w:hideMark/>
          </w:tcPr>
          <w:p w14:paraId="7CB20C91"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p>
        </w:tc>
        <w:tc>
          <w:tcPr>
            <w:tcW w:w="915" w:type="dxa"/>
            <w:noWrap/>
            <w:vAlign w:val="center"/>
            <w:hideMark/>
          </w:tcPr>
          <w:p w14:paraId="55991694"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p>
        </w:tc>
        <w:tc>
          <w:tcPr>
            <w:tcW w:w="914" w:type="dxa"/>
            <w:noWrap/>
            <w:vAlign w:val="center"/>
            <w:hideMark/>
          </w:tcPr>
          <w:p w14:paraId="6D040800"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p>
        </w:tc>
        <w:tc>
          <w:tcPr>
            <w:tcW w:w="915" w:type="dxa"/>
            <w:noWrap/>
            <w:vAlign w:val="center"/>
            <w:hideMark/>
          </w:tcPr>
          <w:p w14:paraId="4EB3D8D7"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p>
        </w:tc>
      </w:tr>
      <w:tr w:rsidR="003A3F4B" w:rsidRPr="00DE058F" w14:paraId="1BF92CB1" w14:textId="77777777" w:rsidTr="00F967BE">
        <w:trPr>
          <w:trHeight w:val="22"/>
          <w:jc w:val="center"/>
        </w:trPr>
        <w:tc>
          <w:tcPr>
            <w:cnfStyle w:val="001000000000" w:firstRow="0" w:lastRow="0" w:firstColumn="1" w:lastColumn="0" w:oddVBand="0" w:evenVBand="0" w:oddHBand="0" w:evenHBand="0" w:firstRowFirstColumn="0" w:firstRowLastColumn="0" w:lastRowFirstColumn="0" w:lastRowLastColumn="0"/>
            <w:tcW w:w="6787" w:type="dxa"/>
            <w:hideMark/>
          </w:tcPr>
          <w:p w14:paraId="67F335DB" w14:textId="77777777" w:rsidR="003A3F4B" w:rsidRPr="00DE058F" w:rsidRDefault="003A3F4B" w:rsidP="00C91F83">
            <w:pPr>
              <w:spacing w:line="276" w:lineRule="auto"/>
              <w:rPr>
                <w:rFonts w:eastAsia="MS PGothic" w:cstheme="minorHAnsi"/>
                <w:b w:val="0"/>
                <w:color w:val="002060"/>
                <w:sz w:val="18"/>
                <w:szCs w:val="18"/>
                <w:lang w:val="sr-Cyrl-CS" w:eastAsia="ja-JP"/>
              </w:rPr>
            </w:pPr>
            <w:r w:rsidRPr="00DE058F">
              <w:rPr>
                <w:rFonts w:eastAsia="MS PGothic" w:cstheme="minorHAnsi"/>
                <w:b w:val="0"/>
                <w:color w:val="002060"/>
                <w:sz w:val="18"/>
                <w:szCs w:val="18"/>
                <w:lang w:val="sr-Cyrl-CS" w:eastAsia="ja-JP"/>
              </w:rPr>
              <w:t>Програм финансијске подршке током кризе COVID-19 преко Фонда за развој Републике Србије</w:t>
            </w:r>
          </w:p>
        </w:tc>
        <w:tc>
          <w:tcPr>
            <w:tcW w:w="914" w:type="dxa"/>
            <w:noWrap/>
            <w:vAlign w:val="center"/>
            <w:hideMark/>
          </w:tcPr>
          <w:p w14:paraId="7865FED4"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24,0</w:t>
            </w:r>
          </w:p>
        </w:tc>
        <w:tc>
          <w:tcPr>
            <w:tcW w:w="915" w:type="dxa"/>
            <w:noWrap/>
            <w:vAlign w:val="center"/>
            <w:hideMark/>
          </w:tcPr>
          <w:p w14:paraId="7BEDF6E9"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0,4</w:t>
            </w:r>
          </w:p>
        </w:tc>
        <w:tc>
          <w:tcPr>
            <w:tcW w:w="914" w:type="dxa"/>
            <w:noWrap/>
            <w:vAlign w:val="center"/>
            <w:hideMark/>
          </w:tcPr>
          <w:p w14:paraId="7326380F"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16,3</w:t>
            </w:r>
          </w:p>
        </w:tc>
        <w:tc>
          <w:tcPr>
            <w:tcW w:w="915" w:type="dxa"/>
            <w:noWrap/>
            <w:vAlign w:val="center"/>
            <w:hideMark/>
          </w:tcPr>
          <w:p w14:paraId="1C419B8D"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0,3</w:t>
            </w:r>
          </w:p>
        </w:tc>
      </w:tr>
      <w:tr w:rsidR="003A3F4B" w:rsidRPr="00DE058F" w14:paraId="35E20743" w14:textId="77777777" w:rsidTr="00F967BE">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6787" w:type="dxa"/>
            <w:noWrap/>
            <w:hideMark/>
          </w:tcPr>
          <w:p w14:paraId="41344C2E" w14:textId="23C0E691" w:rsidR="003A3F4B" w:rsidRPr="00DE058F" w:rsidRDefault="003A3F4B" w:rsidP="00C91F83">
            <w:pPr>
              <w:spacing w:line="276" w:lineRule="auto"/>
              <w:rPr>
                <w:rFonts w:eastAsia="MS PGothic" w:cstheme="minorHAnsi"/>
                <w:b w:val="0"/>
                <w:color w:val="002060"/>
                <w:sz w:val="18"/>
                <w:szCs w:val="18"/>
                <w:lang w:val="sr-Cyrl-CS" w:eastAsia="ja-JP"/>
              </w:rPr>
            </w:pPr>
            <w:r w:rsidRPr="00DE058F">
              <w:rPr>
                <w:rFonts w:eastAsia="MS PGothic" w:cstheme="minorHAnsi"/>
                <w:b w:val="0"/>
                <w:color w:val="002060"/>
                <w:sz w:val="18"/>
                <w:szCs w:val="18"/>
                <w:lang w:val="sr-Cyrl-CS" w:eastAsia="ja-JP"/>
              </w:rPr>
              <w:t>Гарантне шеме за подршку економији током кризе COVID-19 (у 2021. години продужење гарантне шеме из 2020. године и успостављање нове гарантне шеме за подршку најугроженијим секторима/предузећима</w:t>
            </w:r>
            <w:r w:rsidR="00813A2C" w:rsidRPr="00DE058F">
              <w:rPr>
                <w:rFonts w:eastAsia="MS PGothic" w:cstheme="minorHAnsi"/>
                <w:b w:val="0"/>
                <w:color w:val="002060"/>
                <w:sz w:val="18"/>
                <w:szCs w:val="18"/>
                <w:lang w:val="sr-Cyrl-CS" w:eastAsia="ja-JP"/>
              </w:rPr>
              <w:t>)</w:t>
            </w:r>
          </w:p>
        </w:tc>
        <w:tc>
          <w:tcPr>
            <w:tcW w:w="914" w:type="dxa"/>
            <w:noWrap/>
            <w:vAlign w:val="center"/>
            <w:hideMark/>
          </w:tcPr>
          <w:p w14:paraId="0E5B5E4D"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360,0</w:t>
            </w:r>
          </w:p>
        </w:tc>
        <w:tc>
          <w:tcPr>
            <w:tcW w:w="915" w:type="dxa"/>
            <w:noWrap/>
            <w:vAlign w:val="center"/>
            <w:hideMark/>
          </w:tcPr>
          <w:p w14:paraId="623D5E6D"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6,3</w:t>
            </w:r>
          </w:p>
        </w:tc>
        <w:tc>
          <w:tcPr>
            <w:tcW w:w="914" w:type="dxa"/>
            <w:noWrap/>
            <w:vAlign w:val="center"/>
            <w:hideMark/>
          </w:tcPr>
          <w:p w14:paraId="675C6D1D"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279,3</w:t>
            </w:r>
          </w:p>
        </w:tc>
        <w:tc>
          <w:tcPr>
            <w:tcW w:w="915" w:type="dxa"/>
            <w:noWrap/>
            <w:vAlign w:val="center"/>
            <w:hideMark/>
          </w:tcPr>
          <w:p w14:paraId="5FD2D27E"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5,0</w:t>
            </w:r>
          </w:p>
        </w:tc>
      </w:tr>
      <w:tr w:rsidR="003A3F4B" w:rsidRPr="00DE058F" w14:paraId="2DCEA7FA" w14:textId="77777777" w:rsidTr="00F967BE">
        <w:trPr>
          <w:trHeight w:val="22"/>
          <w:jc w:val="center"/>
        </w:trPr>
        <w:tc>
          <w:tcPr>
            <w:cnfStyle w:val="001000000000" w:firstRow="0" w:lastRow="0" w:firstColumn="1" w:lastColumn="0" w:oddVBand="0" w:evenVBand="0" w:oddHBand="0" w:evenHBand="0" w:firstRowFirstColumn="0" w:firstRowLastColumn="0" w:lastRowFirstColumn="0" w:lastRowLastColumn="0"/>
            <w:tcW w:w="6787" w:type="dxa"/>
            <w:noWrap/>
            <w:hideMark/>
          </w:tcPr>
          <w:p w14:paraId="3B3D66DD" w14:textId="77777777" w:rsidR="003A3F4B" w:rsidRPr="00DE058F" w:rsidRDefault="003A3F4B" w:rsidP="00C91F83">
            <w:pPr>
              <w:spacing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Укупно</w:t>
            </w:r>
          </w:p>
        </w:tc>
        <w:tc>
          <w:tcPr>
            <w:tcW w:w="914" w:type="dxa"/>
            <w:noWrap/>
            <w:vAlign w:val="center"/>
            <w:hideMark/>
          </w:tcPr>
          <w:p w14:paraId="3D9FF7BD"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384,0</w:t>
            </w:r>
          </w:p>
        </w:tc>
        <w:tc>
          <w:tcPr>
            <w:tcW w:w="915" w:type="dxa"/>
            <w:noWrap/>
            <w:vAlign w:val="center"/>
            <w:hideMark/>
          </w:tcPr>
          <w:p w14:paraId="3CEFE421"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6,7</w:t>
            </w:r>
          </w:p>
        </w:tc>
        <w:tc>
          <w:tcPr>
            <w:tcW w:w="914" w:type="dxa"/>
            <w:noWrap/>
            <w:vAlign w:val="center"/>
            <w:hideMark/>
          </w:tcPr>
          <w:p w14:paraId="5A0F90FE"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295,6</w:t>
            </w:r>
          </w:p>
        </w:tc>
        <w:tc>
          <w:tcPr>
            <w:tcW w:w="915" w:type="dxa"/>
            <w:noWrap/>
            <w:vAlign w:val="center"/>
            <w:hideMark/>
          </w:tcPr>
          <w:p w14:paraId="223A334C"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5,3</w:t>
            </w:r>
          </w:p>
        </w:tc>
      </w:tr>
      <w:tr w:rsidR="003A3F4B" w:rsidRPr="00DE058F" w14:paraId="28DFBD10" w14:textId="77777777" w:rsidTr="00F967BE">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6787" w:type="dxa"/>
            <w:noWrap/>
            <w:hideMark/>
          </w:tcPr>
          <w:p w14:paraId="6C0EF297" w14:textId="77777777" w:rsidR="003A3F4B" w:rsidRPr="00DE058F" w:rsidRDefault="003A3F4B" w:rsidP="00C91F83">
            <w:pPr>
              <w:spacing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Остале мере</w:t>
            </w:r>
          </w:p>
        </w:tc>
        <w:tc>
          <w:tcPr>
            <w:tcW w:w="914" w:type="dxa"/>
            <w:noWrap/>
            <w:vAlign w:val="center"/>
            <w:hideMark/>
          </w:tcPr>
          <w:p w14:paraId="147D83B8"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p>
        </w:tc>
        <w:tc>
          <w:tcPr>
            <w:tcW w:w="915" w:type="dxa"/>
            <w:noWrap/>
            <w:vAlign w:val="center"/>
            <w:hideMark/>
          </w:tcPr>
          <w:p w14:paraId="2E32DCDF"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p>
        </w:tc>
        <w:tc>
          <w:tcPr>
            <w:tcW w:w="914" w:type="dxa"/>
            <w:noWrap/>
            <w:vAlign w:val="center"/>
            <w:hideMark/>
          </w:tcPr>
          <w:p w14:paraId="7050253C"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p>
        </w:tc>
        <w:tc>
          <w:tcPr>
            <w:tcW w:w="915" w:type="dxa"/>
            <w:noWrap/>
            <w:vAlign w:val="center"/>
            <w:hideMark/>
          </w:tcPr>
          <w:p w14:paraId="4DB160EA"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p>
        </w:tc>
      </w:tr>
      <w:tr w:rsidR="003A3F4B" w:rsidRPr="00DE058F" w14:paraId="5653EAE3" w14:textId="77777777" w:rsidTr="00F967BE">
        <w:trPr>
          <w:trHeight w:val="22"/>
          <w:jc w:val="center"/>
        </w:trPr>
        <w:tc>
          <w:tcPr>
            <w:cnfStyle w:val="001000000000" w:firstRow="0" w:lastRow="0" w:firstColumn="1" w:lastColumn="0" w:oddVBand="0" w:evenVBand="0" w:oddHBand="0" w:evenHBand="0" w:firstRowFirstColumn="0" w:firstRowLastColumn="0" w:lastRowFirstColumn="0" w:lastRowLastColumn="0"/>
            <w:tcW w:w="6787" w:type="dxa"/>
            <w:hideMark/>
          </w:tcPr>
          <w:p w14:paraId="2A64D04D" w14:textId="77777777" w:rsidR="003A3F4B" w:rsidRPr="00DE058F" w:rsidRDefault="003A3F4B" w:rsidP="00C91F83">
            <w:pPr>
              <w:spacing w:line="276" w:lineRule="auto"/>
              <w:rPr>
                <w:rFonts w:eastAsia="MS PGothic" w:cstheme="minorHAnsi"/>
                <w:b w:val="0"/>
                <w:color w:val="002060"/>
                <w:sz w:val="18"/>
                <w:szCs w:val="18"/>
                <w:lang w:val="sr-Cyrl-CS" w:eastAsia="ja-JP"/>
              </w:rPr>
            </w:pPr>
            <w:r w:rsidRPr="00DE058F">
              <w:rPr>
                <w:rFonts w:eastAsia="MS PGothic" w:cstheme="minorHAnsi"/>
                <w:b w:val="0"/>
                <w:color w:val="002060"/>
                <w:sz w:val="18"/>
                <w:szCs w:val="18"/>
                <w:lang w:val="sr-Cyrl-CS" w:eastAsia="ja-JP"/>
              </w:rPr>
              <w:t xml:space="preserve">Мораторијум на дивиденде до краја 2020. године, искључујући јавна предузећа и губитак прихода који произлази из дивиденди </w:t>
            </w:r>
          </w:p>
        </w:tc>
        <w:tc>
          <w:tcPr>
            <w:tcW w:w="914" w:type="dxa"/>
            <w:noWrap/>
            <w:vAlign w:val="center"/>
            <w:hideMark/>
          </w:tcPr>
          <w:p w14:paraId="7897EA5E"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16,0</w:t>
            </w:r>
          </w:p>
        </w:tc>
        <w:tc>
          <w:tcPr>
            <w:tcW w:w="915" w:type="dxa"/>
            <w:noWrap/>
            <w:vAlign w:val="center"/>
            <w:hideMark/>
          </w:tcPr>
          <w:p w14:paraId="77071487"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0,3</w:t>
            </w:r>
          </w:p>
        </w:tc>
        <w:tc>
          <w:tcPr>
            <w:tcW w:w="914" w:type="dxa"/>
            <w:noWrap/>
            <w:vAlign w:val="center"/>
            <w:hideMark/>
          </w:tcPr>
          <w:p w14:paraId="65AB6CF6"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6,0</w:t>
            </w:r>
          </w:p>
        </w:tc>
        <w:tc>
          <w:tcPr>
            <w:tcW w:w="915" w:type="dxa"/>
            <w:noWrap/>
            <w:vAlign w:val="center"/>
            <w:hideMark/>
          </w:tcPr>
          <w:p w14:paraId="7C800530"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0,1</w:t>
            </w:r>
          </w:p>
        </w:tc>
      </w:tr>
      <w:tr w:rsidR="003A3F4B" w:rsidRPr="00DE058F" w14:paraId="1A13BF85" w14:textId="77777777" w:rsidTr="00F967BE">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6787" w:type="dxa"/>
            <w:hideMark/>
          </w:tcPr>
          <w:p w14:paraId="6C66E865" w14:textId="33152D6F" w:rsidR="003A3F4B" w:rsidRPr="00DE058F" w:rsidRDefault="003A3F4B" w:rsidP="00C91F83">
            <w:pPr>
              <w:spacing w:line="276" w:lineRule="auto"/>
              <w:rPr>
                <w:rFonts w:eastAsia="MS PGothic" w:cstheme="minorHAnsi"/>
                <w:b w:val="0"/>
                <w:color w:val="002060"/>
                <w:sz w:val="18"/>
                <w:szCs w:val="18"/>
                <w:lang w:val="sr-Cyrl-CS" w:eastAsia="ja-JP"/>
              </w:rPr>
            </w:pPr>
            <w:r w:rsidRPr="00DE058F">
              <w:rPr>
                <w:rFonts w:eastAsia="MS PGothic" w:cstheme="minorHAnsi"/>
                <w:b w:val="0"/>
                <w:color w:val="002060"/>
                <w:sz w:val="18"/>
                <w:szCs w:val="18"/>
                <w:lang w:val="sr-Cyrl-CS" w:eastAsia="ja-JP"/>
              </w:rPr>
              <w:lastRenderedPageBreak/>
              <w:t>Мере повећања зарада и друга директна новчана помоћ у 2020. години (10% повећање плата здравствених радника, директна но</w:t>
            </w:r>
            <w:r w:rsidR="00D060F0" w:rsidRPr="00DE058F">
              <w:rPr>
                <w:rFonts w:eastAsia="MS PGothic" w:cstheme="minorHAnsi"/>
                <w:b w:val="0"/>
                <w:color w:val="002060"/>
                <w:sz w:val="18"/>
                <w:szCs w:val="18"/>
                <w:lang w:val="sr-Cyrl-CS" w:eastAsia="ja-JP"/>
              </w:rPr>
              <w:t>вчана помоћ свим пензионерима (две</w:t>
            </w:r>
            <w:r w:rsidRPr="00DE058F">
              <w:rPr>
                <w:rFonts w:eastAsia="MS PGothic" w:cstheme="minorHAnsi"/>
                <w:b w:val="0"/>
                <w:color w:val="002060"/>
                <w:sz w:val="18"/>
                <w:szCs w:val="18"/>
                <w:lang w:val="sr-Cyrl-CS" w:eastAsia="ja-JP"/>
              </w:rPr>
              <w:t xml:space="preserve"> исплате - 4.000 РСД и 5.000 РСД), подршка пољопривредним произвођачима, бонус здравственим радницима од 10.000 РСД)</w:t>
            </w:r>
          </w:p>
        </w:tc>
        <w:tc>
          <w:tcPr>
            <w:tcW w:w="914" w:type="dxa"/>
            <w:noWrap/>
            <w:vAlign w:val="center"/>
            <w:hideMark/>
          </w:tcPr>
          <w:p w14:paraId="42EE540A"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26,3</w:t>
            </w:r>
          </w:p>
        </w:tc>
        <w:tc>
          <w:tcPr>
            <w:tcW w:w="915" w:type="dxa"/>
            <w:noWrap/>
            <w:vAlign w:val="center"/>
            <w:hideMark/>
          </w:tcPr>
          <w:p w14:paraId="4C1AEC75"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0,5</w:t>
            </w:r>
          </w:p>
        </w:tc>
        <w:tc>
          <w:tcPr>
            <w:tcW w:w="914" w:type="dxa"/>
            <w:noWrap/>
            <w:vAlign w:val="center"/>
            <w:hideMark/>
          </w:tcPr>
          <w:p w14:paraId="3FEE22C4"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26,0</w:t>
            </w:r>
          </w:p>
        </w:tc>
        <w:tc>
          <w:tcPr>
            <w:tcW w:w="915" w:type="dxa"/>
            <w:noWrap/>
            <w:vAlign w:val="center"/>
            <w:hideMark/>
          </w:tcPr>
          <w:p w14:paraId="2DB88003"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0,5</w:t>
            </w:r>
          </w:p>
        </w:tc>
      </w:tr>
      <w:tr w:rsidR="003A3F4B" w:rsidRPr="00DE058F" w14:paraId="1CD80C47" w14:textId="77777777" w:rsidTr="00F967BE">
        <w:trPr>
          <w:trHeight w:val="22"/>
          <w:jc w:val="center"/>
        </w:trPr>
        <w:tc>
          <w:tcPr>
            <w:cnfStyle w:val="001000000000" w:firstRow="0" w:lastRow="0" w:firstColumn="1" w:lastColumn="0" w:oddVBand="0" w:evenVBand="0" w:oddHBand="0" w:evenHBand="0" w:firstRowFirstColumn="0" w:firstRowLastColumn="0" w:lastRowFirstColumn="0" w:lastRowLastColumn="0"/>
            <w:tcW w:w="6787" w:type="dxa"/>
            <w:noWrap/>
            <w:hideMark/>
          </w:tcPr>
          <w:p w14:paraId="02A70F49" w14:textId="77777777" w:rsidR="003A3F4B" w:rsidRPr="00DE058F" w:rsidRDefault="003A3F4B" w:rsidP="00C91F83">
            <w:pPr>
              <w:spacing w:line="276" w:lineRule="auto"/>
              <w:rPr>
                <w:rFonts w:eastAsia="MS PGothic" w:cstheme="minorHAnsi"/>
                <w:b w:val="0"/>
                <w:color w:val="002060"/>
                <w:sz w:val="18"/>
                <w:szCs w:val="18"/>
                <w:lang w:val="sr-Cyrl-CS" w:eastAsia="ja-JP"/>
              </w:rPr>
            </w:pPr>
            <w:r w:rsidRPr="00DE058F">
              <w:rPr>
                <w:rFonts w:eastAsia="MS PGothic" w:cstheme="minorHAnsi"/>
                <w:b w:val="0"/>
                <w:color w:val="002060"/>
                <w:sz w:val="18"/>
                <w:szCs w:val="18"/>
                <w:lang w:val="sr-Cyrl-CS" w:eastAsia="ja-JP"/>
              </w:rPr>
              <w:t>Фискални подстицај – у 2020. години исплата 100€ свим пунолетним грађанима, у 2021. години пензионерима 50€, свим пунолетним грађанима 60€ + 20€, помоћ незапосленима на евиденцији НСЗ 60€,</w:t>
            </w:r>
            <w:r w:rsidRPr="00DE058F">
              <w:rPr>
                <w:lang w:val="sr-Cyrl-CS"/>
              </w:rPr>
              <w:t xml:space="preserve"> </w:t>
            </w:r>
            <w:r w:rsidRPr="00DE058F">
              <w:rPr>
                <w:rFonts w:eastAsia="MS PGothic" w:cstheme="minorHAnsi"/>
                <w:b w:val="0"/>
                <w:color w:val="002060"/>
                <w:sz w:val="18"/>
                <w:szCs w:val="18"/>
                <w:lang w:val="sr-Cyrl-CS" w:eastAsia="ja-JP"/>
              </w:rPr>
              <w:t>у динарској противвредности прерачунато по званичном средњем курсу НБС, помоћ лицима на КиМ</w:t>
            </w:r>
          </w:p>
        </w:tc>
        <w:tc>
          <w:tcPr>
            <w:tcW w:w="914" w:type="dxa"/>
            <w:noWrap/>
            <w:vAlign w:val="center"/>
            <w:hideMark/>
          </w:tcPr>
          <w:p w14:paraId="5E021F50"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143,1</w:t>
            </w:r>
          </w:p>
        </w:tc>
        <w:tc>
          <w:tcPr>
            <w:tcW w:w="915" w:type="dxa"/>
            <w:noWrap/>
            <w:vAlign w:val="center"/>
            <w:hideMark/>
          </w:tcPr>
          <w:p w14:paraId="127817F5"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2,4</w:t>
            </w:r>
          </w:p>
        </w:tc>
        <w:tc>
          <w:tcPr>
            <w:tcW w:w="914" w:type="dxa"/>
            <w:noWrap/>
            <w:vAlign w:val="center"/>
            <w:hideMark/>
          </w:tcPr>
          <w:p w14:paraId="243BDEF5"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142,1</w:t>
            </w:r>
          </w:p>
        </w:tc>
        <w:tc>
          <w:tcPr>
            <w:tcW w:w="915" w:type="dxa"/>
            <w:noWrap/>
            <w:vAlign w:val="center"/>
            <w:hideMark/>
          </w:tcPr>
          <w:p w14:paraId="27E52563"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2,4</w:t>
            </w:r>
          </w:p>
        </w:tc>
      </w:tr>
      <w:tr w:rsidR="003A3F4B" w:rsidRPr="00DE058F" w14:paraId="0E65F20B" w14:textId="77777777" w:rsidTr="00F967BE">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6787" w:type="dxa"/>
            <w:noWrap/>
          </w:tcPr>
          <w:p w14:paraId="275BB3F2" w14:textId="77777777" w:rsidR="003A3F4B" w:rsidRPr="00DE058F" w:rsidRDefault="003A3F4B" w:rsidP="00C91F83">
            <w:pPr>
              <w:spacing w:line="276" w:lineRule="auto"/>
              <w:rPr>
                <w:rFonts w:eastAsia="MS PGothic" w:cstheme="minorHAnsi"/>
                <w:b w:val="0"/>
                <w:color w:val="002060"/>
                <w:sz w:val="18"/>
                <w:szCs w:val="18"/>
                <w:lang w:val="sr-Cyrl-CS" w:eastAsia="ja-JP"/>
              </w:rPr>
            </w:pPr>
            <w:r w:rsidRPr="00DE058F">
              <w:rPr>
                <w:rFonts w:eastAsia="MS PGothic" w:cstheme="minorHAnsi"/>
                <w:b w:val="0"/>
                <w:color w:val="002060"/>
                <w:sz w:val="18"/>
                <w:szCs w:val="18"/>
                <w:lang w:val="sr-Cyrl-CS" w:eastAsia="ja-JP"/>
              </w:rPr>
              <w:t>Бонус за вакцинацију</w:t>
            </w:r>
          </w:p>
        </w:tc>
        <w:tc>
          <w:tcPr>
            <w:tcW w:w="914" w:type="dxa"/>
            <w:noWrap/>
            <w:vAlign w:val="center"/>
          </w:tcPr>
          <w:p w14:paraId="04130E94"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9,0</w:t>
            </w:r>
          </w:p>
        </w:tc>
        <w:tc>
          <w:tcPr>
            <w:tcW w:w="915" w:type="dxa"/>
            <w:noWrap/>
            <w:vAlign w:val="center"/>
          </w:tcPr>
          <w:p w14:paraId="6A22F810"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0,1</w:t>
            </w:r>
          </w:p>
        </w:tc>
        <w:tc>
          <w:tcPr>
            <w:tcW w:w="914" w:type="dxa"/>
            <w:noWrap/>
            <w:vAlign w:val="center"/>
          </w:tcPr>
          <w:p w14:paraId="5A9375C5"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7,1</w:t>
            </w:r>
          </w:p>
        </w:tc>
        <w:tc>
          <w:tcPr>
            <w:tcW w:w="915" w:type="dxa"/>
            <w:noWrap/>
            <w:vAlign w:val="center"/>
          </w:tcPr>
          <w:p w14:paraId="6619FF59"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0,1</w:t>
            </w:r>
          </w:p>
        </w:tc>
      </w:tr>
      <w:tr w:rsidR="003A3F4B" w:rsidRPr="00DE058F" w14:paraId="2DE5F762" w14:textId="77777777" w:rsidTr="00F967BE">
        <w:trPr>
          <w:trHeight w:val="22"/>
          <w:jc w:val="center"/>
        </w:trPr>
        <w:tc>
          <w:tcPr>
            <w:cnfStyle w:val="001000000000" w:firstRow="0" w:lastRow="0" w:firstColumn="1" w:lastColumn="0" w:oddVBand="0" w:evenVBand="0" w:oddHBand="0" w:evenHBand="0" w:firstRowFirstColumn="0" w:firstRowLastColumn="0" w:lastRowFirstColumn="0" w:lastRowLastColumn="0"/>
            <w:tcW w:w="6787" w:type="dxa"/>
            <w:noWrap/>
            <w:hideMark/>
          </w:tcPr>
          <w:p w14:paraId="78035B5F" w14:textId="77777777" w:rsidR="003A3F4B" w:rsidRPr="00DE058F" w:rsidRDefault="003A3F4B" w:rsidP="00C91F83">
            <w:pPr>
              <w:spacing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Укупно</w:t>
            </w:r>
          </w:p>
        </w:tc>
        <w:tc>
          <w:tcPr>
            <w:tcW w:w="914" w:type="dxa"/>
            <w:noWrap/>
            <w:vAlign w:val="center"/>
            <w:hideMark/>
          </w:tcPr>
          <w:p w14:paraId="33D54160"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194,4</w:t>
            </w:r>
          </w:p>
        </w:tc>
        <w:tc>
          <w:tcPr>
            <w:tcW w:w="915" w:type="dxa"/>
            <w:noWrap/>
            <w:vAlign w:val="center"/>
            <w:hideMark/>
          </w:tcPr>
          <w:p w14:paraId="1739CF14"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3,4</w:t>
            </w:r>
          </w:p>
        </w:tc>
        <w:tc>
          <w:tcPr>
            <w:tcW w:w="914" w:type="dxa"/>
            <w:noWrap/>
            <w:vAlign w:val="center"/>
            <w:hideMark/>
          </w:tcPr>
          <w:p w14:paraId="1FC9E585"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181,2</w:t>
            </w:r>
          </w:p>
        </w:tc>
        <w:tc>
          <w:tcPr>
            <w:tcW w:w="915" w:type="dxa"/>
            <w:noWrap/>
            <w:vAlign w:val="center"/>
            <w:hideMark/>
          </w:tcPr>
          <w:p w14:paraId="1F76DC16"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3,1</w:t>
            </w:r>
          </w:p>
        </w:tc>
      </w:tr>
      <w:tr w:rsidR="003A3F4B" w:rsidRPr="00DE058F" w14:paraId="5DD3DF86" w14:textId="77777777" w:rsidTr="00F967BE">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6787" w:type="dxa"/>
            <w:noWrap/>
            <w:hideMark/>
          </w:tcPr>
          <w:p w14:paraId="6A5037B3" w14:textId="77777777" w:rsidR="003A3F4B" w:rsidRPr="00DE058F" w:rsidRDefault="003A3F4B" w:rsidP="00C91F83">
            <w:pPr>
              <w:spacing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Процена утицаја фискалних мера</w:t>
            </w:r>
          </w:p>
        </w:tc>
        <w:tc>
          <w:tcPr>
            <w:tcW w:w="914" w:type="dxa"/>
            <w:noWrap/>
            <w:vAlign w:val="center"/>
            <w:hideMark/>
          </w:tcPr>
          <w:p w14:paraId="2275CAB6"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625,9</w:t>
            </w:r>
          </w:p>
        </w:tc>
        <w:tc>
          <w:tcPr>
            <w:tcW w:w="915" w:type="dxa"/>
            <w:noWrap/>
            <w:vAlign w:val="center"/>
            <w:hideMark/>
          </w:tcPr>
          <w:p w14:paraId="1BEE6530"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11,0</w:t>
            </w:r>
          </w:p>
        </w:tc>
        <w:tc>
          <w:tcPr>
            <w:tcW w:w="914" w:type="dxa"/>
            <w:noWrap/>
            <w:vAlign w:val="center"/>
            <w:hideMark/>
          </w:tcPr>
          <w:p w14:paraId="23AC9757"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528,8</w:t>
            </w:r>
          </w:p>
        </w:tc>
        <w:tc>
          <w:tcPr>
            <w:tcW w:w="915" w:type="dxa"/>
            <w:noWrap/>
            <w:vAlign w:val="center"/>
            <w:hideMark/>
          </w:tcPr>
          <w:p w14:paraId="2F36A139"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9,3</w:t>
            </w:r>
          </w:p>
        </w:tc>
      </w:tr>
      <w:tr w:rsidR="003A3F4B" w:rsidRPr="00DE058F" w14:paraId="3F518ABF" w14:textId="77777777" w:rsidTr="00F967BE">
        <w:trPr>
          <w:trHeight w:val="22"/>
          <w:jc w:val="center"/>
        </w:trPr>
        <w:tc>
          <w:tcPr>
            <w:cnfStyle w:val="001000000000" w:firstRow="0" w:lastRow="0" w:firstColumn="1" w:lastColumn="0" w:oddVBand="0" w:evenVBand="0" w:oddHBand="0" w:evenHBand="0" w:firstRowFirstColumn="0" w:firstRowLastColumn="0" w:lastRowFirstColumn="0" w:lastRowLastColumn="0"/>
            <w:tcW w:w="6787" w:type="dxa"/>
            <w:noWrap/>
            <w:hideMark/>
          </w:tcPr>
          <w:p w14:paraId="2432ED06" w14:textId="77777777" w:rsidR="003A3F4B" w:rsidRPr="00DE058F" w:rsidRDefault="003A3F4B" w:rsidP="00C91F83">
            <w:pPr>
              <w:spacing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Укупан пакет мера</w:t>
            </w:r>
          </w:p>
        </w:tc>
        <w:tc>
          <w:tcPr>
            <w:tcW w:w="914" w:type="dxa"/>
            <w:noWrap/>
            <w:vAlign w:val="center"/>
            <w:hideMark/>
          </w:tcPr>
          <w:p w14:paraId="50BBD4BF"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985,9</w:t>
            </w:r>
          </w:p>
        </w:tc>
        <w:tc>
          <w:tcPr>
            <w:tcW w:w="915" w:type="dxa"/>
            <w:noWrap/>
            <w:vAlign w:val="center"/>
            <w:hideMark/>
          </w:tcPr>
          <w:p w14:paraId="50DD8DDC"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17,3</w:t>
            </w:r>
          </w:p>
        </w:tc>
        <w:tc>
          <w:tcPr>
            <w:tcW w:w="914" w:type="dxa"/>
            <w:noWrap/>
            <w:vAlign w:val="center"/>
            <w:hideMark/>
          </w:tcPr>
          <w:p w14:paraId="5E980F08"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808,1</w:t>
            </w:r>
          </w:p>
        </w:tc>
        <w:tc>
          <w:tcPr>
            <w:tcW w:w="915" w:type="dxa"/>
            <w:noWrap/>
            <w:vAlign w:val="center"/>
            <w:hideMark/>
          </w:tcPr>
          <w:p w14:paraId="0A858525"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14,3</w:t>
            </w:r>
          </w:p>
        </w:tc>
      </w:tr>
      <w:tr w:rsidR="003A3F4B" w:rsidRPr="00DE058F" w14:paraId="7FAA57D2" w14:textId="77777777" w:rsidTr="00F967BE">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6787" w:type="dxa"/>
            <w:noWrap/>
            <w:hideMark/>
          </w:tcPr>
          <w:p w14:paraId="3644A4F8" w14:textId="77777777" w:rsidR="003A3F4B" w:rsidRPr="00DE058F" w:rsidRDefault="003A3F4B" w:rsidP="00C91F83">
            <w:pPr>
              <w:spacing w:line="276" w:lineRule="auto"/>
              <w:rPr>
                <w:rFonts w:eastAsia="MS PGothic" w:cstheme="minorHAnsi"/>
                <w:b w:val="0"/>
                <w:color w:val="002060"/>
                <w:sz w:val="18"/>
                <w:szCs w:val="18"/>
                <w:lang w:val="sr-Cyrl-CS" w:eastAsia="ja-JP"/>
              </w:rPr>
            </w:pPr>
            <w:r w:rsidRPr="00DE058F">
              <w:rPr>
                <w:rFonts w:eastAsia="MS PGothic" w:cstheme="minorHAnsi"/>
                <w:b w:val="0"/>
                <w:color w:val="002060"/>
                <w:sz w:val="18"/>
                <w:szCs w:val="18"/>
                <w:lang w:val="sr-Cyrl-CS" w:eastAsia="ja-JP"/>
              </w:rPr>
              <w:t>Остали трошкови везани за COVID-19 (медицинска опрема и лекови)</w:t>
            </w:r>
          </w:p>
        </w:tc>
        <w:tc>
          <w:tcPr>
            <w:tcW w:w="914" w:type="dxa"/>
            <w:noWrap/>
            <w:vAlign w:val="center"/>
            <w:hideMark/>
          </w:tcPr>
          <w:p w14:paraId="027980EF"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w:t>
            </w:r>
          </w:p>
        </w:tc>
        <w:tc>
          <w:tcPr>
            <w:tcW w:w="915" w:type="dxa"/>
            <w:noWrap/>
            <w:vAlign w:val="center"/>
            <w:hideMark/>
          </w:tcPr>
          <w:p w14:paraId="0A540534"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w:t>
            </w:r>
          </w:p>
        </w:tc>
        <w:tc>
          <w:tcPr>
            <w:tcW w:w="914" w:type="dxa"/>
            <w:noWrap/>
            <w:vAlign w:val="center"/>
            <w:hideMark/>
          </w:tcPr>
          <w:p w14:paraId="54584E18"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72</w:t>
            </w:r>
          </w:p>
        </w:tc>
        <w:tc>
          <w:tcPr>
            <w:tcW w:w="915" w:type="dxa"/>
            <w:noWrap/>
            <w:vAlign w:val="center"/>
            <w:hideMark/>
          </w:tcPr>
          <w:p w14:paraId="5AB8D403"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1,3</w:t>
            </w:r>
          </w:p>
        </w:tc>
      </w:tr>
      <w:tr w:rsidR="003A3F4B" w:rsidRPr="00DE058F" w14:paraId="5E22C016" w14:textId="77777777" w:rsidTr="00F967BE">
        <w:trPr>
          <w:trHeight w:val="22"/>
          <w:jc w:val="center"/>
        </w:trPr>
        <w:tc>
          <w:tcPr>
            <w:cnfStyle w:val="001000000000" w:firstRow="0" w:lastRow="0" w:firstColumn="1" w:lastColumn="0" w:oddVBand="0" w:evenVBand="0" w:oddHBand="0" w:evenHBand="0" w:firstRowFirstColumn="0" w:firstRowLastColumn="0" w:lastRowFirstColumn="0" w:lastRowLastColumn="0"/>
            <w:tcW w:w="6787" w:type="dxa"/>
            <w:noWrap/>
            <w:hideMark/>
          </w:tcPr>
          <w:p w14:paraId="44F8003C" w14:textId="77777777" w:rsidR="003A3F4B" w:rsidRPr="00DE058F" w:rsidRDefault="003A3F4B" w:rsidP="00C91F83">
            <w:pPr>
              <w:spacing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 xml:space="preserve">Укупни трошкови везани за COVID-19 </w:t>
            </w:r>
          </w:p>
        </w:tc>
        <w:tc>
          <w:tcPr>
            <w:tcW w:w="914" w:type="dxa"/>
            <w:noWrap/>
            <w:vAlign w:val="center"/>
            <w:hideMark/>
          </w:tcPr>
          <w:p w14:paraId="792DDBD4"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Cs/>
                <w:color w:val="002060"/>
                <w:sz w:val="18"/>
                <w:szCs w:val="18"/>
                <w:lang w:val="sr-Cyrl-CS" w:eastAsia="ja-JP"/>
              </w:rPr>
            </w:pPr>
            <w:r w:rsidRPr="00DE058F">
              <w:rPr>
                <w:rFonts w:eastAsia="MS PGothic" w:cstheme="minorHAnsi"/>
                <w:b/>
                <w:bCs/>
                <w:color w:val="002060"/>
                <w:sz w:val="18"/>
                <w:szCs w:val="18"/>
                <w:lang w:val="sr-Cyrl-CS" w:eastAsia="ja-JP"/>
              </w:rPr>
              <w:t>985,9</w:t>
            </w:r>
          </w:p>
        </w:tc>
        <w:tc>
          <w:tcPr>
            <w:tcW w:w="915" w:type="dxa"/>
            <w:noWrap/>
            <w:vAlign w:val="center"/>
            <w:hideMark/>
          </w:tcPr>
          <w:p w14:paraId="6F5752A4"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Cs/>
                <w:color w:val="002060"/>
                <w:sz w:val="18"/>
                <w:szCs w:val="18"/>
                <w:lang w:val="sr-Cyrl-CS" w:eastAsia="ja-JP"/>
              </w:rPr>
            </w:pPr>
            <w:r w:rsidRPr="00DE058F">
              <w:rPr>
                <w:rFonts w:eastAsia="MS PGothic" w:cstheme="minorHAnsi"/>
                <w:b/>
                <w:bCs/>
                <w:color w:val="002060"/>
                <w:sz w:val="18"/>
                <w:szCs w:val="18"/>
                <w:lang w:val="sr-Cyrl-CS" w:eastAsia="ja-JP"/>
              </w:rPr>
              <w:t>17,3</w:t>
            </w:r>
          </w:p>
        </w:tc>
        <w:tc>
          <w:tcPr>
            <w:tcW w:w="914" w:type="dxa"/>
            <w:noWrap/>
            <w:vAlign w:val="center"/>
            <w:hideMark/>
          </w:tcPr>
          <w:p w14:paraId="040A5CE3"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Cs/>
                <w:color w:val="002060"/>
                <w:sz w:val="18"/>
                <w:szCs w:val="18"/>
                <w:lang w:val="sr-Cyrl-CS" w:eastAsia="ja-JP"/>
              </w:rPr>
            </w:pPr>
            <w:r w:rsidRPr="00DE058F">
              <w:rPr>
                <w:rFonts w:eastAsia="MS PGothic" w:cstheme="minorHAnsi"/>
                <w:b/>
                <w:bCs/>
                <w:color w:val="002060"/>
                <w:sz w:val="18"/>
                <w:szCs w:val="18"/>
                <w:lang w:val="sr-Cyrl-CS" w:eastAsia="ja-JP"/>
              </w:rPr>
              <w:t>880,1</w:t>
            </w:r>
          </w:p>
        </w:tc>
        <w:tc>
          <w:tcPr>
            <w:tcW w:w="915" w:type="dxa"/>
            <w:noWrap/>
            <w:vAlign w:val="center"/>
            <w:hideMark/>
          </w:tcPr>
          <w:p w14:paraId="1C9A14F5" w14:textId="77777777" w:rsidR="003A3F4B" w:rsidRPr="00DE058F" w:rsidRDefault="003A3F4B" w:rsidP="00C91F83">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Cs/>
                <w:color w:val="002060"/>
                <w:sz w:val="18"/>
                <w:szCs w:val="18"/>
                <w:lang w:val="sr-Cyrl-CS" w:eastAsia="ja-JP"/>
              </w:rPr>
            </w:pPr>
            <w:r w:rsidRPr="00DE058F">
              <w:rPr>
                <w:rFonts w:eastAsia="MS PGothic" w:cstheme="minorHAnsi"/>
                <w:b/>
                <w:bCs/>
                <w:color w:val="002060"/>
                <w:sz w:val="18"/>
                <w:szCs w:val="18"/>
                <w:lang w:val="sr-Cyrl-CS" w:eastAsia="ja-JP"/>
              </w:rPr>
              <w:t>15,6</w:t>
            </w:r>
          </w:p>
        </w:tc>
      </w:tr>
      <w:tr w:rsidR="003A3F4B" w:rsidRPr="00DE058F" w14:paraId="30ED668E" w14:textId="77777777" w:rsidTr="00F967BE">
        <w:trPr>
          <w:cnfStyle w:val="000000100000" w:firstRow="0" w:lastRow="0" w:firstColumn="0" w:lastColumn="0" w:oddVBand="0" w:evenVBand="0" w:oddHBand="1" w:evenHBand="0" w:firstRowFirstColumn="0" w:firstRowLastColumn="0" w:lastRowFirstColumn="0" w:lastRowLastColumn="0"/>
          <w:trHeight w:val="22"/>
          <w:jc w:val="center"/>
        </w:trPr>
        <w:tc>
          <w:tcPr>
            <w:cnfStyle w:val="001000000000" w:firstRow="0" w:lastRow="0" w:firstColumn="1" w:lastColumn="0" w:oddVBand="0" w:evenVBand="0" w:oddHBand="0" w:evenHBand="0" w:firstRowFirstColumn="0" w:firstRowLastColumn="0" w:lastRowFirstColumn="0" w:lastRowLastColumn="0"/>
            <w:tcW w:w="6787" w:type="dxa"/>
            <w:noWrap/>
          </w:tcPr>
          <w:p w14:paraId="762FF7F6" w14:textId="77777777" w:rsidR="003A3F4B" w:rsidRPr="00DE058F" w:rsidRDefault="003A3F4B" w:rsidP="00C91F83">
            <w:pPr>
              <w:spacing w:line="276" w:lineRule="auto"/>
              <w:rPr>
                <w:rFonts w:eastAsia="MS PGothic" w:cstheme="minorHAnsi"/>
                <w:color w:val="002060"/>
                <w:szCs w:val="20"/>
                <w:lang w:val="sr-Cyrl-CS" w:eastAsia="ja-JP"/>
              </w:rPr>
            </w:pPr>
          </w:p>
        </w:tc>
        <w:tc>
          <w:tcPr>
            <w:tcW w:w="914" w:type="dxa"/>
            <w:noWrap/>
            <w:vAlign w:val="bottom"/>
          </w:tcPr>
          <w:p w14:paraId="29488EC1"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bCs/>
                <w:color w:val="002060"/>
                <w:szCs w:val="20"/>
                <w:lang w:val="sr-Cyrl-CS" w:eastAsia="ja-JP"/>
              </w:rPr>
            </w:pPr>
          </w:p>
        </w:tc>
        <w:tc>
          <w:tcPr>
            <w:tcW w:w="915" w:type="dxa"/>
            <w:noWrap/>
            <w:vAlign w:val="bottom"/>
          </w:tcPr>
          <w:p w14:paraId="5F995BA7"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bCs/>
                <w:color w:val="002060"/>
                <w:szCs w:val="20"/>
                <w:lang w:val="sr-Cyrl-CS" w:eastAsia="ja-JP"/>
              </w:rPr>
            </w:pPr>
          </w:p>
        </w:tc>
        <w:tc>
          <w:tcPr>
            <w:tcW w:w="914" w:type="dxa"/>
            <w:noWrap/>
            <w:vAlign w:val="bottom"/>
          </w:tcPr>
          <w:p w14:paraId="195DF1D5"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bCs/>
                <w:color w:val="002060"/>
                <w:szCs w:val="20"/>
                <w:lang w:val="sr-Cyrl-CS" w:eastAsia="ja-JP"/>
              </w:rPr>
            </w:pPr>
          </w:p>
        </w:tc>
        <w:tc>
          <w:tcPr>
            <w:tcW w:w="915" w:type="dxa"/>
            <w:noWrap/>
            <w:vAlign w:val="bottom"/>
          </w:tcPr>
          <w:p w14:paraId="44133BE4" w14:textId="77777777" w:rsidR="003A3F4B" w:rsidRPr="00DE058F" w:rsidRDefault="003A3F4B" w:rsidP="00C91F83">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bCs/>
                <w:color w:val="002060"/>
                <w:szCs w:val="20"/>
                <w:lang w:val="sr-Cyrl-CS" w:eastAsia="ja-JP"/>
              </w:rPr>
            </w:pPr>
          </w:p>
        </w:tc>
      </w:tr>
    </w:tbl>
    <w:p w14:paraId="1E842F6D" w14:textId="77777777" w:rsidR="003A3F4B" w:rsidRPr="00DE058F" w:rsidRDefault="003A3F4B" w:rsidP="00E4657F">
      <w:pPr>
        <w:spacing w:line="276" w:lineRule="auto"/>
        <w:rPr>
          <w:rFonts w:cstheme="minorHAnsi"/>
          <w:bCs/>
          <w:szCs w:val="72"/>
          <w:lang w:val="sr-Cyrl-CS"/>
        </w:rPr>
      </w:pPr>
    </w:p>
    <w:p w14:paraId="501C3A45" w14:textId="77777777" w:rsidR="003A3F4B" w:rsidRPr="00DE058F" w:rsidRDefault="003A3F4B" w:rsidP="00C91F83">
      <w:pPr>
        <w:spacing w:after="0"/>
        <w:rPr>
          <w:rFonts w:cstheme="minorHAnsi"/>
          <w:bCs/>
          <w:szCs w:val="72"/>
          <w:lang w:val="sr-Cyrl-CS"/>
        </w:rPr>
        <w:sectPr w:rsidR="003A3F4B" w:rsidRPr="00DE058F" w:rsidSect="00C91F83">
          <w:type w:val="continuous"/>
          <w:pgSz w:w="12240" w:h="15840"/>
          <w:pgMar w:top="1440" w:right="1440" w:bottom="1440" w:left="1440" w:header="720" w:footer="720" w:gutter="0"/>
          <w:cols w:space="720"/>
          <w:docGrid w:linePitch="360"/>
        </w:sectPr>
      </w:pPr>
    </w:p>
    <w:bookmarkEnd w:id="23"/>
    <w:bookmarkEnd w:id="24"/>
    <w:bookmarkEnd w:id="25"/>
    <w:bookmarkEnd w:id="26"/>
    <w:bookmarkEnd w:id="27"/>
    <w:bookmarkEnd w:id="28"/>
    <w:bookmarkEnd w:id="29"/>
    <w:p w14:paraId="65F44274" w14:textId="77777777" w:rsidR="003A3F4B" w:rsidRPr="00DE058F" w:rsidRDefault="003A3F4B" w:rsidP="00F967BE">
      <w:pPr>
        <w:rPr>
          <w:lang w:val="sr-Cyrl-CS" w:eastAsia="ja-JP"/>
        </w:rPr>
      </w:pPr>
    </w:p>
    <w:p w14:paraId="694D612B" w14:textId="4E454D7C" w:rsidR="007B5F3B" w:rsidRPr="00DE058F" w:rsidRDefault="007B5F3B">
      <w:pPr>
        <w:jc w:val="left"/>
        <w:rPr>
          <w:lang w:val="sr-Cyrl-CS"/>
        </w:rPr>
      </w:pPr>
      <w:r w:rsidRPr="00DE058F">
        <w:rPr>
          <w:lang w:val="sr-Cyrl-CS"/>
        </w:rPr>
        <w:br w:type="page"/>
      </w:r>
    </w:p>
    <w:p w14:paraId="35C6AEA4" w14:textId="77777777" w:rsidR="00E124CF" w:rsidRPr="00DE058F" w:rsidRDefault="00E124CF" w:rsidP="00E124CF">
      <w:pPr>
        <w:rPr>
          <w:lang w:val="sr-Cyrl-CS" w:eastAsia="ja-JP"/>
        </w:rPr>
        <w:sectPr w:rsidR="00E124CF" w:rsidRPr="00DE058F" w:rsidSect="00AE40EB">
          <w:headerReference w:type="even" r:id="rId98"/>
          <w:headerReference w:type="default" r:id="rId99"/>
          <w:footerReference w:type="even" r:id="rId100"/>
          <w:footerReference w:type="default" r:id="rId101"/>
          <w:headerReference w:type="first" r:id="rId102"/>
          <w:type w:val="continuous"/>
          <w:pgSz w:w="12240" w:h="15840" w:code="1"/>
          <w:pgMar w:top="1440" w:right="1440" w:bottom="1440" w:left="1440" w:header="720" w:footer="720" w:gutter="0"/>
          <w:cols w:num="2" w:space="720"/>
          <w:docGrid w:linePitch="360"/>
          <w15:footnoteColumns w:val="1"/>
        </w:sectPr>
      </w:pPr>
      <w:bookmarkStart w:id="31" w:name="_Toc11155993"/>
    </w:p>
    <w:p w14:paraId="22269DE0" w14:textId="77777777" w:rsidR="00E124CF" w:rsidRPr="00DE058F" w:rsidRDefault="00E124CF" w:rsidP="00E124CF">
      <w:pPr>
        <w:keepNext/>
        <w:keepLines/>
        <w:spacing w:after="120"/>
        <w:jc w:val="center"/>
        <w:outlineLvl w:val="1"/>
        <w:rPr>
          <w:rFonts w:eastAsia="MS PGothic" w:cstheme="minorHAnsi"/>
          <w:b/>
          <w:color w:val="2F5496" w:themeColor="accent1" w:themeShade="BF"/>
          <w:sz w:val="24"/>
          <w:szCs w:val="26"/>
          <w:lang w:val="sr-Cyrl-CS" w:eastAsia="ja-JP"/>
        </w:rPr>
        <w:sectPr w:rsidR="00E124CF" w:rsidRPr="00DE058F" w:rsidSect="00E124CF">
          <w:type w:val="continuous"/>
          <w:pgSz w:w="12240" w:h="15840" w:code="1"/>
          <w:pgMar w:top="1440" w:right="1440" w:bottom="1440" w:left="1440" w:header="720" w:footer="720" w:gutter="0"/>
          <w:cols w:space="720"/>
          <w:docGrid w:linePitch="360"/>
        </w:sectPr>
      </w:pPr>
      <w:bookmarkStart w:id="32" w:name="_Toc73364969"/>
      <w:bookmarkStart w:id="33" w:name="_Toc104899607"/>
      <w:r w:rsidRPr="00DE058F">
        <w:rPr>
          <w:rFonts w:eastAsia="MS PGothic" w:cstheme="minorHAnsi"/>
          <w:b/>
          <w:color w:val="2F5496" w:themeColor="accent1" w:themeShade="BF"/>
          <w:sz w:val="24"/>
          <w:szCs w:val="26"/>
          <w:lang w:val="sr-Cyrl-CS" w:eastAsia="ja-JP"/>
        </w:rPr>
        <w:lastRenderedPageBreak/>
        <w:t>3. Текућа фискална кретања и изгледи за 2022. годину</w:t>
      </w:r>
      <w:bookmarkEnd w:id="32"/>
      <w:bookmarkEnd w:id="33"/>
    </w:p>
    <w:p w14:paraId="3E835B1D" w14:textId="77777777" w:rsidR="00E124CF" w:rsidRPr="00DE058F" w:rsidRDefault="00E124CF" w:rsidP="00E124CF">
      <w:pPr>
        <w:spacing w:after="120"/>
        <w:rPr>
          <w:rFonts w:eastAsia="MS PGothic" w:cstheme="minorHAnsi"/>
          <w:szCs w:val="20"/>
          <w:lang w:val="sr-Cyrl-CS" w:eastAsia="ja-JP"/>
        </w:rPr>
      </w:pPr>
      <w:r w:rsidRPr="00DE058F">
        <w:rPr>
          <w:rFonts w:eastAsia="MS PGothic" w:cstheme="minorHAnsi"/>
          <w:szCs w:val="20"/>
          <w:lang w:val="sr-Cyrl-CS" w:eastAsia="ja-JP"/>
        </w:rPr>
        <w:t>Фискални дефицит опште државе у 2022. години, према последњим проценама, износиће 3% БДП, што је на нивоу планираног буџетом за текућу годину. Иако није дошло до промена у висини планираног резултата, знатне су промене у висини и структури приходне и расходне стране. Најважнији фактори измене приходне и расходне стране биланса опште државе у текућој години су :</w:t>
      </w:r>
    </w:p>
    <w:p w14:paraId="504B3EFA" w14:textId="77777777" w:rsidR="00E124CF" w:rsidRPr="00DE058F" w:rsidRDefault="00E124CF" w:rsidP="00DB0157">
      <w:pPr>
        <w:numPr>
          <w:ilvl w:val="0"/>
          <w:numId w:val="15"/>
        </w:numPr>
        <w:spacing w:after="120"/>
        <w:ind w:left="567"/>
        <w:contextualSpacing/>
        <w:rPr>
          <w:rFonts w:eastAsia="MS PGothic" w:cstheme="minorHAnsi"/>
          <w:szCs w:val="20"/>
          <w:lang w:val="sr-Cyrl-CS" w:eastAsia="ja-JP"/>
        </w:rPr>
      </w:pPr>
      <w:r w:rsidRPr="00DE058F">
        <w:rPr>
          <w:rFonts w:eastAsia="MS PGothic" w:cstheme="minorHAnsi"/>
          <w:szCs w:val="20"/>
          <w:lang w:val="sr-Cyrl-CS" w:eastAsia="ja-JP"/>
        </w:rPr>
        <w:t>значајна ревизија пројекције прихода опште државе;</w:t>
      </w:r>
    </w:p>
    <w:p w14:paraId="71BBD5AF" w14:textId="77777777" w:rsidR="00E124CF" w:rsidRPr="00DE058F" w:rsidRDefault="00E124CF" w:rsidP="00DB0157">
      <w:pPr>
        <w:numPr>
          <w:ilvl w:val="0"/>
          <w:numId w:val="15"/>
        </w:numPr>
        <w:spacing w:after="120"/>
        <w:ind w:left="567"/>
        <w:contextualSpacing/>
        <w:rPr>
          <w:rFonts w:eastAsia="MS PGothic" w:cstheme="minorHAnsi"/>
          <w:szCs w:val="20"/>
          <w:lang w:val="sr-Cyrl-CS" w:eastAsia="ja-JP"/>
        </w:rPr>
      </w:pPr>
      <w:r w:rsidRPr="00DE058F">
        <w:rPr>
          <w:rFonts w:eastAsia="MS PGothic" w:cstheme="minorHAnsi"/>
          <w:szCs w:val="20"/>
          <w:lang w:val="sr-Cyrl-CS" w:eastAsia="ja-JP"/>
        </w:rPr>
        <w:t>додатна помоћ одређеним категоријама становништва;</w:t>
      </w:r>
    </w:p>
    <w:p w14:paraId="4E0184BF" w14:textId="77777777" w:rsidR="00E124CF" w:rsidRPr="00DE058F" w:rsidRDefault="00E124CF" w:rsidP="00DB0157">
      <w:pPr>
        <w:numPr>
          <w:ilvl w:val="0"/>
          <w:numId w:val="16"/>
        </w:numPr>
        <w:spacing w:after="120"/>
        <w:ind w:left="567"/>
        <w:contextualSpacing/>
        <w:rPr>
          <w:rFonts w:eastAsia="MS PGothic" w:cstheme="minorHAnsi"/>
          <w:szCs w:val="20"/>
          <w:lang w:val="sr-Cyrl-CS" w:eastAsia="ja-JP"/>
        </w:rPr>
      </w:pPr>
      <w:r w:rsidRPr="00DE058F">
        <w:rPr>
          <w:rFonts w:eastAsia="MS PGothic" w:cstheme="minorHAnsi"/>
          <w:szCs w:val="20"/>
          <w:lang w:val="sr-Cyrl-CS" w:eastAsia="ja-JP"/>
        </w:rPr>
        <w:t>обезбеђивање додатних средстава за здравствену заштиту становништва;</w:t>
      </w:r>
    </w:p>
    <w:p w14:paraId="2B4E7C10" w14:textId="77777777" w:rsidR="00E124CF" w:rsidRPr="00DE058F" w:rsidRDefault="00E124CF" w:rsidP="00DB0157">
      <w:pPr>
        <w:numPr>
          <w:ilvl w:val="0"/>
          <w:numId w:val="16"/>
        </w:numPr>
        <w:spacing w:after="120"/>
        <w:ind w:left="567"/>
        <w:contextualSpacing/>
        <w:rPr>
          <w:rFonts w:eastAsia="MS PGothic" w:cstheme="minorHAnsi"/>
          <w:szCs w:val="20"/>
          <w:lang w:val="sr-Cyrl-CS" w:eastAsia="ja-JP"/>
        </w:rPr>
      </w:pPr>
      <w:r w:rsidRPr="00DE058F">
        <w:rPr>
          <w:rFonts w:eastAsia="MS PGothic" w:cstheme="minorHAnsi"/>
          <w:szCs w:val="20"/>
          <w:lang w:val="sr-Cyrl-CS" w:eastAsia="ja-JP"/>
        </w:rPr>
        <w:t>примена нових мера популационе политике;</w:t>
      </w:r>
    </w:p>
    <w:p w14:paraId="7CFA4222" w14:textId="5CB78AE0" w:rsidR="00E124CF" w:rsidRPr="00DE058F" w:rsidRDefault="00E124CF" w:rsidP="00DB0157">
      <w:pPr>
        <w:numPr>
          <w:ilvl w:val="0"/>
          <w:numId w:val="16"/>
        </w:numPr>
        <w:spacing w:after="120"/>
        <w:ind w:left="567"/>
        <w:contextualSpacing/>
        <w:rPr>
          <w:rFonts w:eastAsia="MS PGothic" w:cstheme="minorHAnsi"/>
          <w:szCs w:val="20"/>
          <w:lang w:val="sr-Cyrl-CS" w:eastAsia="ja-JP"/>
        </w:rPr>
      </w:pPr>
      <w:r w:rsidRPr="00DE058F">
        <w:rPr>
          <w:rFonts w:eastAsia="MS PGothic" w:cstheme="minorHAnsi"/>
          <w:szCs w:val="20"/>
          <w:lang w:val="sr-Cyrl-CS" w:eastAsia="ja-JP"/>
        </w:rPr>
        <w:t>увећани расходи за ублажавање енергетске кризе и набавку енергената</w:t>
      </w:r>
      <w:r w:rsidR="00B73348" w:rsidRPr="00DE058F">
        <w:rPr>
          <w:rFonts w:eastAsia="MS PGothic" w:cstheme="minorHAnsi"/>
          <w:szCs w:val="20"/>
          <w:lang w:val="sr-Cyrl-CS" w:eastAsia="ja-JP"/>
        </w:rPr>
        <w:t xml:space="preserve"> и подстицај</w:t>
      </w:r>
      <w:r w:rsidR="00A25F3C" w:rsidRPr="00DE058F">
        <w:rPr>
          <w:rFonts w:eastAsia="MS PGothic" w:cstheme="minorHAnsi"/>
          <w:szCs w:val="20"/>
          <w:lang w:val="sr-Cyrl-CS" w:eastAsia="ja-JP"/>
        </w:rPr>
        <w:t>и</w:t>
      </w:r>
      <w:r w:rsidR="00B73348" w:rsidRPr="00DE058F">
        <w:rPr>
          <w:rFonts w:eastAsia="MS PGothic" w:cstheme="minorHAnsi"/>
          <w:szCs w:val="20"/>
          <w:lang w:val="sr-Cyrl-CS" w:eastAsia="ja-JP"/>
        </w:rPr>
        <w:t xml:space="preserve"> за повећање енергетске ефикасности у јавним зградама и стамбеном сектору</w:t>
      </w:r>
      <w:r w:rsidRPr="00DE058F">
        <w:rPr>
          <w:rFonts w:eastAsia="MS PGothic" w:cstheme="minorHAnsi"/>
          <w:szCs w:val="20"/>
          <w:lang w:val="sr-Cyrl-CS" w:eastAsia="ja-JP"/>
        </w:rPr>
        <w:t>;</w:t>
      </w:r>
    </w:p>
    <w:p w14:paraId="27C807C4" w14:textId="77777777" w:rsidR="00E124CF" w:rsidRPr="00DE058F" w:rsidRDefault="00E124CF" w:rsidP="00DB0157">
      <w:pPr>
        <w:numPr>
          <w:ilvl w:val="0"/>
          <w:numId w:val="16"/>
        </w:numPr>
        <w:spacing w:after="120"/>
        <w:ind w:left="567"/>
        <w:contextualSpacing/>
        <w:rPr>
          <w:rFonts w:eastAsia="MS PGothic" w:cstheme="minorHAnsi"/>
          <w:szCs w:val="20"/>
          <w:lang w:val="sr-Cyrl-CS" w:eastAsia="ja-JP"/>
        </w:rPr>
      </w:pPr>
      <w:r w:rsidRPr="00DE058F">
        <w:rPr>
          <w:rFonts w:eastAsia="MS PGothic" w:cstheme="minorHAnsi"/>
          <w:szCs w:val="20"/>
          <w:lang w:val="sr-Cyrl-CS" w:eastAsia="ja-JP"/>
        </w:rPr>
        <w:t>стопа инфлације виша од оригинално планиране са истовременим утицајем и на висину прихода и расхода.</w:t>
      </w:r>
    </w:p>
    <w:p w14:paraId="3FDEB5F5" w14:textId="77777777" w:rsidR="00E124CF" w:rsidRPr="00DE058F" w:rsidRDefault="00E124CF" w:rsidP="00E124CF">
      <w:pPr>
        <w:spacing w:after="120"/>
        <w:rPr>
          <w:rFonts w:eastAsia="MS PGothic" w:cstheme="minorHAnsi"/>
          <w:szCs w:val="20"/>
          <w:lang w:val="sr-Cyrl-CS" w:eastAsia="ja-JP"/>
        </w:rPr>
      </w:pPr>
      <w:r w:rsidRPr="00DE058F">
        <w:rPr>
          <w:rFonts w:eastAsia="MS PGothic" w:cstheme="minorHAnsi"/>
          <w:szCs w:val="20"/>
          <w:lang w:val="sr-Cyrl-CS" w:eastAsia="ja-JP"/>
        </w:rPr>
        <w:t>Процењује се да ће учешће јавног дуга у БДП, на крају 2022. године опасти на 54,6%. У наредном периоду се очекује да ће услед планираног кретања фискалног резултата у средњем року, путања јавног дуга бити континуирано опадајућа.</w:t>
      </w:r>
    </w:p>
    <w:p w14:paraId="5DF743FB" w14:textId="77777777" w:rsidR="00E124CF" w:rsidRPr="00DE058F" w:rsidRDefault="00E124CF" w:rsidP="001D5B47">
      <w:pPr>
        <w:spacing w:after="120"/>
        <w:jc w:val="center"/>
        <w:rPr>
          <w:rFonts w:eastAsia="MS PGothic" w:cstheme="minorHAnsi"/>
          <w:szCs w:val="20"/>
          <w:lang w:val="sr-Cyrl-CS" w:eastAsia="ja-JP"/>
        </w:rPr>
      </w:pPr>
      <w:r w:rsidRPr="00DE058F">
        <w:rPr>
          <w:rFonts w:cstheme="minorHAnsi"/>
          <w:b/>
          <w:color w:val="002060"/>
          <w:lang w:val="sr-Cyrl-CS"/>
        </w:rPr>
        <w:t>Фискални резултат опште државе у периоду од 2015. до 2022. године, % БДП</w:t>
      </w:r>
    </w:p>
    <w:p w14:paraId="71F7D510" w14:textId="77777777" w:rsidR="00E124CF" w:rsidRPr="00DE058F" w:rsidRDefault="00E124CF" w:rsidP="00E124CF">
      <w:pPr>
        <w:spacing w:after="0" w:line="276" w:lineRule="auto"/>
        <w:jc w:val="center"/>
        <w:rPr>
          <w:lang w:val="sr-Cyrl-CS"/>
        </w:rPr>
      </w:pPr>
      <w:r w:rsidRPr="00DE058F">
        <w:rPr>
          <w:noProof/>
        </w:rPr>
        <w:drawing>
          <wp:inline distT="0" distB="0" distL="0" distR="0" wp14:anchorId="4099A1FC" wp14:editId="4F30B15D">
            <wp:extent cx="2743200" cy="1714500"/>
            <wp:effectExtent l="0" t="0" r="0" b="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4BB5C1B2" w14:textId="77777777" w:rsidR="00E124CF" w:rsidRPr="00DE058F" w:rsidRDefault="00E124CF" w:rsidP="00E124CF">
      <w:pPr>
        <w:spacing w:after="0" w:line="240" w:lineRule="auto"/>
        <w:rPr>
          <w:rFonts w:cstheme="minorHAnsi"/>
          <w:bCs/>
          <w:sz w:val="16"/>
          <w:szCs w:val="72"/>
          <w:lang w:val="sr-Cyrl-CS"/>
        </w:rPr>
      </w:pPr>
      <w:r w:rsidRPr="00DE058F">
        <w:rPr>
          <w:rFonts w:cstheme="minorHAnsi"/>
          <w:bCs/>
          <w:sz w:val="16"/>
          <w:szCs w:val="72"/>
          <w:lang w:val="sr-Cyrl-CS"/>
        </w:rPr>
        <w:t>Извор: Министарство финансија</w:t>
      </w:r>
    </w:p>
    <w:p w14:paraId="16D49F4F" w14:textId="77777777" w:rsidR="00E124CF" w:rsidRPr="00DE058F" w:rsidRDefault="00E124CF" w:rsidP="00E124CF">
      <w:pPr>
        <w:spacing w:after="0" w:line="240" w:lineRule="auto"/>
        <w:rPr>
          <w:rFonts w:cstheme="minorHAnsi"/>
          <w:bCs/>
          <w:sz w:val="16"/>
          <w:szCs w:val="72"/>
          <w:lang w:val="sr-Cyrl-CS"/>
        </w:rPr>
      </w:pPr>
    </w:p>
    <w:p w14:paraId="75F064C6" w14:textId="77777777" w:rsidR="00E124CF" w:rsidRPr="00DE058F" w:rsidRDefault="00E124CF" w:rsidP="00E124CF">
      <w:pPr>
        <w:spacing w:after="120"/>
        <w:rPr>
          <w:rFonts w:eastAsia="MS PGothic" w:cstheme="minorHAnsi"/>
          <w:szCs w:val="20"/>
          <w:lang w:val="sr-Cyrl-CS" w:eastAsia="ja-JP"/>
        </w:rPr>
      </w:pPr>
      <w:r w:rsidRPr="00DE058F">
        <w:rPr>
          <w:rFonts w:eastAsia="MS PGothic" w:cstheme="minorHAnsi"/>
          <w:szCs w:val="20"/>
          <w:lang w:val="sr-Cyrl-CS" w:eastAsia="ja-JP"/>
        </w:rPr>
        <w:t xml:space="preserve">Пандемија изазвана коронавирусом током 2020. и 2021. године имала је изразито негативне здравствене, економске и шире друштвене последице, како у читавом свету, тако и у </w:t>
      </w:r>
      <w:r w:rsidRPr="00DE058F">
        <w:rPr>
          <w:rFonts w:eastAsia="MS PGothic" w:cstheme="minorHAnsi"/>
          <w:szCs w:val="20"/>
          <w:lang w:val="sr-Cyrl-CS" w:eastAsia="ja-JP"/>
        </w:rPr>
        <w:t>Републици Србији. Током ове две године реализовани су пакети мера економске подршке привреди и становништву за превазилажење кризе изазване пандемијом. Реализоване су мере у вредности од 15,6% БДП, чиме су значајно ублажени негативни ефекти кризе, забележен је мањи пад економске активности у поређењу са другим европским економијама, а избегнуте су и турбуленције на тржишту радне снаге.</w:t>
      </w:r>
    </w:p>
    <w:p w14:paraId="22570049" w14:textId="77777777" w:rsidR="00E124CF" w:rsidRPr="00DE058F" w:rsidRDefault="00E124CF" w:rsidP="00E124CF">
      <w:pPr>
        <w:spacing w:after="120"/>
        <w:rPr>
          <w:lang w:val="sr-Cyrl-CS"/>
        </w:rPr>
      </w:pPr>
      <w:r w:rsidRPr="00DE058F">
        <w:rPr>
          <w:rFonts w:eastAsia="MS PGothic" w:cstheme="minorHAnsi"/>
          <w:szCs w:val="20"/>
          <w:lang w:val="sr-Cyrl-CS" w:eastAsia="ja-JP"/>
        </w:rPr>
        <w:t xml:space="preserve">Крајем 2021. и почетком 2022. године долази до интензивног слабљења пандемије, као и негативних здравствених последица по становништво, добрим делом и услед процеса масовне вакцинације на глобалном нивоу. </w:t>
      </w:r>
      <w:r w:rsidRPr="00DE058F">
        <w:rPr>
          <w:lang w:val="sr-Cyrl-CS"/>
        </w:rPr>
        <w:t>Изласком из ове кризе очекивао се мирнији период који би омогућио економској, пре свега фискалној политици, довољно времена да се врати на одрживу путању. Међутим, престанком здравствене кризе нису нестале све негативне економске последице које је проузроковала. Убрзан раст цена подстакнут ранијом експанзивном глобалном монетарном и фискалном политиком, још увек нарушеним ланцима снабдевања и логистичким проблемима, постепен, па затим убрзан раст цена енергије само су неки од горућих проблема који пред креаторе економске политике постављају нове изазове. Сукоб у Украјини додатно је интензивирао постојеће и донео нове изазове посебно у сфери енергетике и прехрамбених производа. Транзиторни инфлаторни притисци постају перманентни, док започето пооштравање монетарне политике у свету додатно отежава могућности за финансирање растућих фискалних дефицита.</w:t>
      </w:r>
    </w:p>
    <w:p w14:paraId="7EB2A9D6" w14:textId="77777777" w:rsidR="00E124CF" w:rsidRPr="00DE058F" w:rsidRDefault="00E124CF" w:rsidP="00E124CF">
      <w:pPr>
        <w:spacing w:after="120"/>
        <w:rPr>
          <w:rFonts w:eastAsia="MS PGothic" w:cstheme="minorHAnsi"/>
          <w:szCs w:val="20"/>
          <w:lang w:val="sr-Cyrl-CS" w:eastAsia="ja-JP"/>
        </w:rPr>
        <w:sectPr w:rsidR="00E124CF" w:rsidRPr="00DE058F" w:rsidSect="00E124CF">
          <w:type w:val="continuous"/>
          <w:pgSz w:w="12240" w:h="15840" w:code="1"/>
          <w:pgMar w:top="1440" w:right="1440" w:bottom="1440" w:left="1440" w:header="720" w:footer="720" w:gutter="0"/>
          <w:cols w:num="2" w:space="720"/>
          <w:docGrid w:linePitch="360"/>
        </w:sectPr>
      </w:pPr>
      <w:r w:rsidRPr="00DE058F">
        <w:rPr>
          <w:lang w:val="sr-Cyrl-CS"/>
        </w:rPr>
        <w:t xml:space="preserve">Иновирани фискални оквир за 2022. годину рефлектује последице, али и одговоре на наведене изазове, при чему се нарочито водило рачуна о одрживости фискалне позиције. </w:t>
      </w:r>
      <w:r w:rsidRPr="00DE058F">
        <w:rPr>
          <w:rFonts w:eastAsia="MS PGothic" w:cstheme="minorHAnsi"/>
          <w:szCs w:val="20"/>
          <w:lang w:val="sr-Cyrl-CS" w:eastAsia="ja-JP"/>
        </w:rPr>
        <w:t xml:space="preserve">Фискални оквир за текућу годину предвиђа дефицит од 3% БДП. У односу на оригинално планиране, у овом тренутку је процена прихода повећана за 96,9 млрд динара. На страни расхода дошло је до повећања за 103,4 млрд динара, уз значајне промене у њиховој структури. </w:t>
      </w:r>
    </w:p>
    <w:p w14:paraId="272A7539" w14:textId="77777777" w:rsidR="00E124CF" w:rsidRPr="00DE058F" w:rsidRDefault="00E124CF" w:rsidP="00E124CF">
      <w:pPr>
        <w:spacing w:after="120" w:line="276" w:lineRule="auto"/>
        <w:rPr>
          <w:rFonts w:eastAsia="MS PGothic" w:cstheme="minorHAnsi"/>
          <w:szCs w:val="20"/>
          <w:lang w:val="sr-Cyrl-CS" w:eastAsia="ja-JP"/>
        </w:rPr>
        <w:sectPr w:rsidR="00E124CF" w:rsidRPr="00DE058F" w:rsidSect="00AE40EB">
          <w:type w:val="continuous"/>
          <w:pgSz w:w="12240" w:h="15840" w:code="1"/>
          <w:pgMar w:top="1440" w:right="1440" w:bottom="1440" w:left="1440" w:header="720" w:footer="720" w:gutter="0"/>
          <w:cols w:num="2" w:space="720"/>
          <w:docGrid w:linePitch="360"/>
        </w:sectPr>
      </w:pPr>
    </w:p>
    <w:p w14:paraId="22DFD690" w14:textId="007E59BF" w:rsidR="00E124CF" w:rsidRPr="00DE058F" w:rsidRDefault="00E124CF" w:rsidP="00E124CF">
      <w:pPr>
        <w:spacing w:after="120"/>
        <w:jc w:val="center"/>
        <w:rPr>
          <w:rFonts w:eastAsia="MS PGothic" w:cstheme="minorHAnsi"/>
          <w:b/>
          <w:color w:val="002060"/>
          <w:szCs w:val="20"/>
          <w:lang w:val="sr-Cyrl-CS" w:eastAsia="ja-JP"/>
        </w:rPr>
      </w:pPr>
      <w:r w:rsidRPr="00DE058F">
        <w:rPr>
          <w:rFonts w:eastAsia="MS PGothic" w:cstheme="minorHAnsi"/>
          <w:b/>
          <w:color w:val="002060"/>
          <w:szCs w:val="20"/>
          <w:lang w:val="sr-Cyrl-CS" w:eastAsia="ja-JP"/>
        </w:rPr>
        <w:lastRenderedPageBreak/>
        <w:t xml:space="preserve">Табела </w:t>
      </w:r>
      <w:r w:rsidR="00623E62" w:rsidRPr="00DE058F">
        <w:rPr>
          <w:rFonts w:eastAsia="MS PGothic" w:cstheme="minorHAnsi"/>
          <w:b/>
          <w:color w:val="002060"/>
          <w:szCs w:val="20"/>
          <w:lang w:val="sr-Cyrl-CS" w:eastAsia="ja-JP"/>
        </w:rPr>
        <w:t>6</w:t>
      </w:r>
      <w:r w:rsidRPr="00DE058F">
        <w:rPr>
          <w:rFonts w:eastAsia="MS PGothic" w:cstheme="minorHAnsi"/>
          <w:b/>
          <w:color w:val="002060"/>
          <w:szCs w:val="20"/>
          <w:lang w:val="sr-Cyrl-CS" w:eastAsia="ja-JP"/>
        </w:rPr>
        <w:t>. Приходи, расходи и резултат сектора државе у 2022. години, у млрд динара</w:t>
      </w:r>
    </w:p>
    <w:tbl>
      <w:tblPr>
        <w:tblW w:w="5079" w:type="pct"/>
        <w:jc w:val="center"/>
        <w:tblLook w:val="04A0" w:firstRow="1" w:lastRow="0" w:firstColumn="1" w:lastColumn="0" w:noHBand="0" w:noVBand="1"/>
      </w:tblPr>
      <w:tblGrid>
        <w:gridCol w:w="2758"/>
        <w:gridCol w:w="1350"/>
        <w:gridCol w:w="1350"/>
        <w:gridCol w:w="1350"/>
        <w:gridCol w:w="1350"/>
        <w:gridCol w:w="1350"/>
      </w:tblGrid>
      <w:tr w:rsidR="0004786A" w:rsidRPr="00DE058F" w14:paraId="55214433" w14:textId="77777777" w:rsidTr="0004786A">
        <w:trPr>
          <w:trHeight w:val="391"/>
          <w:tblHeader/>
          <w:jc w:val="center"/>
        </w:trPr>
        <w:tc>
          <w:tcPr>
            <w:tcW w:w="1450" w:type="pct"/>
            <w:tcBorders>
              <w:top w:val="single" w:sz="4" w:space="0" w:color="002060"/>
            </w:tcBorders>
            <w:shd w:val="clear" w:color="auto" w:fill="auto"/>
            <w:noWrap/>
            <w:vAlign w:val="center"/>
            <w:hideMark/>
          </w:tcPr>
          <w:p w14:paraId="00371767" w14:textId="77777777" w:rsidR="00E124CF" w:rsidRPr="00DE058F" w:rsidRDefault="00E124CF" w:rsidP="00E124CF">
            <w:pPr>
              <w:spacing w:after="0" w:line="240" w:lineRule="auto"/>
              <w:jc w:val="center"/>
              <w:rPr>
                <w:rFonts w:eastAsia="Times New Roman" w:cstheme="minorHAnsi"/>
                <w:bCs/>
                <w:color w:val="002060"/>
                <w:sz w:val="16"/>
                <w:szCs w:val="16"/>
                <w:lang w:val="sr-Cyrl-CS" w:eastAsia="sr-Cyrl-RS"/>
              </w:rPr>
            </w:pPr>
            <w:r w:rsidRPr="00DE058F">
              <w:rPr>
                <w:rFonts w:eastAsia="Times New Roman" w:cstheme="minorHAnsi"/>
                <w:bCs/>
                <w:color w:val="002060"/>
                <w:sz w:val="16"/>
                <w:szCs w:val="16"/>
                <w:lang w:val="sr-Cyrl-CS" w:eastAsia="sr-Cyrl-RS"/>
              </w:rPr>
              <w:t> </w:t>
            </w:r>
          </w:p>
        </w:tc>
        <w:tc>
          <w:tcPr>
            <w:tcW w:w="710" w:type="pct"/>
            <w:tcBorders>
              <w:top w:val="single" w:sz="4" w:space="0" w:color="002060"/>
              <w:bottom w:val="single" w:sz="4" w:space="0" w:color="002060"/>
            </w:tcBorders>
            <w:shd w:val="clear" w:color="auto" w:fill="auto"/>
            <w:vAlign w:val="center"/>
            <w:hideMark/>
          </w:tcPr>
          <w:p w14:paraId="5C8969A9" w14:textId="77777777" w:rsidR="00E124CF" w:rsidRPr="00DE058F" w:rsidRDefault="00E124CF" w:rsidP="00E124CF">
            <w:pPr>
              <w:spacing w:after="0" w:line="240" w:lineRule="auto"/>
              <w:jc w:val="center"/>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буџет 2022</w:t>
            </w:r>
          </w:p>
        </w:tc>
        <w:tc>
          <w:tcPr>
            <w:tcW w:w="710" w:type="pct"/>
            <w:tcBorders>
              <w:top w:val="single" w:sz="4" w:space="0" w:color="002060"/>
              <w:bottom w:val="single" w:sz="4" w:space="0" w:color="002060"/>
            </w:tcBorders>
            <w:shd w:val="clear" w:color="auto" w:fill="auto"/>
            <w:vAlign w:val="center"/>
            <w:hideMark/>
          </w:tcPr>
          <w:p w14:paraId="1EA76EC9" w14:textId="77777777" w:rsidR="00E124CF" w:rsidRPr="00DE058F" w:rsidRDefault="00E124CF" w:rsidP="00E124CF">
            <w:pPr>
              <w:spacing w:after="0" w:line="240" w:lineRule="auto"/>
              <w:jc w:val="center"/>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нова процена 2022</w:t>
            </w:r>
          </w:p>
        </w:tc>
        <w:tc>
          <w:tcPr>
            <w:tcW w:w="710" w:type="pct"/>
            <w:tcBorders>
              <w:top w:val="single" w:sz="4" w:space="0" w:color="002060"/>
              <w:bottom w:val="single" w:sz="4" w:space="0" w:color="002060"/>
            </w:tcBorders>
            <w:shd w:val="clear" w:color="auto" w:fill="auto"/>
            <w:vAlign w:val="center"/>
            <w:hideMark/>
          </w:tcPr>
          <w:p w14:paraId="1851D696" w14:textId="77777777" w:rsidR="00E124CF" w:rsidRPr="00DE058F" w:rsidRDefault="00E124CF" w:rsidP="00E124CF">
            <w:pPr>
              <w:spacing w:after="0" w:line="240" w:lineRule="auto"/>
              <w:jc w:val="center"/>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Разлика новa/буџет</w:t>
            </w:r>
          </w:p>
        </w:tc>
        <w:tc>
          <w:tcPr>
            <w:tcW w:w="710" w:type="pct"/>
            <w:tcBorders>
              <w:top w:val="single" w:sz="4" w:space="0" w:color="002060"/>
              <w:bottom w:val="single" w:sz="4" w:space="0" w:color="002060"/>
            </w:tcBorders>
            <w:shd w:val="clear" w:color="auto" w:fill="auto"/>
            <w:vAlign w:val="center"/>
            <w:hideMark/>
          </w:tcPr>
          <w:p w14:paraId="16A1E980" w14:textId="77777777" w:rsidR="00E124CF" w:rsidRPr="00DE058F" w:rsidRDefault="00E124CF" w:rsidP="00E124CF">
            <w:pPr>
              <w:spacing w:after="0" w:line="240" w:lineRule="auto"/>
              <w:jc w:val="center"/>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 промена</w:t>
            </w:r>
          </w:p>
        </w:tc>
        <w:tc>
          <w:tcPr>
            <w:tcW w:w="710" w:type="pct"/>
            <w:tcBorders>
              <w:top w:val="single" w:sz="4" w:space="0" w:color="002060"/>
              <w:bottom w:val="single" w:sz="4" w:space="0" w:color="002060"/>
            </w:tcBorders>
            <w:shd w:val="clear" w:color="auto" w:fill="auto"/>
            <w:vAlign w:val="center"/>
            <w:hideMark/>
          </w:tcPr>
          <w:p w14:paraId="5C877F08" w14:textId="77777777" w:rsidR="00E124CF" w:rsidRPr="00DE058F" w:rsidRDefault="00E124CF" w:rsidP="00E124CF">
            <w:pPr>
              <w:spacing w:after="0" w:line="240" w:lineRule="auto"/>
              <w:jc w:val="center"/>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2022 нова пр. % БДП</w:t>
            </w:r>
          </w:p>
        </w:tc>
      </w:tr>
      <w:tr w:rsidR="0004786A" w:rsidRPr="00DE058F" w14:paraId="22DE1FD2" w14:textId="77777777" w:rsidTr="0004786A">
        <w:trPr>
          <w:trHeight w:val="223"/>
          <w:jc w:val="center"/>
        </w:trPr>
        <w:tc>
          <w:tcPr>
            <w:tcW w:w="1450" w:type="pct"/>
            <w:shd w:val="clear" w:color="auto" w:fill="E7E6E6" w:themeFill="background2"/>
            <w:noWrap/>
            <w:vAlign w:val="center"/>
            <w:hideMark/>
          </w:tcPr>
          <w:p w14:paraId="784240C0" w14:textId="77777777" w:rsidR="00E124CF" w:rsidRPr="00DE058F" w:rsidRDefault="00E124CF" w:rsidP="00E124CF">
            <w:pPr>
              <w:spacing w:after="0" w:line="240" w:lineRule="auto"/>
              <w:jc w:val="left"/>
              <w:rPr>
                <w:rFonts w:cstheme="minorHAnsi"/>
                <w:color w:val="002060"/>
                <w:sz w:val="18"/>
                <w:szCs w:val="18"/>
                <w:lang w:val="sr-Cyrl-CS"/>
              </w:rPr>
            </w:pPr>
            <w:r w:rsidRPr="00DE058F">
              <w:rPr>
                <w:rFonts w:eastAsia="MS PGothic" w:cstheme="minorHAnsi"/>
                <w:color w:val="002060"/>
                <w:sz w:val="18"/>
                <w:szCs w:val="18"/>
                <w:lang w:val="sr-Cyrl-CS" w:eastAsia="ja-JP"/>
              </w:rPr>
              <w:t>ЈАВНИ ПРИХОДИ</w:t>
            </w:r>
          </w:p>
        </w:tc>
        <w:tc>
          <w:tcPr>
            <w:tcW w:w="710" w:type="pct"/>
            <w:tcBorders>
              <w:top w:val="single" w:sz="4" w:space="0" w:color="002060"/>
            </w:tcBorders>
            <w:shd w:val="clear" w:color="auto" w:fill="E7E6E6" w:themeFill="background2"/>
            <w:hideMark/>
          </w:tcPr>
          <w:p w14:paraId="20BAF8FE"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2.804,1</w:t>
            </w:r>
          </w:p>
        </w:tc>
        <w:tc>
          <w:tcPr>
            <w:tcW w:w="710" w:type="pct"/>
            <w:tcBorders>
              <w:top w:val="single" w:sz="4" w:space="0" w:color="002060"/>
            </w:tcBorders>
            <w:shd w:val="clear" w:color="auto" w:fill="E7E6E6" w:themeFill="background2"/>
            <w:noWrap/>
            <w:hideMark/>
          </w:tcPr>
          <w:p w14:paraId="3FEEE9D6"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2.901,0</w:t>
            </w:r>
          </w:p>
        </w:tc>
        <w:tc>
          <w:tcPr>
            <w:tcW w:w="710" w:type="pct"/>
            <w:tcBorders>
              <w:top w:val="single" w:sz="4" w:space="0" w:color="002060"/>
            </w:tcBorders>
            <w:shd w:val="clear" w:color="auto" w:fill="E7E6E6" w:themeFill="background2"/>
            <w:hideMark/>
          </w:tcPr>
          <w:p w14:paraId="4B8D8E1C"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96,9</w:t>
            </w:r>
          </w:p>
        </w:tc>
        <w:tc>
          <w:tcPr>
            <w:tcW w:w="710" w:type="pct"/>
            <w:tcBorders>
              <w:top w:val="single" w:sz="4" w:space="0" w:color="002060"/>
            </w:tcBorders>
            <w:shd w:val="clear" w:color="auto" w:fill="E7E6E6" w:themeFill="background2"/>
            <w:hideMark/>
          </w:tcPr>
          <w:p w14:paraId="10919A12"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3,5</w:t>
            </w:r>
          </w:p>
        </w:tc>
        <w:tc>
          <w:tcPr>
            <w:tcW w:w="710" w:type="pct"/>
            <w:tcBorders>
              <w:top w:val="single" w:sz="4" w:space="0" w:color="002060"/>
            </w:tcBorders>
            <w:shd w:val="clear" w:color="auto" w:fill="E7E6E6" w:themeFill="background2"/>
            <w:noWrap/>
            <w:hideMark/>
          </w:tcPr>
          <w:p w14:paraId="3CD06C79"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42,0</w:t>
            </w:r>
          </w:p>
        </w:tc>
      </w:tr>
      <w:tr w:rsidR="0004786A" w:rsidRPr="00DE058F" w14:paraId="07CA8DC0" w14:textId="77777777" w:rsidTr="0004786A">
        <w:trPr>
          <w:trHeight w:val="223"/>
          <w:jc w:val="center"/>
        </w:trPr>
        <w:tc>
          <w:tcPr>
            <w:tcW w:w="1450" w:type="pct"/>
            <w:shd w:val="clear" w:color="auto" w:fill="auto"/>
            <w:noWrap/>
            <w:vAlign w:val="center"/>
            <w:hideMark/>
          </w:tcPr>
          <w:p w14:paraId="3E77882A"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Текући приходи</w:t>
            </w:r>
          </w:p>
        </w:tc>
        <w:tc>
          <w:tcPr>
            <w:tcW w:w="710" w:type="pct"/>
            <w:shd w:val="clear" w:color="auto" w:fill="auto"/>
            <w:hideMark/>
          </w:tcPr>
          <w:p w14:paraId="0AAF9B09"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2.778,2</w:t>
            </w:r>
          </w:p>
        </w:tc>
        <w:tc>
          <w:tcPr>
            <w:tcW w:w="710" w:type="pct"/>
            <w:shd w:val="clear" w:color="auto" w:fill="auto"/>
            <w:noWrap/>
            <w:hideMark/>
          </w:tcPr>
          <w:p w14:paraId="0DDB71B4"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2.875,1</w:t>
            </w:r>
          </w:p>
        </w:tc>
        <w:tc>
          <w:tcPr>
            <w:tcW w:w="710" w:type="pct"/>
            <w:shd w:val="clear" w:color="auto" w:fill="auto"/>
            <w:hideMark/>
          </w:tcPr>
          <w:p w14:paraId="36A5BA2B"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96,9</w:t>
            </w:r>
          </w:p>
        </w:tc>
        <w:tc>
          <w:tcPr>
            <w:tcW w:w="710" w:type="pct"/>
            <w:shd w:val="clear" w:color="auto" w:fill="auto"/>
            <w:hideMark/>
          </w:tcPr>
          <w:p w14:paraId="0EE3CACE"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3,5</w:t>
            </w:r>
          </w:p>
        </w:tc>
        <w:tc>
          <w:tcPr>
            <w:tcW w:w="710" w:type="pct"/>
            <w:shd w:val="clear" w:color="auto" w:fill="auto"/>
            <w:noWrap/>
            <w:hideMark/>
          </w:tcPr>
          <w:p w14:paraId="53E809BE"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41,6</w:t>
            </w:r>
          </w:p>
        </w:tc>
      </w:tr>
      <w:tr w:rsidR="0004786A" w:rsidRPr="00DE058F" w14:paraId="3FDC3458" w14:textId="77777777" w:rsidTr="0004786A">
        <w:trPr>
          <w:trHeight w:val="223"/>
          <w:jc w:val="center"/>
        </w:trPr>
        <w:tc>
          <w:tcPr>
            <w:tcW w:w="1450" w:type="pct"/>
            <w:shd w:val="clear" w:color="auto" w:fill="auto"/>
            <w:noWrap/>
            <w:vAlign w:val="center"/>
            <w:hideMark/>
          </w:tcPr>
          <w:p w14:paraId="00ACBC6C"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Порески приходи</w:t>
            </w:r>
          </w:p>
        </w:tc>
        <w:tc>
          <w:tcPr>
            <w:tcW w:w="710" w:type="pct"/>
            <w:shd w:val="clear" w:color="auto" w:fill="auto"/>
            <w:hideMark/>
          </w:tcPr>
          <w:p w14:paraId="7DC51B26"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2.526,7</w:t>
            </w:r>
          </w:p>
        </w:tc>
        <w:tc>
          <w:tcPr>
            <w:tcW w:w="710" w:type="pct"/>
            <w:shd w:val="clear" w:color="auto" w:fill="auto"/>
            <w:hideMark/>
          </w:tcPr>
          <w:p w14:paraId="0DAF8F8C"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2.609,4</w:t>
            </w:r>
          </w:p>
        </w:tc>
        <w:tc>
          <w:tcPr>
            <w:tcW w:w="710" w:type="pct"/>
            <w:shd w:val="clear" w:color="auto" w:fill="auto"/>
            <w:hideMark/>
          </w:tcPr>
          <w:p w14:paraId="2322ADED"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82,7</w:t>
            </w:r>
          </w:p>
        </w:tc>
        <w:tc>
          <w:tcPr>
            <w:tcW w:w="710" w:type="pct"/>
            <w:shd w:val="clear" w:color="auto" w:fill="auto"/>
            <w:hideMark/>
          </w:tcPr>
          <w:p w14:paraId="04771C31"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3,3</w:t>
            </w:r>
          </w:p>
        </w:tc>
        <w:tc>
          <w:tcPr>
            <w:tcW w:w="710" w:type="pct"/>
            <w:shd w:val="clear" w:color="auto" w:fill="auto"/>
            <w:noWrap/>
            <w:hideMark/>
          </w:tcPr>
          <w:p w14:paraId="68813507"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37,8</w:t>
            </w:r>
          </w:p>
        </w:tc>
      </w:tr>
      <w:tr w:rsidR="0004786A" w:rsidRPr="00DE058F" w14:paraId="310030E2" w14:textId="77777777" w:rsidTr="0004786A">
        <w:trPr>
          <w:trHeight w:val="223"/>
          <w:jc w:val="center"/>
        </w:trPr>
        <w:tc>
          <w:tcPr>
            <w:tcW w:w="1450" w:type="pct"/>
            <w:shd w:val="clear" w:color="auto" w:fill="auto"/>
            <w:noWrap/>
            <w:vAlign w:val="center"/>
            <w:hideMark/>
          </w:tcPr>
          <w:p w14:paraId="7DD0F5E6"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Порез на доходак грађана</w:t>
            </w:r>
          </w:p>
        </w:tc>
        <w:tc>
          <w:tcPr>
            <w:tcW w:w="710" w:type="pct"/>
            <w:shd w:val="clear" w:color="auto" w:fill="auto"/>
            <w:hideMark/>
          </w:tcPr>
          <w:p w14:paraId="547661E7"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274,5</w:t>
            </w:r>
          </w:p>
        </w:tc>
        <w:tc>
          <w:tcPr>
            <w:tcW w:w="710" w:type="pct"/>
            <w:shd w:val="clear" w:color="auto" w:fill="auto"/>
            <w:noWrap/>
            <w:hideMark/>
          </w:tcPr>
          <w:p w14:paraId="5C96C3BE"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283,4</w:t>
            </w:r>
          </w:p>
        </w:tc>
        <w:tc>
          <w:tcPr>
            <w:tcW w:w="710" w:type="pct"/>
            <w:shd w:val="clear" w:color="auto" w:fill="auto"/>
            <w:hideMark/>
          </w:tcPr>
          <w:p w14:paraId="1EE02E49"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8,9</w:t>
            </w:r>
          </w:p>
        </w:tc>
        <w:tc>
          <w:tcPr>
            <w:tcW w:w="710" w:type="pct"/>
            <w:shd w:val="clear" w:color="auto" w:fill="auto"/>
            <w:hideMark/>
          </w:tcPr>
          <w:p w14:paraId="195C6D54"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3,2</w:t>
            </w:r>
          </w:p>
        </w:tc>
        <w:tc>
          <w:tcPr>
            <w:tcW w:w="710" w:type="pct"/>
            <w:shd w:val="clear" w:color="auto" w:fill="auto"/>
            <w:noWrap/>
            <w:hideMark/>
          </w:tcPr>
          <w:p w14:paraId="09DAFBF2"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4,1</w:t>
            </w:r>
          </w:p>
        </w:tc>
      </w:tr>
      <w:tr w:rsidR="0004786A" w:rsidRPr="00DE058F" w14:paraId="33FF9837" w14:textId="77777777" w:rsidTr="0004786A">
        <w:trPr>
          <w:trHeight w:val="223"/>
          <w:jc w:val="center"/>
        </w:trPr>
        <w:tc>
          <w:tcPr>
            <w:tcW w:w="1450" w:type="pct"/>
            <w:shd w:val="clear" w:color="auto" w:fill="auto"/>
            <w:noWrap/>
            <w:vAlign w:val="center"/>
            <w:hideMark/>
          </w:tcPr>
          <w:p w14:paraId="6F6009E4"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Порез на добит правних лица</w:t>
            </w:r>
          </w:p>
        </w:tc>
        <w:tc>
          <w:tcPr>
            <w:tcW w:w="710" w:type="pct"/>
            <w:shd w:val="clear" w:color="auto" w:fill="auto"/>
            <w:hideMark/>
          </w:tcPr>
          <w:p w14:paraId="52686E15"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145,0</w:t>
            </w:r>
          </w:p>
        </w:tc>
        <w:tc>
          <w:tcPr>
            <w:tcW w:w="710" w:type="pct"/>
            <w:shd w:val="clear" w:color="auto" w:fill="auto"/>
            <w:noWrap/>
            <w:hideMark/>
          </w:tcPr>
          <w:p w14:paraId="0B53F805"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145,0</w:t>
            </w:r>
          </w:p>
        </w:tc>
        <w:tc>
          <w:tcPr>
            <w:tcW w:w="710" w:type="pct"/>
            <w:shd w:val="clear" w:color="auto" w:fill="auto"/>
            <w:hideMark/>
          </w:tcPr>
          <w:p w14:paraId="2F5E89DF"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0,0</w:t>
            </w:r>
          </w:p>
        </w:tc>
        <w:tc>
          <w:tcPr>
            <w:tcW w:w="710" w:type="pct"/>
            <w:shd w:val="clear" w:color="auto" w:fill="auto"/>
            <w:hideMark/>
          </w:tcPr>
          <w:p w14:paraId="58DBF060"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0,0</w:t>
            </w:r>
          </w:p>
        </w:tc>
        <w:tc>
          <w:tcPr>
            <w:tcW w:w="710" w:type="pct"/>
            <w:shd w:val="clear" w:color="auto" w:fill="auto"/>
            <w:noWrap/>
            <w:hideMark/>
          </w:tcPr>
          <w:p w14:paraId="08A16DD7"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2,1</w:t>
            </w:r>
          </w:p>
        </w:tc>
      </w:tr>
      <w:tr w:rsidR="0004786A" w:rsidRPr="00DE058F" w14:paraId="7B4837B0" w14:textId="77777777" w:rsidTr="0004786A">
        <w:trPr>
          <w:trHeight w:val="223"/>
          <w:jc w:val="center"/>
        </w:trPr>
        <w:tc>
          <w:tcPr>
            <w:tcW w:w="1450" w:type="pct"/>
            <w:shd w:val="clear" w:color="auto" w:fill="auto"/>
            <w:noWrap/>
            <w:vAlign w:val="center"/>
            <w:hideMark/>
          </w:tcPr>
          <w:p w14:paraId="6F7F37EA"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ПДВ</w:t>
            </w:r>
          </w:p>
        </w:tc>
        <w:tc>
          <w:tcPr>
            <w:tcW w:w="710" w:type="pct"/>
            <w:shd w:val="clear" w:color="auto" w:fill="auto"/>
            <w:hideMark/>
          </w:tcPr>
          <w:p w14:paraId="7E910636"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684,1</w:t>
            </w:r>
          </w:p>
        </w:tc>
        <w:tc>
          <w:tcPr>
            <w:tcW w:w="710" w:type="pct"/>
            <w:shd w:val="clear" w:color="auto" w:fill="auto"/>
            <w:noWrap/>
            <w:hideMark/>
          </w:tcPr>
          <w:p w14:paraId="1CA84FB6"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750,7</w:t>
            </w:r>
          </w:p>
        </w:tc>
        <w:tc>
          <w:tcPr>
            <w:tcW w:w="710" w:type="pct"/>
            <w:shd w:val="clear" w:color="auto" w:fill="auto"/>
            <w:hideMark/>
          </w:tcPr>
          <w:p w14:paraId="0006C9F8"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66,6</w:t>
            </w:r>
          </w:p>
        </w:tc>
        <w:tc>
          <w:tcPr>
            <w:tcW w:w="710" w:type="pct"/>
            <w:shd w:val="clear" w:color="auto" w:fill="auto"/>
            <w:hideMark/>
          </w:tcPr>
          <w:p w14:paraId="1F7EE232"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9,7</w:t>
            </w:r>
          </w:p>
        </w:tc>
        <w:tc>
          <w:tcPr>
            <w:tcW w:w="710" w:type="pct"/>
            <w:shd w:val="clear" w:color="auto" w:fill="auto"/>
            <w:noWrap/>
            <w:hideMark/>
          </w:tcPr>
          <w:p w14:paraId="61B86D5B"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10,9</w:t>
            </w:r>
          </w:p>
        </w:tc>
      </w:tr>
      <w:tr w:rsidR="0004786A" w:rsidRPr="00DE058F" w14:paraId="039FDA81" w14:textId="77777777" w:rsidTr="0004786A">
        <w:trPr>
          <w:trHeight w:val="223"/>
          <w:jc w:val="center"/>
        </w:trPr>
        <w:tc>
          <w:tcPr>
            <w:tcW w:w="1450" w:type="pct"/>
            <w:shd w:val="clear" w:color="auto" w:fill="auto"/>
            <w:noWrap/>
            <w:vAlign w:val="center"/>
            <w:hideMark/>
          </w:tcPr>
          <w:p w14:paraId="1C8D4FE7"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Акцизе</w:t>
            </w:r>
          </w:p>
        </w:tc>
        <w:tc>
          <w:tcPr>
            <w:tcW w:w="710" w:type="pct"/>
            <w:shd w:val="clear" w:color="auto" w:fill="auto"/>
            <w:hideMark/>
          </w:tcPr>
          <w:p w14:paraId="743F1939"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337,6</w:t>
            </w:r>
          </w:p>
        </w:tc>
        <w:tc>
          <w:tcPr>
            <w:tcW w:w="710" w:type="pct"/>
            <w:shd w:val="clear" w:color="auto" w:fill="auto"/>
            <w:noWrap/>
            <w:hideMark/>
          </w:tcPr>
          <w:p w14:paraId="33B78469"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327,6</w:t>
            </w:r>
          </w:p>
        </w:tc>
        <w:tc>
          <w:tcPr>
            <w:tcW w:w="710" w:type="pct"/>
            <w:shd w:val="clear" w:color="auto" w:fill="auto"/>
            <w:hideMark/>
          </w:tcPr>
          <w:p w14:paraId="225F8EC8"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-10,0</w:t>
            </w:r>
          </w:p>
        </w:tc>
        <w:tc>
          <w:tcPr>
            <w:tcW w:w="710" w:type="pct"/>
            <w:shd w:val="clear" w:color="auto" w:fill="auto"/>
            <w:hideMark/>
          </w:tcPr>
          <w:p w14:paraId="46F551F1"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-3,0</w:t>
            </w:r>
          </w:p>
        </w:tc>
        <w:tc>
          <w:tcPr>
            <w:tcW w:w="710" w:type="pct"/>
            <w:shd w:val="clear" w:color="auto" w:fill="auto"/>
            <w:noWrap/>
            <w:hideMark/>
          </w:tcPr>
          <w:p w14:paraId="4C5568BC"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4,7</w:t>
            </w:r>
          </w:p>
        </w:tc>
      </w:tr>
      <w:tr w:rsidR="0004786A" w:rsidRPr="00DE058F" w14:paraId="04435798" w14:textId="77777777" w:rsidTr="0004786A">
        <w:trPr>
          <w:trHeight w:val="223"/>
          <w:jc w:val="center"/>
        </w:trPr>
        <w:tc>
          <w:tcPr>
            <w:tcW w:w="1450" w:type="pct"/>
            <w:shd w:val="clear" w:color="auto" w:fill="auto"/>
            <w:noWrap/>
            <w:vAlign w:val="center"/>
            <w:hideMark/>
          </w:tcPr>
          <w:p w14:paraId="268E310D"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Царине</w:t>
            </w:r>
          </w:p>
        </w:tc>
        <w:tc>
          <w:tcPr>
            <w:tcW w:w="710" w:type="pct"/>
            <w:shd w:val="clear" w:color="auto" w:fill="auto"/>
            <w:hideMark/>
          </w:tcPr>
          <w:p w14:paraId="37FC7D51"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63,3</w:t>
            </w:r>
          </w:p>
        </w:tc>
        <w:tc>
          <w:tcPr>
            <w:tcW w:w="710" w:type="pct"/>
            <w:shd w:val="clear" w:color="auto" w:fill="auto"/>
            <w:noWrap/>
            <w:hideMark/>
          </w:tcPr>
          <w:p w14:paraId="6C604BBD"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75,0</w:t>
            </w:r>
          </w:p>
        </w:tc>
        <w:tc>
          <w:tcPr>
            <w:tcW w:w="710" w:type="pct"/>
            <w:shd w:val="clear" w:color="auto" w:fill="auto"/>
            <w:hideMark/>
          </w:tcPr>
          <w:p w14:paraId="45467E28"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11,7</w:t>
            </w:r>
          </w:p>
        </w:tc>
        <w:tc>
          <w:tcPr>
            <w:tcW w:w="710" w:type="pct"/>
            <w:shd w:val="clear" w:color="auto" w:fill="auto"/>
            <w:hideMark/>
          </w:tcPr>
          <w:p w14:paraId="3C629EF8"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18,5</w:t>
            </w:r>
          </w:p>
        </w:tc>
        <w:tc>
          <w:tcPr>
            <w:tcW w:w="710" w:type="pct"/>
            <w:shd w:val="clear" w:color="auto" w:fill="auto"/>
            <w:noWrap/>
            <w:hideMark/>
          </w:tcPr>
          <w:p w14:paraId="2E797326"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1,1</w:t>
            </w:r>
          </w:p>
        </w:tc>
      </w:tr>
      <w:tr w:rsidR="0004786A" w:rsidRPr="00DE058F" w14:paraId="138174F2" w14:textId="77777777" w:rsidTr="0004786A">
        <w:trPr>
          <w:trHeight w:val="223"/>
          <w:jc w:val="center"/>
        </w:trPr>
        <w:tc>
          <w:tcPr>
            <w:tcW w:w="1450" w:type="pct"/>
            <w:shd w:val="clear" w:color="auto" w:fill="auto"/>
            <w:noWrap/>
            <w:vAlign w:val="center"/>
            <w:hideMark/>
          </w:tcPr>
          <w:p w14:paraId="26840D14"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Остали порески приходи</w:t>
            </w:r>
          </w:p>
        </w:tc>
        <w:tc>
          <w:tcPr>
            <w:tcW w:w="710" w:type="pct"/>
            <w:shd w:val="clear" w:color="auto" w:fill="auto"/>
            <w:hideMark/>
          </w:tcPr>
          <w:p w14:paraId="32F68E36"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96,4</w:t>
            </w:r>
          </w:p>
        </w:tc>
        <w:tc>
          <w:tcPr>
            <w:tcW w:w="710" w:type="pct"/>
            <w:shd w:val="clear" w:color="auto" w:fill="auto"/>
            <w:noWrap/>
            <w:hideMark/>
          </w:tcPr>
          <w:p w14:paraId="37BA6E35"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96,2</w:t>
            </w:r>
          </w:p>
        </w:tc>
        <w:tc>
          <w:tcPr>
            <w:tcW w:w="710" w:type="pct"/>
            <w:shd w:val="clear" w:color="auto" w:fill="auto"/>
            <w:hideMark/>
          </w:tcPr>
          <w:p w14:paraId="0622B0C3"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-0,2</w:t>
            </w:r>
          </w:p>
        </w:tc>
        <w:tc>
          <w:tcPr>
            <w:tcW w:w="710" w:type="pct"/>
            <w:shd w:val="clear" w:color="auto" w:fill="auto"/>
            <w:hideMark/>
          </w:tcPr>
          <w:p w14:paraId="7BE3E395"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-0,2</w:t>
            </w:r>
          </w:p>
        </w:tc>
        <w:tc>
          <w:tcPr>
            <w:tcW w:w="710" w:type="pct"/>
            <w:shd w:val="clear" w:color="auto" w:fill="auto"/>
            <w:noWrap/>
            <w:hideMark/>
          </w:tcPr>
          <w:p w14:paraId="709EB48D"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1,4</w:t>
            </w:r>
          </w:p>
        </w:tc>
      </w:tr>
      <w:tr w:rsidR="0004786A" w:rsidRPr="00DE058F" w14:paraId="10D8E76C" w14:textId="77777777" w:rsidTr="0004786A">
        <w:trPr>
          <w:trHeight w:val="223"/>
          <w:jc w:val="center"/>
        </w:trPr>
        <w:tc>
          <w:tcPr>
            <w:tcW w:w="1450" w:type="pct"/>
            <w:shd w:val="clear" w:color="auto" w:fill="auto"/>
            <w:noWrap/>
            <w:vAlign w:val="center"/>
            <w:hideMark/>
          </w:tcPr>
          <w:p w14:paraId="687014CB"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Доприноси</w:t>
            </w:r>
          </w:p>
        </w:tc>
        <w:tc>
          <w:tcPr>
            <w:tcW w:w="710" w:type="pct"/>
            <w:shd w:val="clear" w:color="auto" w:fill="auto"/>
            <w:hideMark/>
          </w:tcPr>
          <w:p w14:paraId="2EDAA862"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925,8</w:t>
            </w:r>
          </w:p>
        </w:tc>
        <w:tc>
          <w:tcPr>
            <w:tcW w:w="710" w:type="pct"/>
            <w:shd w:val="clear" w:color="auto" w:fill="auto"/>
            <w:noWrap/>
            <w:hideMark/>
          </w:tcPr>
          <w:p w14:paraId="157A7C04"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931,5</w:t>
            </w:r>
          </w:p>
        </w:tc>
        <w:tc>
          <w:tcPr>
            <w:tcW w:w="710" w:type="pct"/>
            <w:shd w:val="clear" w:color="auto" w:fill="auto"/>
            <w:hideMark/>
          </w:tcPr>
          <w:p w14:paraId="16F452B6"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5,7</w:t>
            </w:r>
          </w:p>
        </w:tc>
        <w:tc>
          <w:tcPr>
            <w:tcW w:w="710" w:type="pct"/>
            <w:shd w:val="clear" w:color="auto" w:fill="auto"/>
            <w:hideMark/>
          </w:tcPr>
          <w:p w14:paraId="3615DEDE"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0,6</w:t>
            </w:r>
          </w:p>
        </w:tc>
        <w:tc>
          <w:tcPr>
            <w:tcW w:w="710" w:type="pct"/>
            <w:shd w:val="clear" w:color="auto" w:fill="auto"/>
            <w:noWrap/>
            <w:hideMark/>
          </w:tcPr>
          <w:p w14:paraId="0013C0D2"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13,5</w:t>
            </w:r>
          </w:p>
        </w:tc>
      </w:tr>
      <w:tr w:rsidR="0004786A" w:rsidRPr="00DE058F" w14:paraId="0AA2BDBF" w14:textId="77777777" w:rsidTr="0004786A">
        <w:trPr>
          <w:trHeight w:val="223"/>
          <w:jc w:val="center"/>
        </w:trPr>
        <w:tc>
          <w:tcPr>
            <w:tcW w:w="1450" w:type="pct"/>
            <w:shd w:val="clear" w:color="auto" w:fill="auto"/>
            <w:noWrap/>
            <w:vAlign w:val="center"/>
            <w:hideMark/>
          </w:tcPr>
          <w:p w14:paraId="6C32D760"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Непорески приходи</w:t>
            </w:r>
          </w:p>
        </w:tc>
        <w:tc>
          <w:tcPr>
            <w:tcW w:w="710" w:type="pct"/>
            <w:shd w:val="clear" w:color="auto" w:fill="auto"/>
            <w:hideMark/>
          </w:tcPr>
          <w:p w14:paraId="757D6DC2"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251,5</w:t>
            </w:r>
          </w:p>
        </w:tc>
        <w:tc>
          <w:tcPr>
            <w:tcW w:w="710" w:type="pct"/>
            <w:shd w:val="clear" w:color="auto" w:fill="auto"/>
            <w:noWrap/>
            <w:hideMark/>
          </w:tcPr>
          <w:p w14:paraId="67E8AB3A"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265,7</w:t>
            </w:r>
          </w:p>
        </w:tc>
        <w:tc>
          <w:tcPr>
            <w:tcW w:w="710" w:type="pct"/>
            <w:shd w:val="clear" w:color="auto" w:fill="auto"/>
            <w:hideMark/>
          </w:tcPr>
          <w:p w14:paraId="63FDC4BB"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14,2</w:t>
            </w:r>
          </w:p>
        </w:tc>
        <w:tc>
          <w:tcPr>
            <w:tcW w:w="710" w:type="pct"/>
            <w:shd w:val="clear" w:color="auto" w:fill="auto"/>
            <w:hideMark/>
          </w:tcPr>
          <w:p w14:paraId="19713305"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5,6</w:t>
            </w:r>
          </w:p>
        </w:tc>
        <w:tc>
          <w:tcPr>
            <w:tcW w:w="710" w:type="pct"/>
            <w:shd w:val="clear" w:color="auto" w:fill="auto"/>
            <w:noWrap/>
            <w:hideMark/>
          </w:tcPr>
          <w:p w14:paraId="26BF0EAD"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3,8</w:t>
            </w:r>
          </w:p>
        </w:tc>
      </w:tr>
      <w:tr w:rsidR="0004786A" w:rsidRPr="00DE058F" w14:paraId="6B1C9E99" w14:textId="77777777" w:rsidTr="0004786A">
        <w:trPr>
          <w:trHeight w:val="223"/>
          <w:jc w:val="center"/>
        </w:trPr>
        <w:tc>
          <w:tcPr>
            <w:tcW w:w="1450" w:type="pct"/>
            <w:shd w:val="clear" w:color="auto" w:fill="auto"/>
            <w:noWrap/>
            <w:vAlign w:val="center"/>
            <w:hideMark/>
          </w:tcPr>
          <w:p w14:paraId="2055F306"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Донације</w:t>
            </w:r>
          </w:p>
        </w:tc>
        <w:tc>
          <w:tcPr>
            <w:tcW w:w="710" w:type="pct"/>
            <w:shd w:val="clear" w:color="auto" w:fill="auto"/>
            <w:hideMark/>
          </w:tcPr>
          <w:p w14:paraId="1C58EE38"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25,9</w:t>
            </w:r>
          </w:p>
        </w:tc>
        <w:tc>
          <w:tcPr>
            <w:tcW w:w="710" w:type="pct"/>
            <w:shd w:val="clear" w:color="auto" w:fill="auto"/>
            <w:noWrap/>
            <w:hideMark/>
          </w:tcPr>
          <w:p w14:paraId="1AB7A74C"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25,9</w:t>
            </w:r>
          </w:p>
        </w:tc>
        <w:tc>
          <w:tcPr>
            <w:tcW w:w="710" w:type="pct"/>
            <w:shd w:val="clear" w:color="auto" w:fill="auto"/>
            <w:hideMark/>
          </w:tcPr>
          <w:p w14:paraId="1299D6FE"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0,0</w:t>
            </w:r>
          </w:p>
        </w:tc>
        <w:tc>
          <w:tcPr>
            <w:tcW w:w="710" w:type="pct"/>
            <w:shd w:val="clear" w:color="auto" w:fill="auto"/>
            <w:hideMark/>
          </w:tcPr>
          <w:p w14:paraId="32D99395"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0,0</w:t>
            </w:r>
          </w:p>
        </w:tc>
        <w:tc>
          <w:tcPr>
            <w:tcW w:w="710" w:type="pct"/>
            <w:shd w:val="clear" w:color="auto" w:fill="auto"/>
            <w:noWrap/>
            <w:hideMark/>
          </w:tcPr>
          <w:p w14:paraId="5FFF95A4"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0,4</w:t>
            </w:r>
          </w:p>
        </w:tc>
      </w:tr>
      <w:tr w:rsidR="0004786A" w:rsidRPr="00DE058F" w14:paraId="2007B848" w14:textId="77777777" w:rsidTr="0004786A">
        <w:trPr>
          <w:trHeight w:val="223"/>
          <w:jc w:val="center"/>
        </w:trPr>
        <w:tc>
          <w:tcPr>
            <w:tcW w:w="1450" w:type="pct"/>
            <w:shd w:val="clear" w:color="auto" w:fill="E7E6E6" w:themeFill="background2"/>
            <w:noWrap/>
            <w:vAlign w:val="center"/>
            <w:hideMark/>
          </w:tcPr>
          <w:p w14:paraId="43FD549C" w14:textId="77777777" w:rsidR="00E124CF" w:rsidRPr="00DE058F" w:rsidRDefault="00E124CF" w:rsidP="00E124CF">
            <w:pPr>
              <w:spacing w:after="0" w:line="240" w:lineRule="auto"/>
              <w:jc w:val="left"/>
              <w:rPr>
                <w:rFonts w:cstheme="minorHAnsi"/>
                <w:color w:val="002060"/>
                <w:sz w:val="18"/>
                <w:szCs w:val="18"/>
                <w:lang w:val="sr-Cyrl-CS"/>
              </w:rPr>
            </w:pPr>
            <w:r w:rsidRPr="00DE058F">
              <w:rPr>
                <w:rFonts w:eastAsia="MS PGothic" w:cstheme="minorHAnsi"/>
                <w:color w:val="002060"/>
                <w:sz w:val="18"/>
                <w:szCs w:val="18"/>
                <w:lang w:val="sr-Cyrl-CS" w:eastAsia="ja-JP"/>
              </w:rPr>
              <w:t>ЈАВНИ РАСХОДИ</w:t>
            </w:r>
          </w:p>
        </w:tc>
        <w:tc>
          <w:tcPr>
            <w:tcW w:w="710" w:type="pct"/>
            <w:shd w:val="clear" w:color="auto" w:fill="E7E6E6" w:themeFill="background2"/>
            <w:hideMark/>
          </w:tcPr>
          <w:p w14:paraId="68A3B66B"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3.004,3</w:t>
            </w:r>
          </w:p>
        </w:tc>
        <w:tc>
          <w:tcPr>
            <w:tcW w:w="710" w:type="pct"/>
            <w:shd w:val="clear" w:color="auto" w:fill="E7E6E6" w:themeFill="background2"/>
            <w:noWrap/>
            <w:hideMark/>
          </w:tcPr>
          <w:p w14:paraId="6B9A073A"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3.107,7</w:t>
            </w:r>
          </w:p>
        </w:tc>
        <w:tc>
          <w:tcPr>
            <w:tcW w:w="710" w:type="pct"/>
            <w:shd w:val="clear" w:color="auto" w:fill="E7E6E6" w:themeFill="background2"/>
            <w:hideMark/>
          </w:tcPr>
          <w:p w14:paraId="0F142C8A"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103,4</w:t>
            </w:r>
          </w:p>
        </w:tc>
        <w:tc>
          <w:tcPr>
            <w:tcW w:w="710" w:type="pct"/>
            <w:shd w:val="clear" w:color="auto" w:fill="E7E6E6" w:themeFill="background2"/>
            <w:hideMark/>
          </w:tcPr>
          <w:p w14:paraId="13FD7657"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3,4</w:t>
            </w:r>
          </w:p>
        </w:tc>
        <w:tc>
          <w:tcPr>
            <w:tcW w:w="710" w:type="pct"/>
            <w:shd w:val="clear" w:color="auto" w:fill="E7E6E6" w:themeFill="background2"/>
            <w:noWrap/>
            <w:hideMark/>
          </w:tcPr>
          <w:p w14:paraId="7DB190AA"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45,0</w:t>
            </w:r>
          </w:p>
        </w:tc>
      </w:tr>
      <w:tr w:rsidR="0004786A" w:rsidRPr="00DE058F" w14:paraId="0B87FEE4" w14:textId="77777777" w:rsidTr="0004786A">
        <w:trPr>
          <w:trHeight w:val="223"/>
          <w:jc w:val="center"/>
        </w:trPr>
        <w:tc>
          <w:tcPr>
            <w:tcW w:w="1450" w:type="pct"/>
            <w:shd w:val="clear" w:color="auto" w:fill="auto"/>
            <w:noWrap/>
            <w:vAlign w:val="center"/>
            <w:hideMark/>
          </w:tcPr>
          <w:p w14:paraId="633552A2"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Текући расходи</w:t>
            </w:r>
          </w:p>
        </w:tc>
        <w:tc>
          <w:tcPr>
            <w:tcW w:w="710" w:type="pct"/>
            <w:shd w:val="clear" w:color="auto" w:fill="auto"/>
            <w:hideMark/>
          </w:tcPr>
          <w:p w14:paraId="0FAFFEB3"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2.489,9</w:t>
            </w:r>
          </w:p>
        </w:tc>
        <w:tc>
          <w:tcPr>
            <w:tcW w:w="710" w:type="pct"/>
            <w:shd w:val="clear" w:color="auto" w:fill="auto"/>
            <w:noWrap/>
            <w:hideMark/>
          </w:tcPr>
          <w:p w14:paraId="6DCAD771"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2.556,8</w:t>
            </w:r>
          </w:p>
        </w:tc>
        <w:tc>
          <w:tcPr>
            <w:tcW w:w="710" w:type="pct"/>
            <w:shd w:val="clear" w:color="auto" w:fill="auto"/>
            <w:hideMark/>
          </w:tcPr>
          <w:p w14:paraId="19B7EFA8"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66,9</w:t>
            </w:r>
          </w:p>
        </w:tc>
        <w:tc>
          <w:tcPr>
            <w:tcW w:w="710" w:type="pct"/>
            <w:shd w:val="clear" w:color="auto" w:fill="auto"/>
            <w:hideMark/>
          </w:tcPr>
          <w:p w14:paraId="4071BF32"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2,7</w:t>
            </w:r>
          </w:p>
        </w:tc>
        <w:tc>
          <w:tcPr>
            <w:tcW w:w="710" w:type="pct"/>
            <w:shd w:val="clear" w:color="auto" w:fill="auto"/>
            <w:noWrap/>
            <w:hideMark/>
          </w:tcPr>
          <w:p w14:paraId="66C0BFB9"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37,0</w:t>
            </w:r>
          </w:p>
        </w:tc>
      </w:tr>
      <w:tr w:rsidR="0004786A" w:rsidRPr="00DE058F" w14:paraId="52DF9CAF" w14:textId="77777777" w:rsidTr="0004786A">
        <w:trPr>
          <w:trHeight w:val="223"/>
          <w:jc w:val="center"/>
        </w:trPr>
        <w:tc>
          <w:tcPr>
            <w:tcW w:w="1450" w:type="pct"/>
            <w:shd w:val="clear" w:color="auto" w:fill="auto"/>
            <w:noWrap/>
            <w:vAlign w:val="center"/>
            <w:hideMark/>
          </w:tcPr>
          <w:p w14:paraId="7B4A2CC4"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Расходи за запослене</w:t>
            </w:r>
          </w:p>
        </w:tc>
        <w:tc>
          <w:tcPr>
            <w:tcW w:w="710" w:type="pct"/>
            <w:shd w:val="clear" w:color="auto" w:fill="auto"/>
            <w:hideMark/>
          </w:tcPr>
          <w:p w14:paraId="67A46764"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673,1</w:t>
            </w:r>
          </w:p>
        </w:tc>
        <w:tc>
          <w:tcPr>
            <w:tcW w:w="710" w:type="pct"/>
            <w:shd w:val="clear" w:color="auto" w:fill="auto"/>
            <w:noWrap/>
            <w:hideMark/>
          </w:tcPr>
          <w:p w14:paraId="291F61D6"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674,9</w:t>
            </w:r>
          </w:p>
        </w:tc>
        <w:tc>
          <w:tcPr>
            <w:tcW w:w="710" w:type="pct"/>
            <w:shd w:val="clear" w:color="auto" w:fill="auto"/>
            <w:hideMark/>
          </w:tcPr>
          <w:p w14:paraId="33F927E8"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1,8</w:t>
            </w:r>
          </w:p>
        </w:tc>
        <w:tc>
          <w:tcPr>
            <w:tcW w:w="710" w:type="pct"/>
            <w:shd w:val="clear" w:color="auto" w:fill="auto"/>
            <w:hideMark/>
          </w:tcPr>
          <w:p w14:paraId="787CCEF6"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0,3</w:t>
            </w:r>
          </w:p>
        </w:tc>
        <w:tc>
          <w:tcPr>
            <w:tcW w:w="710" w:type="pct"/>
            <w:shd w:val="clear" w:color="auto" w:fill="auto"/>
            <w:noWrap/>
            <w:hideMark/>
          </w:tcPr>
          <w:p w14:paraId="671CB1D8"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9,8</w:t>
            </w:r>
          </w:p>
        </w:tc>
      </w:tr>
      <w:tr w:rsidR="0004786A" w:rsidRPr="00DE058F" w14:paraId="6A043DE4" w14:textId="77777777" w:rsidTr="0004786A">
        <w:trPr>
          <w:trHeight w:val="223"/>
          <w:jc w:val="center"/>
        </w:trPr>
        <w:tc>
          <w:tcPr>
            <w:tcW w:w="1450" w:type="pct"/>
            <w:shd w:val="clear" w:color="auto" w:fill="auto"/>
            <w:noWrap/>
            <w:vAlign w:val="center"/>
            <w:hideMark/>
          </w:tcPr>
          <w:p w14:paraId="678AD105"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Куповина робе и услуга</w:t>
            </w:r>
          </w:p>
        </w:tc>
        <w:tc>
          <w:tcPr>
            <w:tcW w:w="710" w:type="pct"/>
            <w:shd w:val="clear" w:color="auto" w:fill="auto"/>
            <w:hideMark/>
          </w:tcPr>
          <w:p w14:paraId="538198CA"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511,2</w:t>
            </w:r>
          </w:p>
        </w:tc>
        <w:tc>
          <w:tcPr>
            <w:tcW w:w="710" w:type="pct"/>
            <w:shd w:val="clear" w:color="auto" w:fill="auto"/>
            <w:noWrap/>
            <w:hideMark/>
          </w:tcPr>
          <w:p w14:paraId="2DCF4D68"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529,9</w:t>
            </w:r>
          </w:p>
        </w:tc>
        <w:tc>
          <w:tcPr>
            <w:tcW w:w="710" w:type="pct"/>
            <w:shd w:val="clear" w:color="auto" w:fill="auto"/>
            <w:hideMark/>
          </w:tcPr>
          <w:p w14:paraId="04D96853"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18,7</w:t>
            </w:r>
          </w:p>
        </w:tc>
        <w:tc>
          <w:tcPr>
            <w:tcW w:w="710" w:type="pct"/>
            <w:shd w:val="clear" w:color="auto" w:fill="auto"/>
            <w:hideMark/>
          </w:tcPr>
          <w:p w14:paraId="2383EDF4"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3,7</w:t>
            </w:r>
          </w:p>
        </w:tc>
        <w:tc>
          <w:tcPr>
            <w:tcW w:w="710" w:type="pct"/>
            <w:shd w:val="clear" w:color="auto" w:fill="auto"/>
            <w:noWrap/>
            <w:hideMark/>
          </w:tcPr>
          <w:p w14:paraId="174C6D27"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7,7</w:t>
            </w:r>
          </w:p>
        </w:tc>
      </w:tr>
      <w:tr w:rsidR="0004786A" w:rsidRPr="00DE058F" w14:paraId="62BB9CE5" w14:textId="77777777" w:rsidTr="0004786A">
        <w:trPr>
          <w:trHeight w:val="223"/>
          <w:jc w:val="center"/>
        </w:trPr>
        <w:tc>
          <w:tcPr>
            <w:tcW w:w="1450" w:type="pct"/>
            <w:shd w:val="clear" w:color="auto" w:fill="auto"/>
            <w:noWrap/>
            <w:vAlign w:val="center"/>
            <w:hideMark/>
          </w:tcPr>
          <w:p w14:paraId="3FC75408"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Отплата камата</w:t>
            </w:r>
          </w:p>
        </w:tc>
        <w:tc>
          <w:tcPr>
            <w:tcW w:w="710" w:type="pct"/>
            <w:shd w:val="clear" w:color="auto" w:fill="auto"/>
            <w:hideMark/>
          </w:tcPr>
          <w:p w14:paraId="5CEF8894"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118,6</w:t>
            </w:r>
          </w:p>
        </w:tc>
        <w:tc>
          <w:tcPr>
            <w:tcW w:w="710" w:type="pct"/>
            <w:shd w:val="clear" w:color="auto" w:fill="auto"/>
            <w:noWrap/>
            <w:hideMark/>
          </w:tcPr>
          <w:p w14:paraId="6C576F27"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118,6</w:t>
            </w:r>
          </w:p>
        </w:tc>
        <w:tc>
          <w:tcPr>
            <w:tcW w:w="710" w:type="pct"/>
            <w:shd w:val="clear" w:color="auto" w:fill="auto"/>
            <w:hideMark/>
          </w:tcPr>
          <w:p w14:paraId="71501FC1"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0,0</w:t>
            </w:r>
          </w:p>
        </w:tc>
        <w:tc>
          <w:tcPr>
            <w:tcW w:w="710" w:type="pct"/>
            <w:shd w:val="clear" w:color="auto" w:fill="auto"/>
            <w:hideMark/>
          </w:tcPr>
          <w:p w14:paraId="29DF213B"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0,0</w:t>
            </w:r>
          </w:p>
        </w:tc>
        <w:tc>
          <w:tcPr>
            <w:tcW w:w="710" w:type="pct"/>
            <w:shd w:val="clear" w:color="auto" w:fill="auto"/>
            <w:noWrap/>
            <w:hideMark/>
          </w:tcPr>
          <w:p w14:paraId="700AA07C"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1,7</w:t>
            </w:r>
          </w:p>
        </w:tc>
      </w:tr>
      <w:tr w:rsidR="0004786A" w:rsidRPr="00DE058F" w14:paraId="5D1A7E0C" w14:textId="77777777" w:rsidTr="0004786A">
        <w:trPr>
          <w:trHeight w:val="223"/>
          <w:jc w:val="center"/>
        </w:trPr>
        <w:tc>
          <w:tcPr>
            <w:tcW w:w="1450" w:type="pct"/>
            <w:shd w:val="clear" w:color="auto" w:fill="auto"/>
            <w:noWrap/>
            <w:vAlign w:val="center"/>
            <w:hideMark/>
          </w:tcPr>
          <w:p w14:paraId="527EF41A"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Субвенције</w:t>
            </w:r>
          </w:p>
        </w:tc>
        <w:tc>
          <w:tcPr>
            <w:tcW w:w="710" w:type="pct"/>
            <w:shd w:val="clear" w:color="auto" w:fill="auto"/>
            <w:hideMark/>
          </w:tcPr>
          <w:p w14:paraId="6B676D66"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165,6</w:t>
            </w:r>
          </w:p>
        </w:tc>
        <w:tc>
          <w:tcPr>
            <w:tcW w:w="710" w:type="pct"/>
            <w:shd w:val="clear" w:color="auto" w:fill="auto"/>
            <w:noWrap/>
            <w:hideMark/>
          </w:tcPr>
          <w:p w14:paraId="79DCC7BB"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166,9</w:t>
            </w:r>
          </w:p>
        </w:tc>
        <w:tc>
          <w:tcPr>
            <w:tcW w:w="710" w:type="pct"/>
            <w:shd w:val="clear" w:color="auto" w:fill="auto"/>
            <w:hideMark/>
          </w:tcPr>
          <w:p w14:paraId="25E73D82"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1,3</w:t>
            </w:r>
          </w:p>
        </w:tc>
        <w:tc>
          <w:tcPr>
            <w:tcW w:w="710" w:type="pct"/>
            <w:shd w:val="clear" w:color="auto" w:fill="auto"/>
            <w:hideMark/>
          </w:tcPr>
          <w:p w14:paraId="332F5F59"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0,8</w:t>
            </w:r>
          </w:p>
        </w:tc>
        <w:tc>
          <w:tcPr>
            <w:tcW w:w="710" w:type="pct"/>
            <w:shd w:val="clear" w:color="auto" w:fill="auto"/>
            <w:noWrap/>
            <w:hideMark/>
          </w:tcPr>
          <w:p w14:paraId="3B6998DF"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2,4</w:t>
            </w:r>
          </w:p>
        </w:tc>
      </w:tr>
      <w:tr w:rsidR="0004786A" w:rsidRPr="00DE058F" w14:paraId="319E800F" w14:textId="77777777" w:rsidTr="0004786A">
        <w:trPr>
          <w:trHeight w:val="223"/>
          <w:jc w:val="center"/>
        </w:trPr>
        <w:tc>
          <w:tcPr>
            <w:tcW w:w="1450" w:type="pct"/>
            <w:shd w:val="clear" w:color="auto" w:fill="auto"/>
            <w:noWrap/>
            <w:vAlign w:val="center"/>
            <w:hideMark/>
          </w:tcPr>
          <w:p w14:paraId="5C6286CC"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Социјална помоћ и трансфери</w:t>
            </w:r>
          </w:p>
        </w:tc>
        <w:tc>
          <w:tcPr>
            <w:tcW w:w="710" w:type="pct"/>
            <w:shd w:val="clear" w:color="auto" w:fill="auto"/>
            <w:hideMark/>
          </w:tcPr>
          <w:p w14:paraId="4ADA244A"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914,7</w:t>
            </w:r>
          </w:p>
        </w:tc>
        <w:tc>
          <w:tcPr>
            <w:tcW w:w="710" w:type="pct"/>
            <w:shd w:val="clear" w:color="auto" w:fill="auto"/>
            <w:noWrap/>
            <w:hideMark/>
          </w:tcPr>
          <w:p w14:paraId="2DAEFF1B"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916,1</w:t>
            </w:r>
          </w:p>
        </w:tc>
        <w:tc>
          <w:tcPr>
            <w:tcW w:w="710" w:type="pct"/>
            <w:shd w:val="clear" w:color="auto" w:fill="auto"/>
            <w:hideMark/>
          </w:tcPr>
          <w:p w14:paraId="2D7D6894"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1,4</w:t>
            </w:r>
          </w:p>
        </w:tc>
        <w:tc>
          <w:tcPr>
            <w:tcW w:w="710" w:type="pct"/>
            <w:shd w:val="clear" w:color="auto" w:fill="auto"/>
            <w:hideMark/>
          </w:tcPr>
          <w:p w14:paraId="3F21D154"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0,2</w:t>
            </w:r>
          </w:p>
        </w:tc>
        <w:tc>
          <w:tcPr>
            <w:tcW w:w="710" w:type="pct"/>
            <w:shd w:val="clear" w:color="auto" w:fill="auto"/>
            <w:noWrap/>
            <w:hideMark/>
          </w:tcPr>
          <w:p w14:paraId="0F685C02"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13,3</w:t>
            </w:r>
          </w:p>
        </w:tc>
      </w:tr>
      <w:tr w:rsidR="0004786A" w:rsidRPr="00DE058F" w14:paraId="708D1A4B" w14:textId="77777777" w:rsidTr="0004786A">
        <w:trPr>
          <w:trHeight w:val="223"/>
          <w:jc w:val="center"/>
        </w:trPr>
        <w:tc>
          <w:tcPr>
            <w:tcW w:w="1450" w:type="pct"/>
            <w:shd w:val="clear" w:color="auto" w:fill="auto"/>
            <w:noWrap/>
            <w:vAlign w:val="center"/>
            <w:hideMark/>
          </w:tcPr>
          <w:p w14:paraId="28A3964B"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од чега пензије</w:t>
            </w:r>
          </w:p>
        </w:tc>
        <w:tc>
          <w:tcPr>
            <w:tcW w:w="710" w:type="pct"/>
            <w:shd w:val="clear" w:color="auto" w:fill="auto"/>
            <w:hideMark/>
          </w:tcPr>
          <w:p w14:paraId="26C982BB"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645,7</w:t>
            </w:r>
          </w:p>
        </w:tc>
        <w:tc>
          <w:tcPr>
            <w:tcW w:w="710" w:type="pct"/>
            <w:shd w:val="clear" w:color="auto" w:fill="auto"/>
            <w:noWrap/>
            <w:hideMark/>
          </w:tcPr>
          <w:p w14:paraId="1BA8FE5A"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636,1</w:t>
            </w:r>
          </w:p>
        </w:tc>
        <w:tc>
          <w:tcPr>
            <w:tcW w:w="710" w:type="pct"/>
            <w:shd w:val="clear" w:color="auto" w:fill="auto"/>
            <w:hideMark/>
          </w:tcPr>
          <w:p w14:paraId="3D3281EF"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-9,6</w:t>
            </w:r>
          </w:p>
        </w:tc>
        <w:tc>
          <w:tcPr>
            <w:tcW w:w="710" w:type="pct"/>
            <w:shd w:val="clear" w:color="auto" w:fill="auto"/>
            <w:hideMark/>
          </w:tcPr>
          <w:p w14:paraId="55AF935A"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-1,5</w:t>
            </w:r>
          </w:p>
        </w:tc>
        <w:tc>
          <w:tcPr>
            <w:tcW w:w="710" w:type="pct"/>
            <w:shd w:val="clear" w:color="auto" w:fill="auto"/>
            <w:noWrap/>
            <w:hideMark/>
          </w:tcPr>
          <w:p w14:paraId="4BB4C241"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9,2</w:t>
            </w:r>
          </w:p>
        </w:tc>
      </w:tr>
      <w:tr w:rsidR="0004786A" w:rsidRPr="00DE058F" w14:paraId="0F0C446C" w14:textId="77777777" w:rsidTr="0004786A">
        <w:trPr>
          <w:trHeight w:val="223"/>
          <w:jc w:val="center"/>
        </w:trPr>
        <w:tc>
          <w:tcPr>
            <w:tcW w:w="1450" w:type="pct"/>
            <w:shd w:val="clear" w:color="auto" w:fill="auto"/>
            <w:noWrap/>
            <w:vAlign w:val="center"/>
            <w:hideMark/>
          </w:tcPr>
          <w:p w14:paraId="7036918D"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Остали текући расходи</w:t>
            </w:r>
          </w:p>
        </w:tc>
        <w:tc>
          <w:tcPr>
            <w:tcW w:w="710" w:type="pct"/>
            <w:shd w:val="clear" w:color="auto" w:fill="auto"/>
            <w:hideMark/>
          </w:tcPr>
          <w:p w14:paraId="787AB40C"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106,7</w:t>
            </w:r>
          </w:p>
        </w:tc>
        <w:tc>
          <w:tcPr>
            <w:tcW w:w="710" w:type="pct"/>
            <w:shd w:val="clear" w:color="auto" w:fill="auto"/>
            <w:noWrap/>
            <w:hideMark/>
          </w:tcPr>
          <w:p w14:paraId="165A2ADF"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150,4</w:t>
            </w:r>
          </w:p>
        </w:tc>
        <w:tc>
          <w:tcPr>
            <w:tcW w:w="710" w:type="pct"/>
            <w:shd w:val="clear" w:color="auto" w:fill="auto"/>
            <w:hideMark/>
          </w:tcPr>
          <w:p w14:paraId="1C2B5FE4"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43,7</w:t>
            </w:r>
          </w:p>
        </w:tc>
        <w:tc>
          <w:tcPr>
            <w:tcW w:w="710" w:type="pct"/>
            <w:shd w:val="clear" w:color="auto" w:fill="auto"/>
            <w:hideMark/>
          </w:tcPr>
          <w:p w14:paraId="470A6E1E"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41,0</w:t>
            </w:r>
          </w:p>
        </w:tc>
        <w:tc>
          <w:tcPr>
            <w:tcW w:w="710" w:type="pct"/>
            <w:shd w:val="clear" w:color="auto" w:fill="auto"/>
            <w:noWrap/>
            <w:hideMark/>
          </w:tcPr>
          <w:p w14:paraId="762F48E4"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2,2</w:t>
            </w:r>
          </w:p>
        </w:tc>
      </w:tr>
      <w:tr w:rsidR="0004786A" w:rsidRPr="00DE058F" w14:paraId="02A49CEF" w14:textId="77777777" w:rsidTr="0004786A">
        <w:trPr>
          <w:trHeight w:val="223"/>
          <w:jc w:val="center"/>
        </w:trPr>
        <w:tc>
          <w:tcPr>
            <w:tcW w:w="1450" w:type="pct"/>
            <w:shd w:val="clear" w:color="auto" w:fill="auto"/>
            <w:noWrap/>
            <w:vAlign w:val="center"/>
            <w:hideMark/>
          </w:tcPr>
          <w:p w14:paraId="64A9A4CB"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Капитални расходи</w:t>
            </w:r>
          </w:p>
        </w:tc>
        <w:tc>
          <w:tcPr>
            <w:tcW w:w="710" w:type="pct"/>
            <w:shd w:val="clear" w:color="auto" w:fill="auto"/>
            <w:hideMark/>
          </w:tcPr>
          <w:p w14:paraId="5B23FD79"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485,8</w:t>
            </w:r>
          </w:p>
        </w:tc>
        <w:tc>
          <w:tcPr>
            <w:tcW w:w="710" w:type="pct"/>
            <w:shd w:val="clear" w:color="auto" w:fill="auto"/>
            <w:noWrap/>
            <w:hideMark/>
          </w:tcPr>
          <w:p w14:paraId="0EC00338"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496,8</w:t>
            </w:r>
          </w:p>
        </w:tc>
        <w:tc>
          <w:tcPr>
            <w:tcW w:w="710" w:type="pct"/>
            <w:shd w:val="clear" w:color="auto" w:fill="auto"/>
            <w:hideMark/>
          </w:tcPr>
          <w:p w14:paraId="77484346"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11,0</w:t>
            </w:r>
          </w:p>
        </w:tc>
        <w:tc>
          <w:tcPr>
            <w:tcW w:w="710" w:type="pct"/>
            <w:shd w:val="clear" w:color="auto" w:fill="auto"/>
            <w:hideMark/>
          </w:tcPr>
          <w:p w14:paraId="2A49BCA8"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2,3</w:t>
            </w:r>
          </w:p>
        </w:tc>
        <w:tc>
          <w:tcPr>
            <w:tcW w:w="710" w:type="pct"/>
            <w:shd w:val="clear" w:color="auto" w:fill="auto"/>
            <w:noWrap/>
            <w:hideMark/>
          </w:tcPr>
          <w:p w14:paraId="69D745FB"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7,2</w:t>
            </w:r>
          </w:p>
        </w:tc>
      </w:tr>
      <w:tr w:rsidR="0004786A" w:rsidRPr="00DE058F" w14:paraId="2D1087E9" w14:textId="77777777" w:rsidTr="0004786A">
        <w:trPr>
          <w:trHeight w:val="223"/>
          <w:jc w:val="center"/>
        </w:trPr>
        <w:tc>
          <w:tcPr>
            <w:tcW w:w="1450" w:type="pct"/>
            <w:shd w:val="clear" w:color="auto" w:fill="auto"/>
            <w:noWrap/>
            <w:vAlign w:val="center"/>
            <w:hideMark/>
          </w:tcPr>
          <w:p w14:paraId="00251BC6"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Нето буџетске позајмице</w:t>
            </w:r>
          </w:p>
        </w:tc>
        <w:tc>
          <w:tcPr>
            <w:tcW w:w="710" w:type="pct"/>
            <w:shd w:val="clear" w:color="auto" w:fill="auto"/>
            <w:hideMark/>
          </w:tcPr>
          <w:p w14:paraId="2AA72F15"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13,4</w:t>
            </w:r>
          </w:p>
        </w:tc>
        <w:tc>
          <w:tcPr>
            <w:tcW w:w="710" w:type="pct"/>
            <w:shd w:val="clear" w:color="auto" w:fill="auto"/>
            <w:noWrap/>
            <w:hideMark/>
          </w:tcPr>
          <w:p w14:paraId="6AC61349"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38,9</w:t>
            </w:r>
          </w:p>
        </w:tc>
        <w:tc>
          <w:tcPr>
            <w:tcW w:w="710" w:type="pct"/>
            <w:shd w:val="clear" w:color="auto" w:fill="auto"/>
            <w:hideMark/>
          </w:tcPr>
          <w:p w14:paraId="4BDEBF38"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25,5</w:t>
            </w:r>
          </w:p>
        </w:tc>
        <w:tc>
          <w:tcPr>
            <w:tcW w:w="710" w:type="pct"/>
            <w:shd w:val="clear" w:color="auto" w:fill="auto"/>
            <w:hideMark/>
          </w:tcPr>
          <w:p w14:paraId="3B5AB02B"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190,3</w:t>
            </w:r>
          </w:p>
        </w:tc>
        <w:tc>
          <w:tcPr>
            <w:tcW w:w="710" w:type="pct"/>
            <w:shd w:val="clear" w:color="auto" w:fill="auto"/>
            <w:noWrap/>
            <w:hideMark/>
          </w:tcPr>
          <w:p w14:paraId="21253FE2"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0,6</w:t>
            </w:r>
          </w:p>
        </w:tc>
      </w:tr>
      <w:tr w:rsidR="0004786A" w:rsidRPr="00DE058F" w14:paraId="27403ABB" w14:textId="77777777" w:rsidTr="0004786A">
        <w:trPr>
          <w:trHeight w:val="223"/>
          <w:jc w:val="center"/>
        </w:trPr>
        <w:tc>
          <w:tcPr>
            <w:tcW w:w="1450" w:type="pct"/>
            <w:shd w:val="clear" w:color="auto" w:fill="auto"/>
            <w:noWrap/>
            <w:vAlign w:val="center"/>
            <w:hideMark/>
          </w:tcPr>
          <w:p w14:paraId="6E3AC212"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Активиране гаранције</w:t>
            </w:r>
          </w:p>
        </w:tc>
        <w:tc>
          <w:tcPr>
            <w:tcW w:w="710" w:type="pct"/>
            <w:shd w:val="clear" w:color="auto" w:fill="auto"/>
            <w:hideMark/>
          </w:tcPr>
          <w:p w14:paraId="5F3410DE"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15,2</w:t>
            </w:r>
          </w:p>
        </w:tc>
        <w:tc>
          <w:tcPr>
            <w:tcW w:w="710" w:type="pct"/>
            <w:shd w:val="clear" w:color="auto" w:fill="auto"/>
            <w:noWrap/>
            <w:hideMark/>
          </w:tcPr>
          <w:p w14:paraId="6B77F6E1"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15,2</w:t>
            </w:r>
          </w:p>
        </w:tc>
        <w:tc>
          <w:tcPr>
            <w:tcW w:w="710" w:type="pct"/>
            <w:shd w:val="clear" w:color="auto" w:fill="auto"/>
            <w:hideMark/>
          </w:tcPr>
          <w:p w14:paraId="7446F498"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0,0</w:t>
            </w:r>
          </w:p>
        </w:tc>
        <w:tc>
          <w:tcPr>
            <w:tcW w:w="710" w:type="pct"/>
            <w:shd w:val="clear" w:color="auto" w:fill="auto"/>
            <w:hideMark/>
          </w:tcPr>
          <w:p w14:paraId="612269EC"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0,0</w:t>
            </w:r>
          </w:p>
        </w:tc>
        <w:tc>
          <w:tcPr>
            <w:tcW w:w="710" w:type="pct"/>
            <w:shd w:val="clear" w:color="auto" w:fill="auto"/>
            <w:noWrap/>
            <w:hideMark/>
          </w:tcPr>
          <w:p w14:paraId="00466292"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0,2</w:t>
            </w:r>
          </w:p>
        </w:tc>
      </w:tr>
      <w:tr w:rsidR="0004786A" w:rsidRPr="00DE058F" w14:paraId="5E3C02BC" w14:textId="77777777" w:rsidTr="0004786A">
        <w:trPr>
          <w:trHeight w:val="223"/>
          <w:jc w:val="center"/>
        </w:trPr>
        <w:tc>
          <w:tcPr>
            <w:tcW w:w="1450" w:type="pct"/>
            <w:shd w:val="clear" w:color="auto" w:fill="E7E6E6" w:themeFill="background2"/>
            <w:noWrap/>
            <w:vAlign w:val="center"/>
            <w:hideMark/>
          </w:tcPr>
          <w:p w14:paraId="6619DA8B" w14:textId="77777777" w:rsidR="00E124CF" w:rsidRPr="00DE058F" w:rsidRDefault="00E124CF" w:rsidP="00E124CF">
            <w:pPr>
              <w:spacing w:after="0" w:line="240" w:lineRule="auto"/>
              <w:jc w:val="left"/>
              <w:rPr>
                <w:rFonts w:cstheme="minorHAnsi"/>
                <w:color w:val="002060"/>
                <w:sz w:val="18"/>
                <w:szCs w:val="18"/>
                <w:lang w:val="sr-Cyrl-CS"/>
              </w:rPr>
            </w:pPr>
            <w:r w:rsidRPr="00DE058F">
              <w:rPr>
                <w:rFonts w:eastAsia="MS PGothic" w:cstheme="minorHAnsi"/>
                <w:color w:val="002060"/>
                <w:sz w:val="18"/>
                <w:szCs w:val="18"/>
                <w:lang w:val="sr-Cyrl-CS" w:eastAsia="ja-JP"/>
              </w:rPr>
              <w:t>Резултат</w:t>
            </w:r>
          </w:p>
        </w:tc>
        <w:tc>
          <w:tcPr>
            <w:tcW w:w="710" w:type="pct"/>
            <w:shd w:val="clear" w:color="auto" w:fill="E7E6E6" w:themeFill="background2"/>
            <w:hideMark/>
          </w:tcPr>
          <w:p w14:paraId="08E20115"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-200,2</w:t>
            </w:r>
          </w:p>
        </w:tc>
        <w:tc>
          <w:tcPr>
            <w:tcW w:w="710" w:type="pct"/>
            <w:shd w:val="clear" w:color="auto" w:fill="E7E6E6" w:themeFill="background2"/>
            <w:noWrap/>
            <w:hideMark/>
          </w:tcPr>
          <w:p w14:paraId="61503C66"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-206,7</w:t>
            </w:r>
          </w:p>
        </w:tc>
        <w:tc>
          <w:tcPr>
            <w:tcW w:w="710" w:type="pct"/>
            <w:shd w:val="clear" w:color="auto" w:fill="E7E6E6" w:themeFill="background2"/>
            <w:hideMark/>
          </w:tcPr>
          <w:p w14:paraId="5E29F09E"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-6,5</w:t>
            </w:r>
          </w:p>
        </w:tc>
        <w:tc>
          <w:tcPr>
            <w:tcW w:w="710" w:type="pct"/>
            <w:shd w:val="clear" w:color="auto" w:fill="E7E6E6" w:themeFill="background2"/>
            <w:hideMark/>
          </w:tcPr>
          <w:p w14:paraId="0A00B5E4" w14:textId="77777777" w:rsidR="00E124CF" w:rsidRPr="00DE058F" w:rsidRDefault="00E124CF" w:rsidP="00E124CF">
            <w:pPr>
              <w:spacing w:after="0" w:line="240" w:lineRule="auto"/>
              <w:ind w:right="340"/>
              <w:jc w:val="right"/>
              <w:rPr>
                <w:rFonts w:cstheme="minorHAnsi"/>
                <w:color w:val="002060"/>
                <w:sz w:val="18"/>
                <w:szCs w:val="18"/>
                <w:lang w:val="sr-Cyrl-CS"/>
              </w:rPr>
            </w:pPr>
          </w:p>
        </w:tc>
        <w:tc>
          <w:tcPr>
            <w:tcW w:w="710" w:type="pct"/>
            <w:shd w:val="clear" w:color="auto" w:fill="E7E6E6" w:themeFill="background2"/>
            <w:noWrap/>
            <w:hideMark/>
          </w:tcPr>
          <w:p w14:paraId="584EB329"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-3,0</w:t>
            </w:r>
          </w:p>
        </w:tc>
      </w:tr>
      <w:tr w:rsidR="0004786A" w:rsidRPr="00DE058F" w14:paraId="5A2EA4E7" w14:textId="77777777" w:rsidTr="0004786A">
        <w:trPr>
          <w:trHeight w:val="223"/>
          <w:jc w:val="center"/>
        </w:trPr>
        <w:tc>
          <w:tcPr>
            <w:tcW w:w="1450" w:type="pct"/>
            <w:tcBorders>
              <w:bottom w:val="single" w:sz="4" w:space="0" w:color="002060"/>
            </w:tcBorders>
            <w:shd w:val="clear" w:color="auto" w:fill="auto"/>
            <w:noWrap/>
            <w:vAlign w:val="center"/>
            <w:hideMark/>
          </w:tcPr>
          <w:p w14:paraId="3F41D424" w14:textId="77777777" w:rsidR="00E124CF" w:rsidRPr="00DE058F" w:rsidRDefault="00E124CF" w:rsidP="00E124CF">
            <w:pPr>
              <w:spacing w:after="0" w:line="240" w:lineRule="auto"/>
              <w:jc w:val="left"/>
              <w:rPr>
                <w:rFonts w:cstheme="minorHAnsi"/>
                <w:color w:val="002060"/>
                <w:sz w:val="18"/>
                <w:szCs w:val="18"/>
                <w:lang w:val="sr-Cyrl-CS"/>
              </w:rPr>
            </w:pPr>
            <w:r w:rsidRPr="00DE058F">
              <w:rPr>
                <w:rFonts w:eastAsia="MS PGothic" w:cstheme="minorHAnsi"/>
                <w:color w:val="002060"/>
                <w:sz w:val="18"/>
                <w:szCs w:val="18"/>
                <w:lang w:val="sr-Cyrl-CS" w:eastAsia="ja-JP"/>
              </w:rPr>
              <w:t>Резултат у % БДП</w:t>
            </w:r>
          </w:p>
        </w:tc>
        <w:tc>
          <w:tcPr>
            <w:tcW w:w="710" w:type="pct"/>
            <w:tcBorders>
              <w:bottom w:val="single" w:sz="4" w:space="0" w:color="002060"/>
            </w:tcBorders>
            <w:shd w:val="clear" w:color="auto" w:fill="auto"/>
            <w:hideMark/>
          </w:tcPr>
          <w:p w14:paraId="5B744DDB"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-3,0</w:t>
            </w:r>
          </w:p>
        </w:tc>
        <w:tc>
          <w:tcPr>
            <w:tcW w:w="710" w:type="pct"/>
            <w:tcBorders>
              <w:bottom w:val="single" w:sz="4" w:space="0" w:color="002060"/>
            </w:tcBorders>
            <w:shd w:val="clear" w:color="auto" w:fill="auto"/>
            <w:hideMark/>
          </w:tcPr>
          <w:p w14:paraId="17DBB02A" w14:textId="77777777" w:rsidR="00E124CF" w:rsidRPr="00DE058F" w:rsidRDefault="00E124CF" w:rsidP="00E124CF">
            <w:pPr>
              <w:spacing w:after="0" w:line="240" w:lineRule="auto"/>
              <w:ind w:right="227"/>
              <w:jc w:val="right"/>
              <w:rPr>
                <w:rFonts w:cstheme="minorHAnsi"/>
                <w:color w:val="002060"/>
                <w:sz w:val="18"/>
                <w:szCs w:val="18"/>
                <w:lang w:val="sr-Cyrl-CS"/>
              </w:rPr>
            </w:pPr>
            <w:r w:rsidRPr="00DE058F">
              <w:rPr>
                <w:rFonts w:cstheme="minorHAnsi"/>
                <w:color w:val="002060"/>
                <w:sz w:val="18"/>
                <w:szCs w:val="18"/>
                <w:lang w:val="sr-Cyrl-CS"/>
              </w:rPr>
              <w:t>-3,0</w:t>
            </w:r>
          </w:p>
        </w:tc>
        <w:tc>
          <w:tcPr>
            <w:tcW w:w="710" w:type="pct"/>
            <w:tcBorders>
              <w:bottom w:val="single" w:sz="4" w:space="0" w:color="002060"/>
            </w:tcBorders>
            <w:shd w:val="clear" w:color="auto" w:fill="auto"/>
            <w:hideMark/>
          </w:tcPr>
          <w:p w14:paraId="6201FA6C" w14:textId="77777777" w:rsidR="00E124CF" w:rsidRPr="00DE058F" w:rsidRDefault="00E124CF" w:rsidP="00E124CF">
            <w:pPr>
              <w:spacing w:after="0" w:line="240" w:lineRule="auto"/>
              <w:ind w:right="284"/>
              <w:jc w:val="right"/>
              <w:rPr>
                <w:rFonts w:cstheme="minorHAnsi"/>
                <w:color w:val="002060"/>
                <w:sz w:val="18"/>
                <w:szCs w:val="18"/>
                <w:lang w:val="sr-Cyrl-CS"/>
              </w:rPr>
            </w:pPr>
            <w:r w:rsidRPr="00DE058F">
              <w:rPr>
                <w:rFonts w:cstheme="minorHAnsi"/>
                <w:color w:val="002060"/>
                <w:sz w:val="18"/>
                <w:szCs w:val="18"/>
                <w:lang w:val="sr-Cyrl-CS"/>
              </w:rPr>
              <w:t>0,0</w:t>
            </w:r>
          </w:p>
        </w:tc>
        <w:tc>
          <w:tcPr>
            <w:tcW w:w="710" w:type="pct"/>
            <w:tcBorders>
              <w:bottom w:val="single" w:sz="4" w:space="0" w:color="002060"/>
            </w:tcBorders>
            <w:shd w:val="clear" w:color="auto" w:fill="auto"/>
            <w:hideMark/>
          </w:tcPr>
          <w:p w14:paraId="00F0DFCC" w14:textId="77777777" w:rsidR="00E124CF" w:rsidRPr="00DE058F" w:rsidRDefault="00E124CF" w:rsidP="00E124CF">
            <w:pPr>
              <w:spacing w:after="0" w:line="240" w:lineRule="auto"/>
              <w:ind w:right="340"/>
              <w:jc w:val="right"/>
              <w:rPr>
                <w:rFonts w:cstheme="minorHAnsi"/>
                <w:color w:val="002060"/>
                <w:sz w:val="18"/>
                <w:szCs w:val="18"/>
                <w:lang w:val="sr-Cyrl-CS"/>
              </w:rPr>
            </w:pPr>
          </w:p>
        </w:tc>
        <w:tc>
          <w:tcPr>
            <w:tcW w:w="710" w:type="pct"/>
            <w:tcBorders>
              <w:bottom w:val="single" w:sz="4" w:space="0" w:color="002060"/>
            </w:tcBorders>
            <w:shd w:val="clear" w:color="auto" w:fill="auto"/>
            <w:hideMark/>
          </w:tcPr>
          <w:p w14:paraId="33C6516D" w14:textId="77777777" w:rsidR="00E124CF" w:rsidRPr="00DE058F" w:rsidRDefault="00E124CF" w:rsidP="00E124CF">
            <w:pPr>
              <w:spacing w:after="0" w:line="240" w:lineRule="auto"/>
              <w:ind w:right="340"/>
              <w:jc w:val="right"/>
              <w:rPr>
                <w:rFonts w:cstheme="minorHAnsi"/>
                <w:color w:val="002060"/>
                <w:sz w:val="18"/>
                <w:szCs w:val="18"/>
                <w:lang w:val="sr-Cyrl-CS"/>
              </w:rPr>
            </w:pPr>
          </w:p>
        </w:tc>
      </w:tr>
    </w:tbl>
    <w:p w14:paraId="4A79233F" w14:textId="77777777" w:rsidR="00E124CF" w:rsidRPr="00DE058F" w:rsidRDefault="00E124CF" w:rsidP="00E124CF">
      <w:pPr>
        <w:spacing w:after="120" w:line="240" w:lineRule="auto"/>
        <w:jc w:val="left"/>
        <w:rPr>
          <w:rFonts w:cstheme="minorHAnsi"/>
          <w:sz w:val="16"/>
          <w:szCs w:val="16"/>
          <w:lang w:val="sr-Cyrl-CS"/>
        </w:rPr>
        <w:sectPr w:rsidR="00E124CF" w:rsidRPr="00DE058F" w:rsidSect="00AE40EB">
          <w:type w:val="continuous"/>
          <w:pgSz w:w="12240" w:h="15840" w:code="1"/>
          <w:pgMar w:top="1440" w:right="1440" w:bottom="1440" w:left="1440" w:header="720" w:footer="720" w:gutter="0"/>
          <w:cols w:space="720"/>
          <w:docGrid w:linePitch="360"/>
        </w:sectPr>
      </w:pPr>
      <w:r w:rsidRPr="00DE058F">
        <w:rPr>
          <w:rFonts w:eastAsia="Calibri" w:cstheme="minorHAnsi"/>
          <w:bCs/>
          <w:sz w:val="16"/>
          <w:szCs w:val="16"/>
          <w:lang w:val="sr-Cyrl-CS" w:eastAsia="ja-JP"/>
        </w:rPr>
        <w:t xml:space="preserve">Извор: </w:t>
      </w:r>
      <w:r w:rsidRPr="00DE058F">
        <w:rPr>
          <w:rFonts w:cstheme="minorHAnsi"/>
          <w:sz w:val="16"/>
          <w:szCs w:val="16"/>
          <w:lang w:val="sr-Cyrl-CS"/>
        </w:rPr>
        <w:t>Министарство финансија</w:t>
      </w:r>
    </w:p>
    <w:p w14:paraId="244A0AA5" w14:textId="77777777" w:rsidR="00E124CF" w:rsidRPr="00DE058F" w:rsidRDefault="00E124CF" w:rsidP="00E124CF">
      <w:pPr>
        <w:keepLines/>
        <w:widowControl w:val="0"/>
        <w:spacing w:after="120"/>
        <w:rPr>
          <w:rFonts w:eastAsia="MS PGothic" w:cstheme="minorHAnsi"/>
          <w:szCs w:val="20"/>
          <w:lang w:val="sr-Cyrl-CS" w:eastAsia="ja-JP"/>
        </w:rPr>
      </w:pPr>
      <w:r w:rsidRPr="00DE058F">
        <w:rPr>
          <w:rFonts w:eastAsia="MS PGothic" w:cstheme="minorHAnsi"/>
          <w:szCs w:val="20"/>
          <w:lang w:val="sr-Cyrl-CS" w:eastAsia="ja-JP"/>
        </w:rPr>
        <w:t>Најважнији фактори који су довели до измене у висини и структури прихода опште државе су:</w:t>
      </w:r>
    </w:p>
    <w:p w14:paraId="47871EDA" w14:textId="77777777" w:rsidR="00E124CF" w:rsidRPr="00DE058F" w:rsidRDefault="00E124CF" w:rsidP="00DB0157">
      <w:pPr>
        <w:pStyle w:val="ListParagraph"/>
        <w:keepLines/>
        <w:widowControl w:val="0"/>
        <w:numPr>
          <w:ilvl w:val="0"/>
          <w:numId w:val="17"/>
        </w:numPr>
        <w:spacing w:after="120"/>
        <w:rPr>
          <w:rFonts w:eastAsia="MS PGothic" w:cstheme="minorHAnsi"/>
          <w:szCs w:val="20"/>
          <w:lang w:val="sr-Cyrl-CS" w:eastAsia="ja-JP"/>
        </w:rPr>
      </w:pPr>
      <w:r w:rsidRPr="00DE058F">
        <w:rPr>
          <w:rFonts w:eastAsia="MS PGothic" w:cstheme="minorHAnsi"/>
          <w:szCs w:val="20"/>
          <w:lang w:val="sr-Cyrl-CS" w:eastAsia="ja-JP"/>
        </w:rPr>
        <w:t>базни ефекат (боље остварење на крају претходне године);</w:t>
      </w:r>
    </w:p>
    <w:p w14:paraId="25B772E7" w14:textId="77777777" w:rsidR="00E124CF" w:rsidRPr="00DE058F" w:rsidRDefault="00E124CF" w:rsidP="00DB0157">
      <w:pPr>
        <w:pStyle w:val="ListParagraph"/>
        <w:keepLines/>
        <w:widowControl w:val="0"/>
        <w:numPr>
          <w:ilvl w:val="0"/>
          <w:numId w:val="17"/>
        </w:numPr>
        <w:spacing w:after="120"/>
        <w:rPr>
          <w:rFonts w:eastAsia="MS PGothic" w:cstheme="minorHAnsi"/>
          <w:szCs w:val="20"/>
          <w:lang w:val="sr-Cyrl-CS" w:eastAsia="ja-JP"/>
        </w:rPr>
      </w:pPr>
      <w:r w:rsidRPr="00DE058F">
        <w:rPr>
          <w:rFonts w:eastAsia="MS PGothic" w:cstheme="minorHAnsi"/>
          <w:szCs w:val="20"/>
          <w:lang w:val="sr-Cyrl-CS" w:eastAsia="ja-JP"/>
        </w:rPr>
        <w:t>позитиван утицај додатних мера помоћи становништву на личну потрошњу;</w:t>
      </w:r>
    </w:p>
    <w:p w14:paraId="09BFDC5E" w14:textId="77777777" w:rsidR="00E124CF" w:rsidRPr="00DE058F" w:rsidRDefault="00E124CF" w:rsidP="00DB0157">
      <w:pPr>
        <w:pStyle w:val="ListParagraph"/>
        <w:keepLines/>
        <w:widowControl w:val="0"/>
        <w:numPr>
          <w:ilvl w:val="0"/>
          <w:numId w:val="17"/>
        </w:numPr>
        <w:spacing w:after="120"/>
        <w:rPr>
          <w:rFonts w:eastAsia="MS PGothic" w:cstheme="minorHAnsi"/>
          <w:szCs w:val="20"/>
          <w:lang w:val="sr-Cyrl-CS" w:eastAsia="ja-JP"/>
        </w:rPr>
      </w:pPr>
      <w:r w:rsidRPr="00DE058F">
        <w:rPr>
          <w:rFonts w:eastAsia="MS PGothic" w:cstheme="minorHAnsi"/>
          <w:szCs w:val="20"/>
          <w:lang w:val="sr-Cyrl-CS" w:eastAsia="ja-JP"/>
        </w:rPr>
        <w:t>конзервативно планирање одређених категорија пореских прихода;</w:t>
      </w:r>
    </w:p>
    <w:p w14:paraId="2075AA76" w14:textId="77777777" w:rsidR="00E124CF" w:rsidRPr="00DE058F" w:rsidRDefault="00E124CF" w:rsidP="00DB0157">
      <w:pPr>
        <w:pStyle w:val="ListParagraph"/>
        <w:keepLines/>
        <w:widowControl w:val="0"/>
        <w:numPr>
          <w:ilvl w:val="0"/>
          <w:numId w:val="17"/>
        </w:numPr>
        <w:spacing w:after="120"/>
        <w:rPr>
          <w:rFonts w:eastAsia="MS PGothic" w:cstheme="minorHAnsi"/>
          <w:szCs w:val="20"/>
          <w:lang w:val="sr-Cyrl-CS" w:eastAsia="ja-JP"/>
        </w:rPr>
      </w:pPr>
      <w:r w:rsidRPr="00DE058F">
        <w:rPr>
          <w:rFonts w:eastAsia="MS PGothic" w:cstheme="minorHAnsi"/>
          <w:szCs w:val="20"/>
          <w:lang w:val="sr-Cyrl-CS" w:eastAsia="ja-JP"/>
        </w:rPr>
        <w:t>наплата пореских и непореских прихода током првог квартала 2022. године;</w:t>
      </w:r>
    </w:p>
    <w:p w14:paraId="5D194011" w14:textId="77777777" w:rsidR="00E124CF" w:rsidRPr="00DE058F" w:rsidRDefault="00E124CF" w:rsidP="00DB0157">
      <w:pPr>
        <w:pStyle w:val="ListParagraph"/>
        <w:keepLines/>
        <w:widowControl w:val="0"/>
        <w:numPr>
          <w:ilvl w:val="0"/>
          <w:numId w:val="17"/>
        </w:numPr>
        <w:spacing w:after="120"/>
        <w:rPr>
          <w:rFonts w:eastAsia="MS PGothic" w:cstheme="minorHAnsi"/>
          <w:szCs w:val="20"/>
          <w:lang w:val="sr-Cyrl-CS" w:eastAsia="ja-JP"/>
        </w:rPr>
      </w:pPr>
      <w:r w:rsidRPr="00DE058F">
        <w:rPr>
          <w:rFonts w:eastAsia="MS PGothic" w:cstheme="minorHAnsi"/>
          <w:szCs w:val="20"/>
          <w:lang w:val="sr-Cyrl-CS" w:eastAsia="ja-JP"/>
        </w:rPr>
        <w:t>нешто повољнија кретања на тржишту рада од предвиђених;</w:t>
      </w:r>
    </w:p>
    <w:p w14:paraId="2CBBA5CB" w14:textId="77777777" w:rsidR="00E124CF" w:rsidRPr="00DE058F" w:rsidRDefault="00E124CF" w:rsidP="00DB0157">
      <w:pPr>
        <w:pStyle w:val="ListParagraph"/>
        <w:keepLines/>
        <w:widowControl w:val="0"/>
        <w:numPr>
          <w:ilvl w:val="0"/>
          <w:numId w:val="17"/>
        </w:numPr>
        <w:spacing w:after="120"/>
        <w:rPr>
          <w:rFonts w:eastAsia="MS PGothic" w:cstheme="minorHAnsi"/>
          <w:szCs w:val="20"/>
          <w:lang w:val="sr-Cyrl-CS" w:eastAsia="ja-JP"/>
        </w:rPr>
      </w:pPr>
      <w:r w:rsidRPr="00DE058F">
        <w:rPr>
          <w:rFonts w:eastAsia="MS PGothic" w:cstheme="minorHAnsi"/>
          <w:szCs w:val="20"/>
          <w:lang w:val="sr-Cyrl-CS" w:eastAsia="ja-JP"/>
        </w:rPr>
        <w:t>већи раст инфлације од предвиђеног, као и значајан раст увозних цена;</w:t>
      </w:r>
    </w:p>
    <w:p w14:paraId="35D41984" w14:textId="77777777" w:rsidR="00E124CF" w:rsidRPr="00DE058F" w:rsidRDefault="00E124CF" w:rsidP="00DB0157">
      <w:pPr>
        <w:pStyle w:val="ListParagraph"/>
        <w:keepLines/>
        <w:widowControl w:val="0"/>
        <w:numPr>
          <w:ilvl w:val="0"/>
          <w:numId w:val="17"/>
        </w:numPr>
        <w:spacing w:after="120"/>
        <w:rPr>
          <w:rFonts w:eastAsia="MS PGothic" w:cstheme="minorHAnsi"/>
          <w:szCs w:val="20"/>
          <w:lang w:val="sr-Cyrl-CS" w:eastAsia="ja-JP"/>
        </w:rPr>
        <w:sectPr w:rsidR="00E124CF" w:rsidRPr="00DE058F" w:rsidSect="00AE40EB">
          <w:type w:val="continuous"/>
          <w:pgSz w:w="12240" w:h="15840" w:code="1"/>
          <w:pgMar w:top="1440" w:right="1440" w:bottom="1440" w:left="1440" w:header="720" w:footer="720" w:gutter="0"/>
          <w:cols w:num="2" w:space="720"/>
          <w:docGrid w:linePitch="360"/>
        </w:sectPr>
      </w:pPr>
      <w:r w:rsidRPr="00DE058F">
        <w:rPr>
          <w:rFonts w:eastAsia="MS PGothic" w:cstheme="minorHAnsi"/>
          <w:szCs w:val="20"/>
          <w:lang w:val="sr-Cyrl-CS" w:eastAsia="ja-JP"/>
        </w:rPr>
        <w:t>донете мере на ублажавању инфлаторних утицаја у виду смањења акцизног оптерећења појединих производа.</w:t>
      </w:r>
    </w:p>
    <w:p w14:paraId="24E39C58" w14:textId="77777777" w:rsidR="00E124CF" w:rsidRPr="00DE058F" w:rsidRDefault="00E124CF" w:rsidP="00E124CF">
      <w:pPr>
        <w:rPr>
          <w:lang w:val="sr-Cyrl-CS" w:eastAsia="ja-JP"/>
        </w:rPr>
      </w:pPr>
    </w:p>
    <w:p w14:paraId="4AF1A912" w14:textId="0A871659" w:rsidR="00E124CF" w:rsidRPr="00DE058F" w:rsidRDefault="00E124CF" w:rsidP="00E124CF">
      <w:pPr>
        <w:keepLines/>
        <w:widowControl w:val="0"/>
        <w:spacing w:after="120"/>
        <w:rPr>
          <w:rFonts w:eastAsia="MS PGothic" w:cstheme="minorHAnsi"/>
          <w:szCs w:val="20"/>
          <w:lang w:val="sr-Cyrl-CS" w:eastAsia="ja-JP"/>
        </w:rPr>
      </w:pPr>
      <w:r w:rsidRPr="00DE058F">
        <w:rPr>
          <w:rFonts w:eastAsia="MS PGothic" w:cstheme="minorHAnsi"/>
          <w:szCs w:val="20"/>
          <w:lang w:val="sr-Cyrl-CS" w:eastAsia="ja-JP"/>
        </w:rPr>
        <w:lastRenderedPageBreak/>
        <w:t>Пројекција прихода од пореза на доходак грађана повећана је за 8,9 млрд динара у односу на оригинални износ. Приликом пројекц</w:t>
      </w:r>
      <w:r w:rsidR="0049459A" w:rsidRPr="00DE058F">
        <w:rPr>
          <w:rFonts w:eastAsia="MS PGothic" w:cstheme="minorHAnsi"/>
          <w:szCs w:val="20"/>
          <w:lang w:val="sr-Cyrl-CS" w:eastAsia="ja-JP"/>
        </w:rPr>
        <w:t>ије прихода од пореза на зараде</w:t>
      </w:r>
      <w:r w:rsidRPr="00DE058F">
        <w:rPr>
          <w:rFonts w:eastAsia="MS PGothic" w:cstheme="minorHAnsi"/>
          <w:szCs w:val="20"/>
          <w:lang w:val="sr-Cyrl-CS" w:eastAsia="ja-JP"/>
        </w:rPr>
        <w:t xml:space="preserve"> узете су у обзир пројекције кретања просечних зарада и запослености, процене о превременом враћању дела одложених пореза током 2020. године, као и процене ефеката смањења пореског оптерећења зарада у 2022. години. Исте претпоставке се користе и за пројекцију прихода од социјалних доприноса који чине највећи појединачни приход на нивоу опште државе. Наплата на крају претходне године је била нешто већа од очекиване, а тренутно се бележи нешто бржи раст просечних зарада од планираних. Услед тога процене прихода од пореза на зараде и социјалних доприноса (5,7 млрд динара) су благо ревидиране навише. Остатак пореза на доходак чине остали облици као што су порез на дивиденде, порез на приходе од камата, годишњи порез на доходак, порез на приходе од закупа непокретности и др. Пројекција ових пореских облика није мењана.</w:t>
      </w:r>
    </w:p>
    <w:p w14:paraId="33EFEDDC" w14:textId="77777777" w:rsidR="00E124CF" w:rsidRPr="00DE058F" w:rsidRDefault="00E124CF" w:rsidP="00E124CF">
      <w:pPr>
        <w:keepLines/>
        <w:widowControl w:val="0"/>
        <w:spacing w:after="120"/>
        <w:rPr>
          <w:rFonts w:eastAsia="MS PGothic" w:cstheme="minorHAnsi"/>
          <w:szCs w:val="20"/>
          <w:lang w:val="sr-Cyrl-CS" w:eastAsia="ja-JP"/>
        </w:rPr>
      </w:pPr>
      <w:r w:rsidRPr="00DE058F">
        <w:rPr>
          <w:rFonts w:eastAsia="MS PGothic" w:cstheme="minorHAnsi"/>
          <w:szCs w:val="20"/>
          <w:lang w:val="sr-Cyrl-CS" w:eastAsia="ja-JP"/>
        </w:rPr>
        <w:t>Пројекција прихода од пореза на добит износи 145 млрд динара и није се мењала у односу на буџетски план за 2022. годину, иако је наплата током првог квартала премашила очекивања. Иако су конзервативно планирани, највећи део прихода од пореза на добит уплаћује се током другог квартала, па тренутно не постоји поуздан основ за њихову ревизију.</w:t>
      </w:r>
    </w:p>
    <w:p w14:paraId="1684CDFE" w14:textId="2357341D" w:rsidR="00E124CF" w:rsidRPr="00DE058F" w:rsidRDefault="00E124CF" w:rsidP="00E124CF">
      <w:pPr>
        <w:keepLines/>
        <w:widowControl w:val="0"/>
        <w:spacing w:after="120"/>
        <w:rPr>
          <w:rFonts w:eastAsia="MS PGothic" w:cstheme="minorHAnsi"/>
          <w:szCs w:val="20"/>
          <w:lang w:val="sr-Cyrl-CS" w:eastAsia="ja-JP"/>
        </w:rPr>
      </w:pPr>
      <w:r w:rsidRPr="00DE058F">
        <w:rPr>
          <w:rFonts w:eastAsia="MS PGothic" w:cstheme="minorHAnsi"/>
          <w:szCs w:val="20"/>
          <w:lang w:val="sr-Cyrl-CS" w:eastAsia="ja-JP"/>
        </w:rPr>
        <w:t>Порез на додату вредност пројектован је у висини од 750,7 млрд динара</w:t>
      </w:r>
      <w:r w:rsidR="00485369" w:rsidRPr="00DE058F">
        <w:rPr>
          <w:rFonts w:eastAsia="MS PGothic" w:cstheme="minorHAnsi"/>
          <w:szCs w:val="20"/>
          <w:lang w:val="sr-Cyrl-CS" w:eastAsia="ja-JP"/>
        </w:rPr>
        <w:t>,</w:t>
      </w:r>
      <w:r w:rsidRPr="00DE058F">
        <w:rPr>
          <w:rFonts w:eastAsia="MS PGothic" w:cstheme="minorHAnsi"/>
          <w:szCs w:val="20"/>
          <w:lang w:val="sr-Cyrl-CS" w:eastAsia="ja-JP"/>
        </w:rPr>
        <w:t xml:space="preserve"> што представља повећање од 66,6 млрд у односу на оригиналну пројекцију. Ово значајно повећање делом је последица и конзервативног планирања, услед неизвесности око кретања личне потрошње након периода снажног раста у претходној години, а делом и као последица стимулативних мера државе. Осим тога разлог за овако значајну ревизију прихода од ПДВ навише је и што је раст цена на домаћем тржишту већи него што је иницијално очекивано. Цене енергената су и директно и индиректно утицале на стопу инфлације, а великим делом су се прелиле и на тржиште прехрамбених производа који чине значајан део потрошачке корпе домаћинстава. Исто се односи и на производе од нафте чије цене бележе снажан раст.</w:t>
      </w:r>
    </w:p>
    <w:p w14:paraId="7FDF3E2B" w14:textId="77777777" w:rsidR="00E124CF" w:rsidRPr="00DE058F" w:rsidRDefault="00E124CF" w:rsidP="00E124CF">
      <w:pPr>
        <w:keepLines/>
        <w:widowControl w:val="0"/>
        <w:spacing w:after="120"/>
        <w:rPr>
          <w:rFonts w:eastAsia="MS PGothic" w:cstheme="minorHAnsi"/>
          <w:szCs w:val="20"/>
          <w:lang w:val="sr-Cyrl-CS" w:eastAsia="ja-JP"/>
        </w:rPr>
      </w:pPr>
      <w:r w:rsidRPr="00DE058F">
        <w:rPr>
          <w:rFonts w:eastAsia="MS PGothic" w:cstheme="minorHAnsi"/>
          <w:szCs w:val="20"/>
          <w:lang w:val="sr-Cyrl-CS" w:eastAsia="ja-JP"/>
        </w:rPr>
        <w:t>Држава је својим мерама и ограничењем цена појединих производа делимично ублажила ове неповољне тенденције. Ниво расположивог дохотка становништва, генерисан добрим делом и у претходном периоду, довео је до тога да у овом тренутку не дође до пада прометованих количина робе и услуга, те стога номинални ниво личне потрошње бележи снажан раст. Тренутна пројекција ПДВ подразумева да ће до одређеног успоравања доћи у другој половини године.</w:t>
      </w:r>
    </w:p>
    <w:p w14:paraId="326100F7" w14:textId="2112F279" w:rsidR="00E124CF" w:rsidRPr="00DE058F" w:rsidRDefault="00E124CF" w:rsidP="00E124CF">
      <w:pPr>
        <w:keepLines/>
        <w:widowControl w:val="0"/>
        <w:spacing w:after="120"/>
        <w:rPr>
          <w:rFonts w:eastAsia="MS PGothic" w:cstheme="minorHAnsi"/>
          <w:szCs w:val="20"/>
          <w:lang w:val="sr-Cyrl-CS" w:eastAsia="ja-JP"/>
        </w:rPr>
      </w:pPr>
      <w:r w:rsidRPr="00DE058F">
        <w:rPr>
          <w:rFonts w:eastAsia="MS PGothic" w:cstheme="minorHAnsi"/>
          <w:szCs w:val="20"/>
          <w:lang w:val="sr-Cyrl-CS" w:eastAsia="ja-JP"/>
        </w:rPr>
        <w:t>Приходи од царина пројектовани су у износу од 75 млрд</w:t>
      </w:r>
      <w:r w:rsidR="000C20F5" w:rsidRPr="00DE058F">
        <w:rPr>
          <w:rFonts w:eastAsia="MS PGothic" w:cstheme="minorHAnsi"/>
          <w:szCs w:val="20"/>
          <w:lang w:val="sr-Cyrl-CS" w:eastAsia="ja-JP"/>
        </w:rPr>
        <w:t>,</w:t>
      </w:r>
      <w:r w:rsidRPr="00DE058F">
        <w:rPr>
          <w:rFonts w:eastAsia="MS PGothic" w:cstheme="minorHAnsi"/>
          <w:szCs w:val="20"/>
          <w:lang w:val="sr-Cyrl-CS" w:eastAsia="ja-JP"/>
        </w:rPr>
        <w:t xml:space="preserve"> што представља повећање од 11,7 млрд динара у односу на оригиналну пројекцију. Наплата царина бележи изузетно снажан раст у првом кварталу 20</w:t>
      </w:r>
      <w:r w:rsidR="00C5008A" w:rsidRPr="00DE058F">
        <w:rPr>
          <w:rFonts w:eastAsia="MS PGothic" w:cstheme="minorHAnsi"/>
          <w:szCs w:val="20"/>
          <w:lang w:val="sr-Cyrl-CS" w:eastAsia="ja-JP"/>
        </w:rPr>
        <w:t>2</w:t>
      </w:r>
      <w:r w:rsidR="0057022A" w:rsidRPr="00DE058F">
        <w:rPr>
          <w:rFonts w:eastAsia="MS PGothic" w:cstheme="minorHAnsi"/>
          <w:szCs w:val="20"/>
          <w:lang w:val="sr-Cyrl-CS" w:eastAsia="ja-JP"/>
        </w:rPr>
        <w:t>2</w:t>
      </w:r>
      <w:r w:rsidR="00C5008A" w:rsidRPr="00DE058F">
        <w:rPr>
          <w:rFonts w:eastAsia="MS PGothic" w:cstheme="minorHAnsi"/>
          <w:szCs w:val="20"/>
          <w:lang w:val="sr-Cyrl-CS" w:eastAsia="ja-JP"/>
        </w:rPr>
        <w:t>. године. Као и у случају ПДВ</w:t>
      </w:r>
      <w:r w:rsidRPr="00DE058F">
        <w:rPr>
          <w:rFonts w:eastAsia="MS PGothic" w:cstheme="minorHAnsi"/>
          <w:szCs w:val="20"/>
          <w:lang w:val="sr-Cyrl-CS" w:eastAsia="ja-JP"/>
        </w:rPr>
        <w:t>, разлози су у изузетно високом расту увозних цена, али и набавке већих количина енергената услед неизвесности на глобалном тржишту.</w:t>
      </w:r>
    </w:p>
    <w:p w14:paraId="4E6EDB9F" w14:textId="744F4FFE" w:rsidR="00E124CF" w:rsidRPr="00DE058F" w:rsidRDefault="00E124CF" w:rsidP="00E124CF">
      <w:pPr>
        <w:keepLines/>
        <w:widowControl w:val="0"/>
        <w:spacing w:after="120"/>
        <w:rPr>
          <w:rFonts w:eastAsia="MS PGothic" w:cstheme="minorHAnsi"/>
          <w:szCs w:val="20"/>
          <w:lang w:val="sr-Cyrl-CS" w:eastAsia="ja-JP"/>
        </w:rPr>
      </w:pPr>
      <w:r w:rsidRPr="00DE058F">
        <w:rPr>
          <w:rFonts w:eastAsia="MS PGothic" w:cstheme="minorHAnsi"/>
          <w:szCs w:val="20"/>
          <w:lang w:val="sr-Cyrl-CS" w:eastAsia="ja-JP"/>
        </w:rPr>
        <w:t>Пројекција прихода од акциза је смањена у односу на оригиналну пројекцију за 10 млрд динара. Како би спречила претерани раст цена нафтних деривата, држава је одложила редовну индексацију акцизних стопа са инфлацијом из претходне године, и након тога додатно привремено смањила висину акциза прво за 20%, а потом за 15% у односу на последње објављене износе. Као полазна тачка за пројекцију узет је прошлогодишњи ниво потрошње и напред наведени параметри. У првом кварталу бележи се висок степен наплате</w:t>
      </w:r>
      <w:r w:rsidR="001152C5" w:rsidRPr="00DE058F">
        <w:rPr>
          <w:rFonts w:eastAsia="MS PGothic" w:cstheme="minorHAnsi"/>
          <w:szCs w:val="20"/>
          <w:lang w:val="sr-Cyrl-CS" w:eastAsia="ja-JP"/>
        </w:rPr>
        <w:t>,</w:t>
      </w:r>
      <w:r w:rsidRPr="00DE058F">
        <w:rPr>
          <w:rFonts w:eastAsia="MS PGothic" w:cstheme="minorHAnsi"/>
          <w:szCs w:val="20"/>
          <w:lang w:val="sr-Cyrl-CS" w:eastAsia="ja-JP"/>
        </w:rPr>
        <w:t xml:space="preserve"> делом и услед повећане куповине због неизвесности у вези будућих цена. Смањење прихода од акциза односи се само на приходе од акциза на нафтне деривате, док су приходи од осталих акцизних производа у овом тренутку задржани на првобитно планираном нивоу.</w:t>
      </w:r>
    </w:p>
    <w:p w14:paraId="0DEC3F14" w14:textId="665E3B9D" w:rsidR="00E124CF" w:rsidRPr="00DE058F" w:rsidRDefault="00E124CF" w:rsidP="00E124CF">
      <w:pPr>
        <w:keepLines/>
        <w:widowControl w:val="0"/>
        <w:spacing w:after="120"/>
        <w:rPr>
          <w:rFonts w:eastAsia="MS PGothic" w:cstheme="minorHAnsi"/>
          <w:szCs w:val="20"/>
          <w:lang w:val="sr-Cyrl-CS" w:eastAsia="ja-JP"/>
        </w:rPr>
      </w:pPr>
      <w:r w:rsidRPr="00DE058F">
        <w:rPr>
          <w:rFonts w:eastAsia="MS PGothic" w:cstheme="minorHAnsi"/>
          <w:szCs w:val="20"/>
          <w:lang w:val="sr-Cyrl-CS" w:eastAsia="ja-JP"/>
        </w:rPr>
        <w:t>Непорески приходи су повећани у односу на износ предвиђен оригиналним буџетом за 14,2 млрд динара и то највише у оквиру категорије редовних непореских прихода. Ту спадају различите таксе, накнаде, казне, приходи органа и организација и сви остали приходи који се остварују устаљеном динамиком током године, у приближно сличним износима на месечном нивоу уз одређене сезонске варијације.</w:t>
      </w:r>
    </w:p>
    <w:p w14:paraId="3B3C8D5A" w14:textId="77777777" w:rsidR="00E124CF" w:rsidRPr="00DE058F" w:rsidRDefault="00E124CF" w:rsidP="00E124CF">
      <w:pPr>
        <w:keepLines/>
        <w:widowControl w:val="0"/>
        <w:spacing w:after="120"/>
        <w:rPr>
          <w:rFonts w:eastAsia="MS PGothic" w:cstheme="minorHAnsi"/>
          <w:szCs w:val="20"/>
          <w:lang w:val="sr-Cyrl-CS" w:eastAsia="ja-JP"/>
        </w:rPr>
      </w:pPr>
      <w:r w:rsidRPr="00DE058F">
        <w:rPr>
          <w:rFonts w:eastAsia="MS PGothic" w:cstheme="minorHAnsi"/>
          <w:szCs w:val="20"/>
          <w:lang w:val="sr-Cyrl-CS" w:eastAsia="ja-JP"/>
        </w:rPr>
        <w:lastRenderedPageBreak/>
        <w:t>Први разлог за повећање пројектованог износа је боље остварење на крају претходне године, док је други разлог изузетно добра наплата током првог квартала текуће године. Снажан раст бележи већина облика из ове категорије, а издвајају се приходи од игара на срећу, као и накнаде за минералне сировине. У овом случају ради се и о ценовној компоненти минералних сировина, као и количинама које су прерађене.</w:t>
      </w:r>
    </w:p>
    <w:p w14:paraId="1D077A2F" w14:textId="77777777" w:rsidR="00E124CF" w:rsidRPr="00DE058F" w:rsidRDefault="00E124CF" w:rsidP="00E124CF">
      <w:pPr>
        <w:keepLines/>
        <w:widowControl w:val="0"/>
        <w:spacing w:after="120"/>
        <w:rPr>
          <w:rFonts w:eastAsia="MS PGothic" w:cstheme="minorHAnsi"/>
          <w:szCs w:val="20"/>
          <w:lang w:val="sr-Cyrl-CS" w:eastAsia="ja-JP"/>
        </w:rPr>
      </w:pPr>
      <w:r w:rsidRPr="00DE058F">
        <w:rPr>
          <w:rFonts w:eastAsia="MS PGothic" w:cstheme="minorHAnsi"/>
          <w:szCs w:val="20"/>
          <w:lang w:val="sr-Cyrl-CS" w:eastAsia="ja-JP"/>
        </w:rPr>
        <w:t>Ванредне непореске приходе чине уплате добити јавних предузећа и агенција, дивиденде буџета, приходи по основу наплаћених потраживања Агенције за осигурање депозита, емисионе премије, итд. Процена наплате ове групације непореских прихода промењена је навише због уплате добити у буџет од стране НБС.</w:t>
      </w:r>
    </w:p>
    <w:p w14:paraId="42E7114D" w14:textId="77777777" w:rsidR="00E124CF" w:rsidRPr="00DE058F" w:rsidRDefault="00E124CF" w:rsidP="00E124CF">
      <w:pPr>
        <w:keepLines/>
        <w:widowControl w:val="0"/>
        <w:spacing w:after="120"/>
        <w:jc w:val="center"/>
        <w:rPr>
          <w:rFonts w:cstheme="minorHAnsi"/>
          <w:b/>
          <w:color w:val="002060"/>
          <w:lang w:val="sr-Cyrl-CS"/>
        </w:rPr>
      </w:pPr>
      <w:r w:rsidRPr="00DE058F">
        <w:rPr>
          <w:rFonts w:cstheme="minorHAnsi"/>
          <w:b/>
          <w:color w:val="002060"/>
          <w:lang w:val="sr-Cyrl-CS"/>
        </w:rPr>
        <w:t>Допринос појединачних фактора корекцији фискалног резултата у односу на план за 2022. годину, % БДП</w:t>
      </w:r>
    </w:p>
    <w:p w14:paraId="358F819A" w14:textId="77777777" w:rsidR="00E124CF" w:rsidRPr="00DE058F" w:rsidRDefault="00E124CF" w:rsidP="00E124CF">
      <w:pPr>
        <w:keepLines/>
        <w:widowControl w:val="0"/>
        <w:spacing w:after="120"/>
        <w:rPr>
          <w:rFonts w:eastAsia="MS PGothic" w:cstheme="minorHAnsi"/>
          <w:szCs w:val="20"/>
          <w:lang w:val="sr-Cyrl-CS" w:eastAsia="ja-JP"/>
        </w:rPr>
      </w:pPr>
      <w:r w:rsidRPr="00DE058F">
        <w:rPr>
          <w:rFonts w:eastAsia="MS PGothic" w:cstheme="minorHAnsi"/>
          <w:noProof/>
          <w:szCs w:val="20"/>
        </w:rPr>
        <w:drawing>
          <wp:inline distT="0" distB="0" distL="0" distR="0" wp14:anchorId="414C5087" wp14:editId="27BA24F5">
            <wp:extent cx="2962275" cy="2686050"/>
            <wp:effectExtent l="0" t="0" r="952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62275" cy="2686050"/>
                    </a:xfrm>
                    <a:prstGeom prst="rect">
                      <a:avLst/>
                    </a:prstGeom>
                    <a:noFill/>
                  </pic:spPr>
                </pic:pic>
              </a:graphicData>
            </a:graphic>
          </wp:inline>
        </w:drawing>
      </w:r>
    </w:p>
    <w:p w14:paraId="5D6BC77C" w14:textId="77777777" w:rsidR="00E124CF" w:rsidRPr="00DE058F" w:rsidRDefault="00E124CF" w:rsidP="00E124CF">
      <w:pPr>
        <w:spacing w:after="120"/>
        <w:rPr>
          <w:rFonts w:eastAsia="MS PGothic" w:cstheme="minorHAnsi"/>
          <w:szCs w:val="20"/>
          <w:lang w:val="sr-Cyrl-CS" w:eastAsia="ja-JP"/>
        </w:rPr>
      </w:pPr>
      <w:r w:rsidRPr="00DE058F">
        <w:rPr>
          <w:rFonts w:eastAsia="MS PGothic" w:cstheme="minorHAnsi"/>
          <w:szCs w:val="20"/>
          <w:lang w:val="sr-Cyrl-CS" w:eastAsia="ja-JP"/>
        </w:rPr>
        <w:t xml:space="preserve">Процена расхода опште државе овим фискалним оквиром повећана је за 103,4 млрд динара у односу на оригинални буџет. Највећи део овог повећања се односи на додатне мере за подршку становништву, набавку енергената и спровођење нових мера популационе политике. Остатак чине расходи везани за куповину роба и услуга, као и увећање капиталних расхода. Ниво и структура расхода процењени су на бази тренутно расположивих информација и нису формализовани ребалансом буџета, тако да се </w:t>
      </w:r>
      <w:r w:rsidRPr="00DE058F">
        <w:rPr>
          <w:rFonts w:eastAsia="MS PGothic" w:cstheme="minorHAnsi"/>
          <w:szCs w:val="20"/>
          <w:lang w:val="sr-Cyrl-CS" w:eastAsia="ja-JP"/>
        </w:rPr>
        <w:t>могу очекивати додатне измене, пре свега у структури, приликом израде ребаланса буџета.</w:t>
      </w:r>
    </w:p>
    <w:p w14:paraId="0AD0D863" w14:textId="77777777" w:rsidR="00E124CF" w:rsidRPr="00DE058F" w:rsidRDefault="00E124CF" w:rsidP="00E124CF">
      <w:pPr>
        <w:spacing w:after="120"/>
        <w:rPr>
          <w:rFonts w:eastAsia="MS PGothic" w:cstheme="minorHAnsi"/>
          <w:szCs w:val="20"/>
          <w:lang w:val="sr-Cyrl-CS" w:eastAsia="ja-JP"/>
        </w:rPr>
      </w:pPr>
      <w:r w:rsidRPr="00DE058F">
        <w:rPr>
          <w:rFonts w:eastAsia="MS PGothic" w:cstheme="minorHAnsi"/>
          <w:szCs w:val="20"/>
          <w:lang w:val="sr-Cyrl-CS" w:eastAsia="ja-JP"/>
        </w:rPr>
        <w:t>Расходи за робе и услуге су повећани за 18,7 млрд динара. Највећи део повећања се односи на набавку лекова и медицинске опреме и средстава од стране РФЗО. Други део повећања се односи на текуће одржавање путева код ЈП „Путеви Србије”.</w:t>
      </w:r>
    </w:p>
    <w:p w14:paraId="0909F681" w14:textId="31DA9030" w:rsidR="00E124CF" w:rsidRPr="00DE058F" w:rsidRDefault="00E124CF" w:rsidP="00E124CF">
      <w:pPr>
        <w:spacing w:after="120"/>
        <w:rPr>
          <w:rFonts w:eastAsia="MS PGothic" w:cstheme="minorHAnsi"/>
          <w:szCs w:val="20"/>
          <w:lang w:val="sr-Cyrl-CS" w:eastAsia="ja-JP"/>
        </w:rPr>
      </w:pPr>
      <w:r w:rsidRPr="00DE058F">
        <w:rPr>
          <w:rFonts w:eastAsia="MS PGothic" w:cstheme="minorHAnsi"/>
          <w:szCs w:val="20"/>
          <w:lang w:val="sr-Cyrl-CS" w:eastAsia="ja-JP"/>
        </w:rPr>
        <w:t xml:space="preserve">Субвенције су повећане у односу на оригинални план за 1,3 млрд динара, при чему су субвенције у пољопривреди повећане за 3,5 млрд динара, док је на другим </w:t>
      </w:r>
      <w:r w:rsidR="00724CE5" w:rsidRPr="00DE058F">
        <w:rPr>
          <w:rFonts w:eastAsia="MS PGothic" w:cstheme="minorHAnsi"/>
          <w:szCs w:val="20"/>
          <w:lang w:val="sr-Cyrl-CS" w:eastAsia="ja-JP"/>
        </w:rPr>
        <w:t xml:space="preserve">субвенцијама </w:t>
      </w:r>
      <w:r w:rsidRPr="00DE058F">
        <w:rPr>
          <w:rFonts w:eastAsia="MS PGothic" w:cstheme="minorHAnsi"/>
          <w:szCs w:val="20"/>
          <w:lang w:val="sr-Cyrl-CS" w:eastAsia="ja-JP"/>
        </w:rPr>
        <w:t>дошло до смањења.</w:t>
      </w:r>
    </w:p>
    <w:p w14:paraId="5E42709A" w14:textId="77777777" w:rsidR="00E124CF" w:rsidRPr="00DE058F" w:rsidRDefault="00E124CF" w:rsidP="00E124CF">
      <w:pPr>
        <w:spacing w:after="120"/>
        <w:rPr>
          <w:rFonts w:eastAsia="MS PGothic" w:cstheme="minorHAnsi"/>
          <w:szCs w:val="20"/>
          <w:lang w:val="sr-Cyrl-CS" w:eastAsia="ja-JP"/>
        </w:rPr>
      </w:pPr>
      <w:r w:rsidRPr="00DE058F">
        <w:rPr>
          <w:rFonts w:eastAsia="MS PGothic" w:cstheme="minorHAnsi"/>
          <w:szCs w:val="20"/>
          <w:lang w:val="sr-Cyrl-CS" w:eastAsia="ja-JP"/>
        </w:rPr>
        <w:t>Расходи за социјалну заштиту већи су за 1,4 млрд динара у односу на оригинални план, међутим дошло је до знатне измене у њиховој структури. Расходи за пензије снижени су у односу на оригинални план за 9,6 млрд динара. Пензије у 2022. години индексиране су према „швајцарској формули”, чији параметри су били познати у току планирања ове категорије расхода, али је изостао предвиђен прираст броја пензионера. Учешће расхода за пензије у БДП износиће 9,2% у 2022. години. У оквиру ове категорије налазе се и буџетом планирани расходи за додатну помоћ пензионерима у износу од око 34 млрд динара. Са друге стране увећани су расходи за популациону политику (родитељски додатак, нове субвенције мајкама за куповину стамбеног простора). За ове намене планирано је укупно 12 млрд динара.</w:t>
      </w:r>
    </w:p>
    <w:p w14:paraId="35E6B790" w14:textId="77777777" w:rsidR="00E124CF" w:rsidRPr="00DE058F" w:rsidRDefault="00E124CF" w:rsidP="00E124CF">
      <w:pPr>
        <w:spacing w:after="120"/>
        <w:rPr>
          <w:rFonts w:eastAsia="MS PGothic" w:cstheme="minorHAnsi"/>
          <w:szCs w:val="20"/>
          <w:lang w:val="sr-Cyrl-CS" w:eastAsia="ja-JP"/>
        </w:rPr>
      </w:pPr>
      <w:r w:rsidRPr="00DE058F">
        <w:rPr>
          <w:rFonts w:eastAsia="MS PGothic" w:cstheme="minorHAnsi"/>
          <w:szCs w:val="20"/>
          <w:lang w:val="sr-Cyrl-CS" w:eastAsia="ja-JP"/>
        </w:rPr>
        <w:t>Остали текући расходи повећани су за 43,7 млрд динара у односу на оригинални план, првенствено због исплате директне новчане помоћи становништву од 16 до 30 година старости (по 100 евра у динарској противвредности прерачунато по званичном средњем курсу НБС) у укупном износу од 25 млрд динара.</w:t>
      </w:r>
    </w:p>
    <w:p w14:paraId="6F1CCD33" w14:textId="46E558EB" w:rsidR="00E124CF" w:rsidRPr="00DE058F" w:rsidRDefault="00E124CF" w:rsidP="00E124CF">
      <w:pPr>
        <w:spacing w:after="120"/>
        <w:rPr>
          <w:rFonts w:eastAsia="MS PGothic" w:cstheme="minorHAnsi"/>
          <w:spacing w:val="-2"/>
          <w:szCs w:val="20"/>
          <w:lang w:val="sr-Cyrl-CS" w:eastAsia="ja-JP"/>
        </w:rPr>
      </w:pPr>
      <w:r w:rsidRPr="00DE058F">
        <w:rPr>
          <w:rFonts w:eastAsia="MS PGothic" w:cstheme="minorHAnsi"/>
          <w:spacing w:val="-2"/>
          <w:szCs w:val="20"/>
          <w:lang w:val="sr-Cyrl-CS" w:eastAsia="ja-JP"/>
        </w:rPr>
        <w:t xml:space="preserve">Због интервентне помоћи предузећу ЈП </w:t>
      </w:r>
      <w:r w:rsidR="00C73DDF" w:rsidRPr="00DE058F">
        <w:rPr>
          <w:rFonts w:eastAsia="MS PGothic" w:cstheme="minorHAnsi"/>
          <w:spacing w:val="-2"/>
          <w:szCs w:val="20"/>
          <w:lang w:val="sr-Cyrl-CS" w:eastAsia="ja-JP"/>
        </w:rPr>
        <w:t>„</w:t>
      </w:r>
      <w:r w:rsidRPr="00DE058F">
        <w:rPr>
          <w:rFonts w:eastAsia="MS PGothic" w:cstheme="minorHAnsi"/>
          <w:spacing w:val="-2"/>
          <w:szCs w:val="20"/>
          <w:lang w:val="sr-Cyrl-CS" w:eastAsia="ja-JP"/>
        </w:rPr>
        <w:t>Србијагас</w:t>
      </w:r>
      <w:r w:rsidR="00C73DDF" w:rsidRPr="00DE058F">
        <w:rPr>
          <w:rFonts w:eastAsia="MS PGothic" w:cstheme="minorHAnsi"/>
          <w:spacing w:val="-2"/>
          <w:szCs w:val="20"/>
          <w:lang w:val="sr-Cyrl-CS" w:eastAsia="ja-JP"/>
        </w:rPr>
        <w:t>”</w:t>
      </w:r>
      <w:r w:rsidRPr="00DE058F">
        <w:rPr>
          <w:rFonts w:eastAsia="MS PGothic" w:cstheme="minorHAnsi"/>
          <w:spacing w:val="-2"/>
          <w:szCs w:val="20"/>
          <w:lang w:val="sr-Cyrl-CS" w:eastAsia="ja-JP"/>
        </w:rPr>
        <w:t xml:space="preserve"> за набавку неопходних количина гаса и увећаних тржишних цена на међународном тржишту, повећане су буџетске позајмице за 25,5 млрд.</w:t>
      </w:r>
    </w:p>
    <w:p w14:paraId="3EF91F14" w14:textId="25C80CEF" w:rsidR="00E124CF" w:rsidRPr="00DE058F" w:rsidRDefault="00E124CF" w:rsidP="00E124CF">
      <w:pPr>
        <w:spacing w:after="120"/>
        <w:rPr>
          <w:rFonts w:eastAsia="MS PGothic" w:cstheme="minorHAnsi"/>
          <w:szCs w:val="20"/>
          <w:lang w:val="sr-Cyrl-CS" w:eastAsia="ja-JP"/>
        </w:rPr>
      </w:pPr>
      <w:r w:rsidRPr="00DE058F">
        <w:rPr>
          <w:rFonts w:eastAsia="MS PGothic" w:cstheme="minorHAnsi"/>
          <w:szCs w:val="20"/>
          <w:lang w:val="sr-Cyrl-CS" w:eastAsia="ja-JP"/>
        </w:rPr>
        <w:t>Процењује се да ће реализација јавних инвестиција бити већа за 11 млрд динара од првобитног плана. Расходи за и</w:t>
      </w:r>
      <w:r w:rsidR="00A67938" w:rsidRPr="00DE058F">
        <w:rPr>
          <w:rFonts w:eastAsia="MS PGothic" w:cstheme="minorHAnsi"/>
          <w:szCs w:val="20"/>
          <w:lang w:val="sr-Cyrl-CS" w:eastAsia="ja-JP"/>
        </w:rPr>
        <w:t>з</w:t>
      </w:r>
      <w:r w:rsidRPr="00DE058F">
        <w:rPr>
          <w:rFonts w:eastAsia="MS PGothic" w:cstheme="minorHAnsi"/>
          <w:szCs w:val="20"/>
          <w:lang w:val="sr-Cyrl-CS" w:eastAsia="ja-JP"/>
        </w:rPr>
        <w:t>градњу путне мреже повећани су за 4,8 млрд динара, а за увећање резерви енергената из</w:t>
      </w:r>
      <w:r w:rsidR="00A67938" w:rsidRPr="00DE058F">
        <w:rPr>
          <w:rFonts w:eastAsia="MS PGothic" w:cstheme="minorHAnsi"/>
          <w:szCs w:val="20"/>
          <w:lang w:val="sr-Cyrl-CS" w:eastAsia="ja-JP"/>
        </w:rPr>
        <w:t>д</w:t>
      </w:r>
      <w:r w:rsidRPr="00DE058F">
        <w:rPr>
          <w:rFonts w:eastAsia="MS PGothic" w:cstheme="minorHAnsi"/>
          <w:szCs w:val="20"/>
          <w:lang w:val="sr-Cyrl-CS" w:eastAsia="ja-JP"/>
        </w:rPr>
        <w:t xml:space="preserve">војено је 10,2 млрд динара. На појединим ставкама капиталних расхода у оквиру буџета Републике дошло је до </w:t>
      </w:r>
      <w:r w:rsidRPr="00DE058F">
        <w:rPr>
          <w:rFonts w:eastAsia="MS PGothic" w:cstheme="minorHAnsi"/>
          <w:szCs w:val="20"/>
          <w:lang w:val="sr-Cyrl-CS" w:eastAsia="ja-JP"/>
        </w:rPr>
        <w:lastRenderedPageBreak/>
        <w:t>смањења износа услед померања рокова реализације. Капитални расходи достижу ниво од 7,2% БДП у 2022. години.</w:t>
      </w:r>
    </w:p>
    <w:p w14:paraId="762A1E59" w14:textId="11B15D14" w:rsidR="00E124CF" w:rsidRPr="00DE058F" w:rsidRDefault="00E124CF" w:rsidP="00E124CF">
      <w:pPr>
        <w:spacing w:after="240"/>
        <w:rPr>
          <w:rFonts w:eastAsia="MS PGothic" w:cstheme="minorHAnsi"/>
          <w:szCs w:val="20"/>
          <w:lang w:val="sr-Cyrl-CS" w:eastAsia="ja-JP"/>
        </w:rPr>
      </w:pPr>
      <w:r w:rsidRPr="00DE058F">
        <w:rPr>
          <w:rFonts w:eastAsia="MS PGothic" w:cstheme="minorHAnsi"/>
          <w:szCs w:val="20"/>
          <w:lang w:val="sr-Cyrl-CS" w:eastAsia="ja-JP"/>
        </w:rPr>
        <w:t>Процењен фискални дефицит од 3% БДП по тренутним изгледима биће нижи од просека фискалних резултата који се очекују у земљама</w:t>
      </w:r>
      <w:r w:rsidR="00D862DE" w:rsidRPr="00DE058F">
        <w:rPr>
          <w:rFonts w:eastAsia="MS PGothic" w:cstheme="minorHAnsi"/>
          <w:szCs w:val="20"/>
          <w:lang w:val="sr-Cyrl-CS" w:eastAsia="ja-JP"/>
        </w:rPr>
        <w:t xml:space="preserve"> региона и ЕУ. Наступајућа енер</w:t>
      </w:r>
      <w:r w:rsidRPr="00DE058F">
        <w:rPr>
          <w:rFonts w:eastAsia="MS PGothic" w:cstheme="minorHAnsi"/>
          <w:szCs w:val="20"/>
          <w:lang w:val="sr-Cyrl-CS" w:eastAsia="ja-JP"/>
        </w:rPr>
        <w:t xml:space="preserve">гетска криза и мере које државе ЕУ спроводе на њеном ублажавању и </w:t>
      </w:r>
      <w:r w:rsidRPr="00DE058F">
        <w:rPr>
          <w:rFonts w:eastAsia="MS PGothic" w:cstheme="minorHAnsi"/>
          <w:szCs w:val="20"/>
          <w:lang w:val="sr-Cyrl-CS" w:eastAsia="ja-JP"/>
        </w:rPr>
        <w:t>контроли имају озбиљне фискалне импликације. Овакав фискални резул</w:t>
      </w:r>
      <w:r w:rsidR="00732E56" w:rsidRPr="00DE058F">
        <w:rPr>
          <w:rFonts w:eastAsia="MS PGothic" w:cstheme="minorHAnsi"/>
          <w:szCs w:val="20"/>
          <w:lang w:val="sr-Cyrl-CS" w:eastAsia="ja-JP"/>
        </w:rPr>
        <w:t>т</w:t>
      </w:r>
      <w:r w:rsidRPr="00DE058F">
        <w:rPr>
          <w:rFonts w:eastAsia="MS PGothic" w:cstheme="minorHAnsi"/>
          <w:szCs w:val="20"/>
          <w:lang w:val="sr-Cyrl-CS" w:eastAsia="ja-JP"/>
        </w:rPr>
        <w:t>ат, иако у овом тренутку удаљен од сред</w:t>
      </w:r>
      <w:r w:rsidR="00732E56" w:rsidRPr="00DE058F">
        <w:rPr>
          <w:rFonts w:eastAsia="MS PGothic" w:cstheme="minorHAnsi"/>
          <w:szCs w:val="20"/>
          <w:lang w:val="sr-Cyrl-CS" w:eastAsia="ja-JP"/>
        </w:rPr>
        <w:t>њорочног циља, ипак омогућава сп</w:t>
      </w:r>
      <w:r w:rsidRPr="00DE058F">
        <w:rPr>
          <w:rFonts w:eastAsia="MS PGothic" w:cstheme="minorHAnsi"/>
          <w:szCs w:val="20"/>
          <w:lang w:val="sr-Cyrl-CS" w:eastAsia="ja-JP"/>
        </w:rPr>
        <w:t>ровођење интервентних политика уз даљи пад учешћа јавног дуга у БДП. Структурном анализом фискалног резултата у 2022. години идентификовано је да се око 1,3% БДП односи на једнократне и привремене мере.</w:t>
      </w:r>
    </w:p>
    <w:p w14:paraId="48DB459A" w14:textId="77777777" w:rsidR="00E124CF" w:rsidRPr="00DE058F" w:rsidRDefault="00E124CF" w:rsidP="00E124CF">
      <w:pPr>
        <w:rPr>
          <w:rFonts w:eastAsia="MS PGothic" w:cstheme="minorHAnsi"/>
          <w:spacing w:val="-4"/>
          <w:szCs w:val="20"/>
          <w:lang w:val="sr-Cyrl-CS" w:eastAsia="ja-JP"/>
        </w:rPr>
        <w:sectPr w:rsidR="00E124CF" w:rsidRPr="00DE058F" w:rsidSect="00AE40EB">
          <w:type w:val="continuous"/>
          <w:pgSz w:w="12240" w:h="15840" w:code="1"/>
          <w:pgMar w:top="1440" w:right="1440" w:bottom="1440" w:left="1440" w:header="720" w:footer="720" w:gutter="0"/>
          <w:cols w:num="2" w:space="720"/>
          <w:docGrid w:linePitch="360"/>
        </w:sectPr>
      </w:pPr>
    </w:p>
    <w:p w14:paraId="1F09F5CC" w14:textId="7F4F40DE" w:rsidR="00E124CF" w:rsidRPr="00DE058F" w:rsidRDefault="00E124CF" w:rsidP="00E124CF">
      <w:pPr>
        <w:jc w:val="center"/>
        <w:rPr>
          <w:rFonts w:eastAsia="MS PGothic" w:cstheme="minorHAnsi"/>
          <w:b/>
          <w:szCs w:val="20"/>
          <w:lang w:val="sr-Cyrl-CS" w:eastAsia="ja-JP"/>
        </w:rPr>
      </w:pPr>
      <w:r w:rsidRPr="00DE058F">
        <w:rPr>
          <w:rFonts w:eastAsia="MS PGothic" w:cstheme="minorHAnsi"/>
          <w:b/>
          <w:color w:val="002060"/>
          <w:szCs w:val="20"/>
          <w:lang w:val="sr-Cyrl-CS" w:eastAsia="ja-JP"/>
        </w:rPr>
        <w:t xml:space="preserve">Табела </w:t>
      </w:r>
      <w:r w:rsidR="00623E62" w:rsidRPr="00DE058F">
        <w:rPr>
          <w:rFonts w:eastAsia="MS PGothic" w:cstheme="minorHAnsi"/>
          <w:b/>
          <w:color w:val="002060"/>
          <w:szCs w:val="20"/>
          <w:lang w:val="sr-Cyrl-CS" w:eastAsia="ja-JP"/>
        </w:rPr>
        <w:t>7</w:t>
      </w:r>
      <w:r w:rsidRPr="00DE058F">
        <w:rPr>
          <w:rFonts w:eastAsia="MS PGothic" w:cstheme="minorHAnsi"/>
          <w:b/>
          <w:color w:val="002060"/>
          <w:szCs w:val="20"/>
          <w:lang w:val="sr-Cyrl-CS" w:eastAsia="ja-JP"/>
        </w:rPr>
        <w:t>. Приходи, расходи и резултат сектора државе, јануар–март, у млрд динара</w:t>
      </w:r>
    </w:p>
    <w:tbl>
      <w:tblPr>
        <w:tblW w:w="5092" w:type="pct"/>
        <w:jc w:val="right"/>
        <w:tblLook w:val="04A0" w:firstRow="1" w:lastRow="0" w:firstColumn="1" w:lastColumn="0" w:noHBand="0" w:noVBand="1"/>
      </w:tblPr>
      <w:tblGrid>
        <w:gridCol w:w="3537"/>
        <w:gridCol w:w="1499"/>
        <w:gridCol w:w="1499"/>
        <w:gridCol w:w="1499"/>
        <w:gridCol w:w="1498"/>
      </w:tblGrid>
      <w:tr w:rsidR="0004786A" w:rsidRPr="00DE058F" w14:paraId="2B83277E" w14:textId="77777777" w:rsidTr="0004786A">
        <w:trPr>
          <w:trHeight w:val="48"/>
          <w:tblHeader/>
          <w:jc w:val="right"/>
        </w:trPr>
        <w:tc>
          <w:tcPr>
            <w:tcW w:w="1855" w:type="pct"/>
            <w:tcBorders>
              <w:top w:val="single" w:sz="4" w:space="0" w:color="002060"/>
            </w:tcBorders>
            <w:shd w:val="clear" w:color="auto" w:fill="auto"/>
            <w:noWrap/>
            <w:vAlign w:val="center"/>
            <w:hideMark/>
          </w:tcPr>
          <w:p w14:paraId="5C274636" w14:textId="77777777" w:rsidR="00E124CF" w:rsidRPr="00DE058F" w:rsidRDefault="00E124CF" w:rsidP="00E124CF">
            <w:pPr>
              <w:spacing w:after="0" w:line="240" w:lineRule="auto"/>
              <w:rPr>
                <w:rFonts w:cstheme="minorHAnsi"/>
                <w:color w:val="002060"/>
                <w:sz w:val="18"/>
                <w:szCs w:val="18"/>
                <w:lang w:val="sr-Cyrl-CS"/>
              </w:rPr>
            </w:pPr>
            <w:r w:rsidRPr="00DE058F">
              <w:rPr>
                <w:rFonts w:eastAsia="MS PGothic" w:cstheme="minorHAnsi"/>
                <w:color w:val="002060"/>
                <w:sz w:val="18"/>
                <w:szCs w:val="18"/>
                <w:lang w:val="sr-Cyrl-CS" w:eastAsia="ja-JP"/>
              </w:rPr>
              <w:tab/>
            </w:r>
          </w:p>
        </w:tc>
        <w:tc>
          <w:tcPr>
            <w:tcW w:w="786" w:type="pct"/>
            <w:tcBorders>
              <w:top w:val="single" w:sz="4" w:space="0" w:color="002060"/>
              <w:bottom w:val="single" w:sz="4" w:space="0" w:color="002060"/>
            </w:tcBorders>
            <w:shd w:val="clear" w:color="auto" w:fill="auto"/>
            <w:vAlign w:val="center"/>
            <w:hideMark/>
          </w:tcPr>
          <w:p w14:paraId="69BD5ACF" w14:textId="77777777" w:rsidR="00E124CF" w:rsidRPr="00DE058F" w:rsidRDefault="00E124CF" w:rsidP="00E124CF">
            <w:pPr>
              <w:spacing w:after="0" w:line="240" w:lineRule="auto"/>
              <w:jc w:val="center"/>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I–III 2021</w:t>
            </w:r>
          </w:p>
        </w:tc>
        <w:tc>
          <w:tcPr>
            <w:tcW w:w="786" w:type="pct"/>
            <w:tcBorders>
              <w:top w:val="single" w:sz="4" w:space="0" w:color="002060"/>
              <w:bottom w:val="single" w:sz="4" w:space="0" w:color="002060"/>
            </w:tcBorders>
            <w:shd w:val="clear" w:color="auto" w:fill="auto"/>
            <w:vAlign w:val="center"/>
            <w:hideMark/>
          </w:tcPr>
          <w:p w14:paraId="2051A532" w14:textId="77777777" w:rsidR="00E124CF" w:rsidRPr="00DE058F" w:rsidRDefault="00E124CF" w:rsidP="00E124CF">
            <w:pPr>
              <w:spacing w:after="0" w:line="240" w:lineRule="auto"/>
              <w:jc w:val="center"/>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I– III 2022</w:t>
            </w:r>
          </w:p>
        </w:tc>
        <w:tc>
          <w:tcPr>
            <w:tcW w:w="786" w:type="pct"/>
            <w:tcBorders>
              <w:top w:val="single" w:sz="4" w:space="0" w:color="002060"/>
              <w:bottom w:val="single" w:sz="4" w:space="0" w:color="002060"/>
            </w:tcBorders>
            <w:vAlign w:val="center"/>
          </w:tcPr>
          <w:p w14:paraId="773B3B83" w14:textId="77777777" w:rsidR="00E124CF" w:rsidRPr="00DE058F" w:rsidRDefault="00E124CF" w:rsidP="00E124CF">
            <w:pPr>
              <w:spacing w:after="0" w:line="240" w:lineRule="auto"/>
              <w:jc w:val="center"/>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I–III стопа раста у %</w:t>
            </w:r>
          </w:p>
        </w:tc>
        <w:tc>
          <w:tcPr>
            <w:tcW w:w="786" w:type="pct"/>
            <w:tcBorders>
              <w:top w:val="single" w:sz="4" w:space="0" w:color="002060"/>
              <w:bottom w:val="single" w:sz="4" w:space="0" w:color="002060"/>
            </w:tcBorders>
            <w:shd w:val="clear" w:color="auto" w:fill="auto"/>
            <w:vAlign w:val="center"/>
            <w:hideMark/>
          </w:tcPr>
          <w:p w14:paraId="36671451" w14:textId="77777777" w:rsidR="00E124CF" w:rsidRPr="00DE058F" w:rsidRDefault="00E124CF" w:rsidP="00E124CF">
            <w:pPr>
              <w:spacing w:after="0" w:line="240" w:lineRule="auto"/>
              <w:jc w:val="center"/>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2022/2021 стопа раста у %</w:t>
            </w:r>
          </w:p>
        </w:tc>
      </w:tr>
      <w:tr w:rsidR="0004786A" w:rsidRPr="00DE058F" w14:paraId="451D72C1" w14:textId="77777777" w:rsidTr="0004786A">
        <w:trPr>
          <w:trHeight w:val="48"/>
          <w:tblHeader/>
          <w:jc w:val="right"/>
        </w:trPr>
        <w:tc>
          <w:tcPr>
            <w:tcW w:w="1855" w:type="pct"/>
            <w:shd w:val="clear" w:color="auto" w:fill="E7E6E6" w:themeFill="background2"/>
            <w:noWrap/>
            <w:vAlign w:val="center"/>
            <w:hideMark/>
          </w:tcPr>
          <w:p w14:paraId="618ECBDD" w14:textId="77777777" w:rsidR="00E124CF" w:rsidRPr="00DE058F" w:rsidRDefault="00E124CF" w:rsidP="00E124CF">
            <w:pPr>
              <w:spacing w:after="0" w:line="240" w:lineRule="auto"/>
              <w:jc w:val="left"/>
              <w:rPr>
                <w:rFonts w:cstheme="minorHAnsi"/>
                <w:color w:val="002060"/>
                <w:sz w:val="18"/>
                <w:szCs w:val="18"/>
                <w:lang w:val="sr-Cyrl-CS"/>
              </w:rPr>
            </w:pPr>
            <w:r w:rsidRPr="00DE058F">
              <w:rPr>
                <w:rFonts w:eastAsia="MS PGothic" w:cstheme="minorHAnsi"/>
                <w:color w:val="002060"/>
                <w:sz w:val="18"/>
                <w:szCs w:val="18"/>
                <w:lang w:val="sr-Cyrl-CS" w:eastAsia="ja-JP"/>
              </w:rPr>
              <w:t>ЈАВНИ ПРИХОДИ</w:t>
            </w:r>
          </w:p>
        </w:tc>
        <w:tc>
          <w:tcPr>
            <w:tcW w:w="786" w:type="pct"/>
            <w:tcBorders>
              <w:top w:val="single" w:sz="4" w:space="0" w:color="002060"/>
            </w:tcBorders>
            <w:shd w:val="clear" w:color="auto" w:fill="E7E6E6" w:themeFill="background2"/>
            <w:hideMark/>
          </w:tcPr>
          <w:p w14:paraId="3E2FB4E0"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594,5</w:t>
            </w:r>
          </w:p>
        </w:tc>
        <w:tc>
          <w:tcPr>
            <w:tcW w:w="786" w:type="pct"/>
            <w:tcBorders>
              <w:top w:val="single" w:sz="4" w:space="0" w:color="002060"/>
            </w:tcBorders>
            <w:shd w:val="clear" w:color="auto" w:fill="E7E6E6" w:themeFill="background2"/>
            <w:hideMark/>
          </w:tcPr>
          <w:p w14:paraId="473ADC2D"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678,6</w:t>
            </w:r>
          </w:p>
        </w:tc>
        <w:tc>
          <w:tcPr>
            <w:tcW w:w="786" w:type="pct"/>
            <w:tcBorders>
              <w:top w:val="single" w:sz="4" w:space="0" w:color="002060"/>
            </w:tcBorders>
            <w:shd w:val="clear" w:color="auto" w:fill="E7E6E6" w:themeFill="background2"/>
          </w:tcPr>
          <w:p w14:paraId="381D8C48"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14,1</w:t>
            </w:r>
          </w:p>
        </w:tc>
        <w:tc>
          <w:tcPr>
            <w:tcW w:w="786" w:type="pct"/>
            <w:tcBorders>
              <w:top w:val="single" w:sz="4" w:space="0" w:color="002060"/>
            </w:tcBorders>
            <w:shd w:val="clear" w:color="auto" w:fill="E7E6E6" w:themeFill="background2"/>
            <w:hideMark/>
          </w:tcPr>
          <w:p w14:paraId="609B6924"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7,0</w:t>
            </w:r>
          </w:p>
        </w:tc>
      </w:tr>
      <w:tr w:rsidR="0004786A" w:rsidRPr="00DE058F" w14:paraId="2C0458C7" w14:textId="77777777" w:rsidTr="0004786A">
        <w:trPr>
          <w:trHeight w:val="48"/>
          <w:tblHeader/>
          <w:jc w:val="right"/>
        </w:trPr>
        <w:tc>
          <w:tcPr>
            <w:tcW w:w="1855" w:type="pct"/>
            <w:shd w:val="clear" w:color="auto" w:fill="auto"/>
            <w:noWrap/>
            <w:vAlign w:val="center"/>
            <w:hideMark/>
          </w:tcPr>
          <w:p w14:paraId="15C82670"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Текући приходи</w:t>
            </w:r>
          </w:p>
        </w:tc>
        <w:tc>
          <w:tcPr>
            <w:tcW w:w="786" w:type="pct"/>
            <w:shd w:val="clear" w:color="auto" w:fill="auto"/>
            <w:hideMark/>
          </w:tcPr>
          <w:p w14:paraId="3A7765BD"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588,7</w:t>
            </w:r>
          </w:p>
        </w:tc>
        <w:tc>
          <w:tcPr>
            <w:tcW w:w="786" w:type="pct"/>
            <w:shd w:val="clear" w:color="auto" w:fill="auto"/>
            <w:noWrap/>
            <w:hideMark/>
          </w:tcPr>
          <w:p w14:paraId="1186CF57"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676,5</w:t>
            </w:r>
          </w:p>
        </w:tc>
        <w:tc>
          <w:tcPr>
            <w:tcW w:w="786" w:type="pct"/>
          </w:tcPr>
          <w:p w14:paraId="7BCD019C"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14,9</w:t>
            </w:r>
          </w:p>
        </w:tc>
        <w:tc>
          <w:tcPr>
            <w:tcW w:w="786" w:type="pct"/>
            <w:shd w:val="clear" w:color="auto" w:fill="auto"/>
            <w:hideMark/>
          </w:tcPr>
          <w:p w14:paraId="02C3C90B"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6,8</w:t>
            </w:r>
          </w:p>
        </w:tc>
      </w:tr>
      <w:tr w:rsidR="0004786A" w:rsidRPr="00DE058F" w14:paraId="6E98CCAD" w14:textId="77777777" w:rsidTr="0004786A">
        <w:trPr>
          <w:trHeight w:val="48"/>
          <w:tblHeader/>
          <w:jc w:val="right"/>
        </w:trPr>
        <w:tc>
          <w:tcPr>
            <w:tcW w:w="1855" w:type="pct"/>
            <w:shd w:val="clear" w:color="auto" w:fill="auto"/>
            <w:noWrap/>
            <w:vAlign w:val="center"/>
            <w:hideMark/>
          </w:tcPr>
          <w:p w14:paraId="3DCEA376"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Порески приходи</w:t>
            </w:r>
          </w:p>
        </w:tc>
        <w:tc>
          <w:tcPr>
            <w:tcW w:w="786" w:type="pct"/>
            <w:shd w:val="clear" w:color="auto" w:fill="auto"/>
            <w:hideMark/>
          </w:tcPr>
          <w:p w14:paraId="3B61B631"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531,2</w:t>
            </w:r>
          </w:p>
        </w:tc>
        <w:tc>
          <w:tcPr>
            <w:tcW w:w="786" w:type="pct"/>
            <w:shd w:val="clear" w:color="auto" w:fill="auto"/>
            <w:hideMark/>
          </w:tcPr>
          <w:p w14:paraId="2E9744DA"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616,9</w:t>
            </w:r>
          </w:p>
        </w:tc>
        <w:tc>
          <w:tcPr>
            <w:tcW w:w="786" w:type="pct"/>
          </w:tcPr>
          <w:p w14:paraId="7C392ADF"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16,1</w:t>
            </w:r>
          </w:p>
        </w:tc>
        <w:tc>
          <w:tcPr>
            <w:tcW w:w="786" w:type="pct"/>
            <w:shd w:val="clear" w:color="auto" w:fill="auto"/>
            <w:hideMark/>
          </w:tcPr>
          <w:p w14:paraId="382E9863"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7,8</w:t>
            </w:r>
          </w:p>
        </w:tc>
      </w:tr>
      <w:tr w:rsidR="0004786A" w:rsidRPr="00DE058F" w14:paraId="4313AF1E" w14:textId="77777777" w:rsidTr="0004786A">
        <w:trPr>
          <w:trHeight w:val="48"/>
          <w:tblHeader/>
          <w:jc w:val="right"/>
        </w:trPr>
        <w:tc>
          <w:tcPr>
            <w:tcW w:w="1855" w:type="pct"/>
            <w:shd w:val="clear" w:color="auto" w:fill="auto"/>
            <w:noWrap/>
            <w:vAlign w:val="center"/>
            <w:hideMark/>
          </w:tcPr>
          <w:p w14:paraId="76F10A52"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Порез на доходак грађана</w:t>
            </w:r>
          </w:p>
        </w:tc>
        <w:tc>
          <w:tcPr>
            <w:tcW w:w="786" w:type="pct"/>
            <w:shd w:val="clear" w:color="auto" w:fill="auto"/>
            <w:hideMark/>
          </w:tcPr>
          <w:p w14:paraId="1825E733"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55,6</w:t>
            </w:r>
          </w:p>
        </w:tc>
        <w:tc>
          <w:tcPr>
            <w:tcW w:w="786" w:type="pct"/>
            <w:shd w:val="clear" w:color="auto" w:fill="auto"/>
            <w:hideMark/>
          </w:tcPr>
          <w:p w14:paraId="0123494D"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63,5</w:t>
            </w:r>
          </w:p>
        </w:tc>
        <w:tc>
          <w:tcPr>
            <w:tcW w:w="786" w:type="pct"/>
          </w:tcPr>
          <w:p w14:paraId="41BFC42C"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14,2</w:t>
            </w:r>
          </w:p>
        </w:tc>
        <w:tc>
          <w:tcPr>
            <w:tcW w:w="786" w:type="pct"/>
            <w:shd w:val="clear" w:color="auto" w:fill="auto"/>
            <w:hideMark/>
          </w:tcPr>
          <w:p w14:paraId="74D5A479"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10,7</w:t>
            </w:r>
          </w:p>
        </w:tc>
      </w:tr>
      <w:tr w:rsidR="0004786A" w:rsidRPr="00DE058F" w14:paraId="22D5D6A4" w14:textId="77777777" w:rsidTr="0004786A">
        <w:trPr>
          <w:trHeight w:val="48"/>
          <w:tblHeader/>
          <w:jc w:val="right"/>
        </w:trPr>
        <w:tc>
          <w:tcPr>
            <w:tcW w:w="1855" w:type="pct"/>
            <w:shd w:val="clear" w:color="auto" w:fill="auto"/>
            <w:noWrap/>
            <w:vAlign w:val="center"/>
            <w:hideMark/>
          </w:tcPr>
          <w:p w14:paraId="6531E0CC"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Порез на добит правних лица</w:t>
            </w:r>
          </w:p>
        </w:tc>
        <w:tc>
          <w:tcPr>
            <w:tcW w:w="786" w:type="pct"/>
            <w:shd w:val="clear" w:color="auto" w:fill="auto"/>
            <w:hideMark/>
          </w:tcPr>
          <w:p w14:paraId="4589D637"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28,5</w:t>
            </w:r>
          </w:p>
        </w:tc>
        <w:tc>
          <w:tcPr>
            <w:tcW w:w="786" w:type="pct"/>
            <w:shd w:val="clear" w:color="auto" w:fill="auto"/>
            <w:hideMark/>
          </w:tcPr>
          <w:p w14:paraId="53EBC93B"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35,7</w:t>
            </w:r>
          </w:p>
        </w:tc>
        <w:tc>
          <w:tcPr>
            <w:tcW w:w="786" w:type="pct"/>
          </w:tcPr>
          <w:p w14:paraId="1793C0B1"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25,1</w:t>
            </w:r>
          </w:p>
        </w:tc>
        <w:tc>
          <w:tcPr>
            <w:tcW w:w="786" w:type="pct"/>
            <w:shd w:val="clear" w:color="auto" w:fill="auto"/>
            <w:hideMark/>
          </w:tcPr>
          <w:p w14:paraId="1A53FB21"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-9,1</w:t>
            </w:r>
          </w:p>
        </w:tc>
      </w:tr>
      <w:tr w:rsidR="0004786A" w:rsidRPr="00DE058F" w14:paraId="5E97859E" w14:textId="77777777" w:rsidTr="0004786A">
        <w:trPr>
          <w:trHeight w:val="48"/>
          <w:tblHeader/>
          <w:jc w:val="right"/>
        </w:trPr>
        <w:tc>
          <w:tcPr>
            <w:tcW w:w="1855" w:type="pct"/>
            <w:shd w:val="clear" w:color="auto" w:fill="auto"/>
            <w:noWrap/>
            <w:vAlign w:val="center"/>
            <w:hideMark/>
          </w:tcPr>
          <w:p w14:paraId="00980728"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ПДВ</w:t>
            </w:r>
          </w:p>
        </w:tc>
        <w:tc>
          <w:tcPr>
            <w:tcW w:w="786" w:type="pct"/>
            <w:shd w:val="clear" w:color="auto" w:fill="auto"/>
            <w:hideMark/>
          </w:tcPr>
          <w:p w14:paraId="63573823"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139,2</w:t>
            </w:r>
          </w:p>
        </w:tc>
        <w:tc>
          <w:tcPr>
            <w:tcW w:w="786" w:type="pct"/>
            <w:shd w:val="clear" w:color="auto" w:fill="auto"/>
            <w:hideMark/>
          </w:tcPr>
          <w:p w14:paraId="24116FCF"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181,4</w:t>
            </w:r>
          </w:p>
        </w:tc>
        <w:tc>
          <w:tcPr>
            <w:tcW w:w="786" w:type="pct"/>
          </w:tcPr>
          <w:p w14:paraId="4BFB1604"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30,3</w:t>
            </w:r>
          </w:p>
        </w:tc>
        <w:tc>
          <w:tcPr>
            <w:tcW w:w="786" w:type="pct"/>
            <w:shd w:val="clear" w:color="auto" w:fill="auto"/>
            <w:hideMark/>
          </w:tcPr>
          <w:p w14:paraId="7A886BAB"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13,9</w:t>
            </w:r>
          </w:p>
        </w:tc>
      </w:tr>
      <w:tr w:rsidR="0004786A" w:rsidRPr="00DE058F" w14:paraId="7BFED7A2" w14:textId="77777777" w:rsidTr="0004786A">
        <w:trPr>
          <w:trHeight w:val="48"/>
          <w:tblHeader/>
          <w:jc w:val="right"/>
        </w:trPr>
        <w:tc>
          <w:tcPr>
            <w:tcW w:w="1855" w:type="pct"/>
            <w:shd w:val="clear" w:color="auto" w:fill="auto"/>
            <w:noWrap/>
            <w:vAlign w:val="center"/>
            <w:hideMark/>
          </w:tcPr>
          <w:p w14:paraId="75EDDA08"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Акцизе</w:t>
            </w:r>
          </w:p>
        </w:tc>
        <w:tc>
          <w:tcPr>
            <w:tcW w:w="786" w:type="pct"/>
            <w:shd w:val="clear" w:color="auto" w:fill="auto"/>
            <w:hideMark/>
          </w:tcPr>
          <w:p w14:paraId="40D26ABA"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78,9</w:t>
            </w:r>
          </w:p>
        </w:tc>
        <w:tc>
          <w:tcPr>
            <w:tcW w:w="786" w:type="pct"/>
            <w:shd w:val="clear" w:color="auto" w:fill="auto"/>
            <w:hideMark/>
          </w:tcPr>
          <w:p w14:paraId="63554B4B"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84,3</w:t>
            </w:r>
          </w:p>
        </w:tc>
        <w:tc>
          <w:tcPr>
            <w:tcW w:w="786" w:type="pct"/>
          </w:tcPr>
          <w:p w14:paraId="5A366166"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6,8</w:t>
            </w:r>
          </w:p>
        </w:tc>
        <w:tc>
          <w:tcPr>
            <w:tcW w:w="786" w:type="pct"/>
            <w:shd w:val="clear" w:color="auto" w:fill="auto"/>
            <w:hideMark/>
          </w:tcPr>
          <w:p w14:paraId="73436822"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-0,7</w:t>
            </w:r>
          </w:p>
        </w:tc>
      </w:tr>
      <w:tr w:rsidR="0004786A" w:rsidRPr="00DE058F" w14:paraId="03382B4F" w14:textId="77777777" w:rsidTr="0004786A">
        <w:trPr>
          <w:trHeight w:val="48"/>
          <w:tblHeader/>
          <w:jc w:val="right"/>
        </w:trPr>
        <w:tc>
          <w:tcPr>
            <w:tcW w:w="1855" w:type="pct"/>
            <w:shd w:val="clear" w:color="auto" w:fill="auto"/>
            <w:noWrap/>
            <w:vAlign w:val="center"/>
            <w:hideMark/>
          </w:tcPr>
          <w:p w14:paraId="7AA368A5"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Царине</w:t>
            </w:r>
          </w:p>
        </w:tc>
        <w:tc>
          <w:tcPr>
            <w:tcW w:w="786" w:type="pct"/>
            <w:shd w:val="clear" w:color="auto" w:fill="auto"/>
            <w:hideMark/>
          </w:tcPr>
          <w:p w14:paraId="69F27973"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13,3</w:t>
            </w:r>
          </w:p>
        </w:tc>
        <w:tc>
          <w:tcPr>
            <w:tcW w:w="786" w:type="pct"/>
            <w:shd w:val="clear" w:color="auto" w:fill="auto"/>
            <w:hideMark/>
          </w:tcPr>
          <w:p w14:paraId="162A2631"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18,4</w:t>
            </w:r>
          </w:p>
        </w:tc>
        <w:tc>
          <w:tcPr>
            <w:tcW w:w="786" w:type="pct"/>
          </w:tcPr>
          <w:p w14:paraId="6A07F17A"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38,5</w:t>
            </w:r>
          </w:p>
        </w:tc>
        <w:tc>
          <w:tcPr>
            <w:tcW w:w="786" w:type="pct"/>
            <w:shd w:val="clear" w:color="auto" w:fill="auto"/>
            <w:hideMark/>
          </w:tcPr>
          <w:p w14:paraId="4DC7C0B1"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21,0</w:t>
            </w:r>
          </w:p>
        </w:tc>
      </w:tr>
      <w:tr w:rsidR="0004786A" w:rsidRPr="00DE058F" w14:paraId="10B77107" w14:textId="77777777" w:rsidTr="0004786A">
        <w:trPr>
          <w:trHeight w:val="48"/>
          <w:tblHeader/>
          <w:jc w:val="right"/>
        </w:trPr>
        <w:tc>
          <w:tcPr>
            <w:tcW w:w="1855" w:type="pct"/>
            <w:shd w:val="clear" w:color="auto" w:fill="auto"/>
            <w:noWrap/>
            <w:vAlign w:val="center"/>
            <w:hideMark/>
          </w:tcPr>
          <w:p w14:paraId="1CE2237C"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Остали порески приходи</w:t>
            </w:r>
          </w:p>
        </w:tc>
        <w:tc>
          <w:tcPr>
            <w:tcW w:w="786" w:type="pct"/>
            <w:shd w:val="clear" w:color="auto" w:fill="auto"/>
            <w:hideMark/>
          </w:tcPr>
          <w:p w14:paraId="2A77FEDA"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20,9</w:t>
            </w:r>
          </w:p>
        </w:tc>
        <w:tc>
          <w:tcPr>
            <w:tcW w:w="786" w:type="pct"/>
            <w:shd w:val="clear" w:color="auto" w:fill="auto"/>
            <w:hideMark/>
          </w:tcPr>
          <w:p w14:paraId="5878C184"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22,7</w:t>
            </w:r>
          </w:p>
        </w:tc>
        <w:tc>
          <w:tcPr>
            <w:tcW w:w="786" w:type="pct"/>
          </w:tcPr>
          <w:p w14:paraId="2BA4DA5E"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8,8</w:t>
            </w:r>
          </w:p>
        </w:tc>
        <w:tc>
          <w:tcPr>
            <w:tcW w:w="786" w:type="pct"/>
            <w:shd w:val="clear" w:color="auto" w:fill="auto"/>
            <w:hideMark/>
          </w:tcPr>
          <w:p w14:paraId="6E5A13D3"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4,7</w:t>
            </w:r>
          </w:p>
        </w:tc>
      </w:tr>
      <w:tr w:rsidR="0004786A" w:rsidRPr="00DE058F" w14:paraId="192B6258" w14:textId="77777777" w:rsidTr="0004786A">
        <w:trPr>
          <w:trHeight w:val="48"/>
          <w:tblHeader/>
          <w:jc w:val="right"/>
        </w:trPr>
        <w:tc>
          <w:tcPr>
            <w:tcW w:w="1855" w:type="pct"/>
            <w:shd w:val="clear" w:color="auto" w:fill="auto"/>
            <w:noWrap/>
            <w:vAlign w:val="center"/>
            <w:hideMark/>
          </w:tcPr>
          <w:p w14:paraId="6877D841"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Доприноси</w:t>
            </w:r>
          </w:p>
        </w:tc>
        <w:tc>
          <w:tcPr>
            <w:tcW w:w="786" w:type="pct"/>
            <w:shd w:val="clear" w:color="auto" w:fill="auto"/>
            <w:hideMark/>
          </w:tcPr>
          <w:p w14:paraId="58B03717"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194,8</w:t>
            </w:r>
          </w:p>
        </w:tc>
        <w:tc>
          <w:tcPr>
            <w:tcW w:w="786" w:type="pct"/>
            <w:shd w:val="clear" w:color="auto" w:fill="auto"/>
            <w:hideMark/>
          </w:tcPr>
          <w:p w14:paraId="7B3E4265"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211,0</w:t>
            </w:r>
          </w:p>
        </w:tc>
        <w:tc>
          <w:tcPr>
            <w:tcW w:w="786" w:type="pct"/>
          </w:tcPr>
          <w:p w14:paraId="1E86231D"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8,3</w:t>
            </w:r>
          </w:p>
        </w:tc>
        <w:tc>
          <w:tcPr>
            <w:tcW w:w="786" w:type="pct"/>
            <w:shd w:val="clear" w:color="auto" w:fill="auto"/>
            <w:hideMark/>
          </w:tcPr>
          <w:p w14:paraId="1AFDE448"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8,1</w:t>
            </w:r>
          </w:p>
        </w:tc>
      </w:tr>
      <w:tr w:rsidR="0004786A" w:rsidRPr="00DE058F" w14:paraId="0BA4C341" w14:textId="77777777" w:rsidTr="0004786A">
        <w:trPr>
          <w:trHeight w:val="48"/>
          <w:tblHeader/>
          <w:jc w:val="right"/>
        </w:trPr>
        <w:tc>
          <w:tcPr>
            <w:tcW w:w="1855" w:type="pct"/>
            <w:shd w:val="clear" w:color="auto" w:fill="auto"/>
            <w:noWrap/>
            <w:vAlign w:val="center"/>
            <w:hideMark/>
          </w:tcPr>
          <w:p w14:paraId="306888AF"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Непорески приходи</w:t>
            </w:r>
          </w:p>
        </w:tc>
        <w:tc>
          <w:tcPr>
            <w:tcW w:w="786" w:type="pct"/>
            <w:shd w:val="clear" w:color="auto" w:fill="auto"/>
            <w:hideMark/>
          </w:tcPr>
          <w:p w14:paraId="35507CB0"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57,6</w:t>
            </w:r>
          </w:p>
        </w:tc>
        <w:tc>
          <w:tcPr>
            <w:tcW w:w="786" w:type="pct"/>
            <w:shd w:val="clear" w:color="auto" w:fill="auto"/>
            <w:hideMark/>
          </w:tcPr>
          <w:p w14:paraId="6BCC40FB"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59,6</w:t>
            </w:r>
          </w:p>
        </w:tc>
        <w:tc>
          <w:tcPr>
            <w:tcW w:w="786" w:type="pct"/>
          </w:tcPr>
          <w:p w14:paraId="15E5BD3F"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3,5</w:t>
            </w:r>
          </w:p>
        </w:tc>
        <w:tc>
          <w:tcPr>
            <w:tcW w:w="786" w:type="pct"/>
            <w:shd w:val="clear" w:color="auto" w:fill="auto"/>
            <w:hideMark/>
          </w:tcPr>
          <w:p w14:paraId="2999C845"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-2,5</w:t>
            </w:r>
          </w:p>
        </w:tc>
      </w:tr>
      <w:tr w:rsidR="0004786A" w:rsidRPr="00DE058F" w14:paraId="5D43CA43" w14:textId="77777777" w:rsidTr="0004786A">
        <w:trPr>
          <w:trHeight w:val="48"/>
          <w:tblHeader/>
          <w:jc w:val="right"/>
        </w:trPr>
        <w:tc>
          <w:tcPr>
            <w:tcW w:w="1855" w:type="pct"/>
            <w:shd w:val="clear" w:color="auto" w:fill="auto"/>
            <w:noWrap/>
            <w:vAlign w:val="center"/>
            <w:hideMark/>
          </w:tcPr>
          <w:p w14:paraId="4AE35354"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Донације</w:t>
            </w:r>
          </w:p>
        </w:tc>
        <w:tc>
          <w:tcPr>
            <w:tcW w:w="786" w:type="pct"/>
            <w:shd w:val="clear" w:color="auto" w:fill="auto"/>
            <w:hideMark/>
          </w:tcPr>
          <w:p w14:paraId="0E0098A2"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5,7</w:t>
            </w:r>
          </w:p>
        </w:tc>
        <w:tc>
          <w:tcPr>
            <w:tcW w:w="786" w:type="pct"/>
            <w:shd w:val="clear" w:color="auto" w:fill="auto"/>
            <w:hideMark/>
          </w:tcPr>
          <w:p w14:paraId="47EC2D88"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2,1</w:t>
            </w:r>
          </w:p>
        </w:tc>
        <w:tc>
          <w:tcPr>
            <w:tcW w:w="786" w:type="pct"/>
          </w:tcPr>
          <w:p w14:paraId="4A9B9A77"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-64,0</w:t>
            </w:r>
          </w:p>
        </w:tc>
        <w:tc>
          <w:tcPr>
            <w:tcW w:w="786" w:type="pct"/>
            <w:shd w:val="clear" w:color="auto" w:fill="auto"/>
            <w:hideMark/>
          </w:tcPr>
          <w:p w14:paraId="4E819BD3"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34,1</w:t>
            </w:r>
          </w:p>
        </w:tc>
      </w:tr>
      <w:tr w:rsidR="0004786A" w:rsidRPr="00DE058F" w14:paraId="2FFDA957" w14:textId="77777777" w:rsidTr="0004786A">
        <w:trPr>
          <w:trHeight w:val="48"/>
          <w:tblHeader/>
          <w:jc w:val="right"/>
        </w:trPr>
        <w:tc>
          <w:tcPr>
            <w:tcW w:w="1855" w:type="pct"/>
            <w:shd w:val="clear" w:color="auto" w:fill="E7E6E6" w:themeFill="background2"/>
            <w:noWrap/>
            <w:vAlign w:val="center"/>
            <w:hideMark/>
          </w:tcPr>
          <w:p w14:paraId="0CB359AA" w14:textId="77777777" w:rsidR="00E124CF" w:rsidRPr="00DE058F" w:rsidRDefault="00E124CF" w:rsidP="00E124CF">
            <w:pPr>
              <w:spacing w:after="0" w:line="240" w:lineRule="auto"/>
              <w:jc w:val="left"/>
              <w:rPr>
                <w:rFonts w:cstheme="minorHAnsi"/>
                <w:color w:val="002060"/>
                <w:sz w:val="18"/>
                <w:szCs w:val="18"/>
                <w:lang w:val="sr-Cyrl-CS"/>
              </w:rPr>
            </w:pPr>
            <w:r w:rsidRPr="00DE058F">
              <w:rPr>
                <w:rFonts w:eastAsia="MS PGothic" w:cstheme="minorHAnsi"/>
                <w:color w:val="002060"/>
                <w:sz w:val="18"/>
                <w:szCs w:val="18"/>
                <w:lang w:val="sr-Cyrl-CS" w:eastAsia="ja-JP"/>
              </w:rPr>
              <w:t>ЈАВНИ РАСХОДИ</w:t>
            </w:r>
          </w:p>
        </w:tc>
        <w:tc>
          <w:tcPr>
            <w:tcW w:w="786" w:type="pct"/>
            <w:shd w:val="clear" w:color="auto" w:fill="E7E6E6" w:themeFill="background2"/>
            <w:hideMark/>
          </w:tcPr>
          <w:p w14:paraId="578382C2"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607,2</w:t>
            </w:r>
          </w:p>
        </w:tc>
        <w:tc>
          <w:tcPr>
            <w:tcW w:w="786" w:type="pct"/>
            <w:shd w:val="clear" w:color="auto" w:fill="E7E6E6" w:themeFill="background2"/>
            <w:noWrap/>
            <w:hideMark/>
          </w:tcPr>
          <w:p w14:paraId="6B3C2890"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746,6</w:t>
            </w:r>
          </w:p>
        </w:tc>
        <w:tc>
          <w:tcPr>
            <w:tcW w:w="786" w:type="pct"/>
            <w:shd w:val="clear" w:color="auto" w:fill="E7E6E6" w:themeFill="background2"/>
          </w:tcPr>
          <w:p w14:paraId="7DECFF37"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23,0</w:t>
            </w:r>
          </w:p>
        </w:tc>
        <w:tc>
          <w:tcPr>
            <w:tcW w:w="786" w:type="pct"/>
            <w:shd w:val="clear" w:color="auto" w:fill="E7E6E6" w:themeFill="background2"/>
            <w:hideMark/>
          </w:tcPr>
          <w:p w14:paraId="0807D832"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4,6</w:t>
            </w:r>
          </w:p>
        </w:tc>
      </w:tr>
      <w:tr w:rsidR="0004786A" w:rsidRPr="00DE058F" w14:paraId="5B4ED8A4" w14:textId="77777777" w:rsidTr="0004786A">
        <w:trPr>
          <w:trHeight w:val="48"/>
          <w:tblHeader/>
          <w:jc w:val="right"/>
        </w:trPr>
        <w:tc>
          <w:tcPr>
            <w:tcW w:w="1855" w:type="pct"/>
            <w:shd w:val="clear" w:color="auto" w:fill="auto"/>
            <w:noWrap/>
            <w:vAlign w:val="center"/>
            <w:hideMark/>
          </w:tcPr>
          <w:p w14:paraId="31564AC5"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Текући расходи</w:t>
            </w:r>
          </w:p>
        </w:tc>
        <w:tc>
          <w:tcPr>
            <w:tcW w:w="786" w:type="pct"/>
            <w:shd w:val="clear" w:color="auto" w:fill="auto"/>
            <w:hideMark/>
          </w:tcPr>
          <w:p w14:paraId="567F2B13"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541,9</w:t>
            </w:r>
          </w:p>
        </w:tc>
        <w:tc>
          <w:tcPr>
            <w:tcW w:w="786" w:type="pct"/>
            <w:shd w:val="clear" w:color="auto" w:fill="auto"/>
            <w:noWrap/>
            <w:hideMark/>
          </w:tcPr>
          <w:p w14:paraId="67A46AFD"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661,6</w:t>
            </w:r>
          </w:p>
        </w:tc>
        <w:tc>
          <w:tcPr>
            <w:tcW w:w="786" w:type="pct"/>
          </w:tcPr>
          <w:p w14:paraId="29A96C1D"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22,1</w:t>
            </w:r>
          </w:p>
        </w:tc>
        <w:tc>
          <w:tcPr>
            <w:tcW w:w="786" w:type="pct"/>
            <w:shd w:val="clear" w:color="auto" w:fill="auto"/>
            <w:hideMark/>
          </w:tcPr>
          <w:p w14:paraId="63A56635"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4,5</w:t>
            </w:r>
          </w:p>
        </w:tc>
      </w:tr>
      <w:tr w:rsidR="0004786A" w:rsidRPr="00DE058F" w14:paraId="31318ADE" w14:textId="77777777" w:rsidTr="0004786A">
        <w:trPr>
          <w:trHeight w:val="48"/>
          <w:tblHeader/>
          <w:jc w:val="right"/>
        </w:trPr>
        <w:tc>
          <w:tcPr>
            <w:tcW w:w="1855" w:type="pct"/>
            <w:shd w:val="clear" w:color="auto" w:fill="auto"/>
            <w:noWrap/>
            <w:vAlign w:val="center"/>
            <w:hideMark/>
          </w:tcPr>
          <w:p w14:paraId="7ADA002A"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Расходи за запослене</w:t>
            </w:r>
          </w:p>
        </w:tc>
        <w:tc>
          <w:tcPr>
            <w:tcW w:w="786" w:type="pct"/>
            <w:shd w:val="clear" w:color="auto" w:fill="auto"/>
            <w:hideMark/>
          </w:tcPr>
          <w:p w14:paraId="18453D60"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153,1</w:t>
            </w:r>
          </w:p>
        </w:tc>
        <w:tc>
          <w:tcPr>
            <w:tcW w:w="786" w:type="pct"/>
            <w:shd w:val="clear" w:color="auto" w:fill="auto"/>
            <w:hideMark/>
          </w:tcPr>
          <w:p w14:paraId="335057EE"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168,9</w:t>
            </w:r>
          </w:p>
        </w:tc>
        <w:tc>
          <w:tcPr>
            <w:tcW w:w="786" w:type="pct"/>
          </w:tcPr>
          <w:p w14:paraId="2C4A06F3"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10,3</w:t>
            </w:r>
          </w:p>
        </w:tc>
        <w:tc>
          <w:tcPr>
            <w:tcW w:w="786" w:type="pct"/>
            <w:shd w:val="clear" w:color="auto" w:fill="auto"/>
            <w:hideMark/>
          </w:tcPr>
          <w:p w14:paraId="2EF968AD"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7,3</w:t>
            </w:r>
          </w:p>
        </w:tc>
      </w:tr>
      <w:tr w:rsidR="0004786A" w:rsidRPr="00DE058F" w14:paraId="082D1973" w14:textId="77777777" w:rsidTr="0004786A">
        <w:trPr>
          <w:trHeight w:val="48"/>
          <w:tblHeader/>
          <w:jc w:val="right"/>
        </w:trPr>
        <w:tc>
          <w:tcPr>
            <w:tcW w:w="1855" w:type="pct"/>
            <w:shd w:val="clear" w:color="auto" w:fill="auto"/>
            <w:noWrap/>
            <w:vAlign w:val="center"/>
            <w:hideMark/>
          </w:tcPr>
          <w:p w14:paraId="54A92E34"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Куповина робе и услуга</w:t>
            </w:r>
          </w:p>
        </w:tc>
        <w:tc>
          <w:tcPr>
            <w:tcW w:w="786" w:type="pct"/>
            <w:shd w:val="clear" w:color="auto" w:fill="auto"/>
            <w:hideMark/>
          </w:tcPr>
          <w:p w14:paraId="795E6CA2"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96,8</w:t>
            </w:r>
          </w:p>
        </w:tc>
        <w:tc>
          <w:tcPr>
            <w:tcW w:w="786" w:type="pct"/>
            <w:shd w:val="clear" w:color="auto" w:fill="auto"/>
            <w:hideMark/>
          </w:tcPr>
          <w:p w14:paraId="367A8AB3"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109,8</w:t>
            </w:r>
          </w:p>
        </w:tc>
        <w:tc>
          <w:tcPr>
            <w:tcW w:w="786" w:type="pct"/>
          </w:tcPr>
          <w:p w14:paraId="1627B4A5"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13,4</w:t>
            </w:r>
          </w:p>
        </w:tc>
        <w:tc>
          <w:tcPr>
            <w:tcW w:w="786" w:type="pct"/>
            <w:shd w:val="clear" w:color="auto" w:fill="auto"/>
            <w:hideMark/>
          </w:tcPr>
          <w:p w14:paraId="0C49D996"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8,1</w:t>
            </w:r>
          </w:p>
        </w:tc>
      </w:tr>
      <w:tr w:rsidR="0004786A" w:rsidRPr="00DE058F" w14:paraId="71CB00CC" w14:textId="77777777" w:rsidTr="0004786A">
        <w:trPr>
          <w:trHeight w:val="48"/>
          <w:tblHeader/>
          <w:jc w:val="right"/>
        </w:trPr>
        <w:tc>
          <w:tcPr>
            <w:tcW w:w="1855" w:type="pct"/>
            <w:shd w:val="clear" w:color="auto" w:fill="auto"/>
            <w:noWrap/>
            <w:vAlign w:val="center"/>
            <w:hideMark/>
          </w:tcPr>
          <w:p w14:paraId="45360EF8"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Отплата камата</w:t>
            </w:r>
          </w:p>
        </w:tc>
        <w:tc>
          <w:tcPr>
            <w:tcW w:w="786" w:type="pct"/>
            <w:shd w:val="clear" w:color="auto" w:fill="auto"/>
            <w:hideMark/>
          </w:tcPr>
          <w:p w14:paraId="45E910CB"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48,2</w:t>
            </w:r>
          </w:p>
        </w:tc>
        <w:tc>
          <w:tcPr>
            <w:tcW w:w="786" w:type="pct"/>
            <w:shd w:val="clear" w:color="auto" w:fill="auto"/>
            <w:hideMark/>
          </w:tcPr>
          <w:p w14:paraId="19360747"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53,2</w:t>
            </w:r>
          </w:p>
        </w:tc>
        <w:tc>
          <w:tcPr>
            <w:tcW w:w="786" w:type="pct"/>
          </w:tcPr>
          <w:p w14:paraId="48C1E5DD"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10,5</w:t>
            </w:r>
          </w:p>
        </w:tc>
        <w:tc>
          <w:tcPr>
            <w:tcW w:w="786" w:type="pct"/>
            <w:shd w:val="clear" w:color="auto" w:fill="auto"/>
            <w:hideMark/>
          </w:tcPr>
          <w:p w14:paraId="519C3C88"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9,1</w:t>
            </w:r>
          </w:p>
        </w:tc>
      </w:tr>
      <w:tr w:rsidR="0004786A" w:rsidRPr="00DE058F" w14:paraId="5D4F400F" w14:textId="77777777" w:rsidTr="0004786A">
        <w:trPr>
          <w:trHeight w:val="48"/>
          <w:tblHeader/>
          <w:jc w:val="right"/>
        </w:trPr>
        <w:tc>
          <w:tcPr>
            <w:tcW w:w="1855" w:type="pct"/>
            <w:shd w:val="clear" w:color="auto" w:fill="auto"/>
            <w:noWrap/>
            <w:vAlign w:val="center"/>
            <w:hideMark/>
          </w:tcPr>
          <w:p w14:paraId="13EA98AF"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Субвенције</w:t>
            </w:r>
          </w:p>
        </w:tc>
        <w:tc>
          <w:tcPr>
            <w:tcW w:w="786" w:type="pct"/>
            <w:shd w:val="clear" w:color="auto" w:fill="auto"/>
            <w:hideMark/>
          </w:tcPr>
          <w:p w14:paraId="29F02DBE"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25,5</w:t>
            </w:r>
          </w:p>
        </w:tc>
        <w:tc>
          <w:tcPr>
            <w:tcW w:w="786" w:type="pct"/>
            <w:shd w:val="clear" w:color="auto" w:fill="auto"/>
            <w:hideMark/>
          </w:tcPr>
          <w:p w14:paraId="7E17A664"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38,5</w:t>
            </w:r>
          </w:p>
        </w:tc>
        <w:tc>
          <w:tcPr>
            <w:tcW w:w="786" w:type="pct"/>
          </w:tcPr>
          <w:p w14:paraId="6C573865"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51,3</w:t>
            </w:r>
          </w:p>
        </w:tc>
        <w:tc>
          <w:tcPr>
            <w:tcW w:w="786" w:type="pct"/>
            <w:shd w:val="clear" w:color="auto" w:fill="auto"/>
            <w:hideMark/>
          </w:tcPr>
          <w:p w14:paraId="691B7473"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-19,1</w:t>
            </w:r>
          </w:p>
        </w:tc>
      </w:tr>
      <w:tr w:rsidR="0004786A" w:rsidRPr="00DE058F" w14:paraId="576E95F5" w14:textId="77777777" w:rsidTr="0004786A">
        <w:trPr>
          <w:trHeight w:val="48"/>
          <w:tblHeader/>
          <w:jc w:val="right"/>
        </w:trPr>
        <w:tc>
          <w:tcPr>
            <w:tcW w:w="1855" w:type="pct"/>
            <w:shd w:val="clear" w:color="auto" w:fill="auto"/>
            <w:noWrap/>
            <w:vAlign w:val="center"/>
            <w:hideMark/>
          </w:tcPr>
          <w:p w14:paraId="445968F3"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Социјална помоћ и трансфери</w:t>
            </w:r>
          </w:p>
        </w:tc>
        <w:tc>
          <w:tcPr>
            <w:tcW w:w="786" w:type="pct"/>
            <w:shd w:val="clear" w:color="auto" w:fill="auto"/>
            <w:hideMark/>
          </w:tcPr>
          <w:p w14:paraId="351C0287"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202,4</w:t>
            </w:r>
          </w:p>
        </w:tc>
        <w:tc>
          <w:tcPr>
            <w:tcW w:w="786" w:type="pct"/>
            <w:shd w:val="clear" w:color="auto" w:fill="auto"/>
            <w:hideMark/>
          </w:tcPr>
          <w:p w14:paraId="0E99BD21"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249,5</w:t>
            </w:r>
          </w:p>
        </w:tc>
        <w:tc>
          <w:tcPr>
            <w:tcW w:w="786" w:type="pct"/>
          </w:tcPr>
          <w:p w14:paraId="3AF9446D"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23,3</w:t>
            </w:r>
          </w:p>
        </w:tc>
        <w:tc>
          <w:tcPr>
            <w:tcW w:w="786" w:type="pct"/>
            <w:shd w:val="clear" w:color="auto" w:fill="auto"/>
            <w:hideMark/>
          </w:tcPr>
          <w:p w14:paraId="07C2CE3C"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7,8</w:t>
            </w:r>
          </w:p>
        </w:tc>
      </w:tr>
      <w:tr w:rsidR="0004786A" w:rsidRPr="00DE058F" w14:paraId="4EC83C5B" w14:textId="77777777" w:rsidTr="0004786A">
        <w:trPr>
          <w:trHeight w:val="48"/>
          <w:tblHeader/>
          <w:jc w:val="right"/>
        </w:trPr>
        <w:tc>
          <w:tcPr>
            <w:tcW w:w="1855" w:type="pct"/>
            <w:shd w:val="clear" w:color="auto" w:fill="auto"/>
            <w:noWrap/>
            <w:vAlign w:val="center"/>
            <w:hideMark/>
          </w:tcPr>
          <w:p w14:paraId="487BC0C1"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од чега пензије</w:t>
            </w:r>
          </w:p>
        </w:tc>
        <w:tc>
          <w:tcPr>
            <w:tcW w:w="786" w:type="pct"/>
            <w:shd w:val="clear" w:color="auto" w:fill="auto"/>
            <w:hideMark/>
          </w:tcPr>
          <w:p w14:paraId="4E9E8367"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151,1</w:t>
            </w:r>
          </w:p>
        </w:tc>
        <w:tc>
          <w:tcPr>
            <w:tcW w:w="786" w:type="pct"/>
            <w:shd w:val="clear" w:color="auto" w:fill="auto"/>
            <w:hideMark/>
          </w:tcPr>
          <w:p w14:paraId="3223F7B6"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156,8</w:t>
            </w:r>
          </w:p>
        </w:tc>
        <w:tc>
          <w:tcPr>
            <w:tcW w:w="786" w:type="pct"/>
          </w:tcPr>
          <w:p w14:paraId="28E2CD2C"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3,8</w:t>
            </w:r>
          </w:p>
        </w:tc>
        <w:tc>
          <w:tcPr>
            <w:tcW w:w="786" w:type="pct"/>
            <w:shd w:val="clear" w:color="auto" w:fill="auto"/>
            <w:hideMark/>
          </w:tcPr>
          <w:p w14:paraId="1FE5D279"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4,5</w:t>
            </w:r>
          </w:p>
        </w:tc>
      </w:tr>
      <w:tr w:rsidR="0004786A" w:rsidRPr="00DE058F" w14:paraId="582955E9" w14:textId="77777777" w:rsidTr="0004786A">
        <w:trPr>
          <w:trHeight w:val="48"/>
          <w:tblHeader/>
          <w:jc w:val="right"/>
        </w:trPr>
        <w:tc>
          <w:tcPr>
            <w:tcW w:w="1855" w:type="pct"/>
            <w:shd w:val="clear" w:color="auto" w:fill="auto"/>
            <w:noWrap/>
            <w:vAlign w:val="center"/>
            <w:hideMark/>
          </w:tcPr>
          <w:p w14:paraId="72C04513"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Остали текући расходи</w:t>
            </w:r>
          </w:p>
        </w:tc>
        <w:tc>
          <w:tcPr>
            <w:tcW w:w="786" w:type="pct"/>
            <w:shd w:val="clear" w:color="auto" w:fill="auto"/>
            <w:hideMark/>
          </w:tcPr>
          <w:p w14:paraId="5526D7D2"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16,0</w:t>
            </w:r>
          </w:p>
        </w:tc>
        <w:tc>
          <w:tcPr>
            <w:tcW w:w="786" w:type="pct"/>
            <w:shd w:val="clear" w:color="auto" w:fill="auto"/>
            <w:hideMark/>
          </w:tcPr>
          <w:p w14:paraId="4E327F1C"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41,7</w:t>
            </w:r>
          </w:p>
        </w:tc>
        <w:tc>
          <w:tcPr>
            <w:tcW w:w="786" w:type="pct"/>
          </w:tcPr>
          <w:p w14:paraId="02433DA0"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161,1</w:t>
            </w:r>
          </w:p>
        </w:tc>
        <w:tc>
          <w:tcPr>
            <w:tcW w:w="786" w:type="pct"/>
            <w:shd w:val="clear" w:color="auto" w:fill="auto"/>
            <w:hideMark/>
          </w:tcPr>
          <w:p w14:paraId="689FDE8A"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-6,7</w:t>
            </w:r>
          </w:p>
        </w:tc>
      </w:tr>
      <w:tr w:rsidR="0004786A" w:rsidRPr="00DE058F" w14:paraId="2066242B" w14:textId="77777777" w:rsidTr="0004786A">
        <w:trPr>
          <w:trHeight w:val="48"/>
          <w:tblHeader/>
          <w:jc w:val="right"/>
        </w:trPr>
        <w:tc>
          <w:tcPr>
            <w:tcW w:w="1855" w:type="pct"/>
            <w:shd w:val="clear" w:color="auto" w:fill="auto"/>
            <w:noWrap/>
            <w:vAlign w:val="center"/>
            <w:hideMark/>
          </w:tcPr>
          <w:p w14:paraId="44D1AD34"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Капитални расходи</w:t>
            </w:r>
          </w:p>
        </w:tc>
        <w:tc>
          <w:tcPr>
            <w:tcW w:w="786" w:type="pct"/>
            <w:shd w:val="clear" w:color="auto" w:fill="auto"/>
            <w:hideMark/>
          </w:tcPr>
          <w:p w14:paraId="3AEE6A66"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62,5</w:t>
            </w:r>
          </w:p>
        </w:tc>
        <w:tc>
          <w:tcPr>
            <w:tcW w:w="786" w:type="pct"/>
            <w:shd w:val="clear" w:color="auto" w:fill="auto"/>
            <w:hideMark/>
          </w:tcPr>
          <w:p w14:paraId="6774A1F8"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76,4</w:t>
            </w:r>
          </w:p>
        </w:tc>
        <w:tc>
          <w:tcPr>
            <w:tcW w:w="786" w:type="pct"/>
          </w:tcPr>
          <w:p w14:paraId="00769BE9"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22,1</w:t>
            </w:r>
          </w:p>
        </w:tc>
        <w:tc>
          <w:tcPr>
            <w:tcW w:w="786" w:type="pct"/>
            <w:shd w:val="clear" w:color="auto" w:fill="auto"/>
            <w:hideMark/>
          </w:tcPr>
          <w:p w14:paraId="6147F3F0"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6,5</w:t>
            </w:r>
          </w:p>
        </w:tc>
      </w:tr>
      <w:tr w:rsidR="0004786A" w:rsidRPr="00DE058F" w14:paraId="035B8DE3" w14:textId="77777777" w:rsidTr="0004786A">
        <w:trPr>
          <w:trHeight w:val="48"/>
          <w:tblHeader/>
          <w:jc w:val="right"/>
        </w:trPr>
        <w:tc>
          <w:tcPr>
            <w:tcW w:w="1855" w:type="pct"/>
            <w:shd w:val="clear" w:color="auto" w:fill="auto"/>
            <w:noWrap/>
            <w:vAlign w:val="center"/>
            <w:hideMark/>
          </w:tcPr>
          <w:p w14:paraId="09864CBB"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Нето буџетске позајмице</w:t>
            </w:r>
          </w:p>
        </w:tc>
        <w:tc>
          <w:tcPr>
            <w:tcW w:w="786" w:type="pct"/>
            <w:shd w:val="clear" w:color="auto" w:fill="auto"/>
            <w:hideMark/>
          </w:tcPr>
          <w:p w14:paraId="003A63E0"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1,0</w:t>
            </w:r>
          </w:p>
        </w:tc>
        <w:tc>
          <w:tcPr>
            <w:tcW w:w="786" w:type="pct"/>
            <w:shd w:val="clear" w:color="auto" w:fill="auto"/>
            <w:hideMark/>
          </w:tcPr>
          <w:p w14:paraId="5B1635DB"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7,1</w:t>
            </w:r>
          </w:p>
        </w:tc>
        <w:tc>
          <w:tcPr>
            <w:tcW w:w="786" w:type="pct"/>
          </w:tcPr>
          <w:p w14:paraId="7E1CF636"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630,0</w:t>
            </w:r>
          </w:p>
        </w:tc>
        <w:tc>
          <w:tcPr>
            <w:tcW w:w="786" w:type="pct"/>
            <w:shd w:val="clear" w:color="auto" w:fill="auto"/>
            <w:hideMark/>
          </w:tcPr>
          <w:p w14:paraId="381E742C"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-24,5</w:t>
            </w:r>
          </w:p>
        </w:tc>
      </w:tr>
      <w:tr w:rsidR="0004786A" w:rsidRPr="00DE058F" w14:paraId="6D8A6959" w14:textId="77777777" w:rsidTr="0004786A">
        <w:trPr>
          <w:trHeight w:val="48"/>
          <w:tblHeader/>
          <w:jc w:val="right"/>
        </w:trPr>
        <w:tc>
          <w:tcPr>
            <w:tcW w:w="1855" w:type="pct"/>
            <w:shd w:val="clear" w:color="auto" w:fill="auto"/>
            <w:noWrap/>
            <w:vAlign w:val="center"/>
            <w:hideMark/>
          </w:tcPr>
          <w:p w14:paraId="6A5EDF08" w14:textId="77777777" w:rsidR="00E124CF" w:rsidRPr="00DE058F" w:rsidRDefault="00E124CF" w:rsidP="00E124CF">
            <w:pPr>
              <w:spacing w:after="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Активиране гаранције</w:t>
            </w:r>
          </w:p>
        </w:tc>
        <w:tc>
          <w:tcPr>
            <w:tcW w:w="786" w:type="pct"/>
            <w:shd w:val="clear" w:color="auto" w:fill="auto"/>
            <w:hideMark/>
          </w:tcPr>
          <w:p w14:paraId="549F1E21"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1,8</w:t>
            </w:r>
          </w:p>
        </w:tc>
        <w:tc>
          <w:tcPr>
            <w:tcW w:w="786" w:type="pct"/>
            <w:shd w:val="clear" w:color="auto" w:fill="auto"/>
            <w:hideMark/>
          </w:tcPr>
          <w:p w14:paraId="7753CB3A"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1,5</w:t>
            </w:r>
          </w:p>
        </w:tc>
        <w:tc>
          <w:tcPr>
            <w:tcW w:w="786" w:type="pct"/>
          </w:tcPr>
          <w:p w14:paraId="64A857D8"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-12,5</w:t>
            </w:r>
          </w:p>
        </w:tc>
        <w:tc>
          <w:tcPr>
            <w:tcW w:w="786" w:type="pct"/>
            <w:shd w:val="clear" w:color="auto" w:fill="auto"/>
            <w:hideMark/>
          </w:tcPr>
          <w:p w14:paraId="293EE957" w14:textId="77777777" w:rsidR="00E124CF" w:rsidRPr="00DE058F" w:rsidRDefault="00E124CF" w:rsidP="00E124CF">
            <w:pPr>
              <w:spacing w:after="0" w:line="240" w:lineRule="auto"/>
              <w:ind w:right="510"/>
              <w:jc w:val="right"/>
              <w:rPr>
                <w:rFonts w:cstheme="minorHAnsi"/>
                <w:color w:val="002060"/>
                <w:sz w:val="18"/>
                <w:szCs w:val="18"/>
                <w:lang w:val="sr-Cyrl-CS"/>
              </w:rPr>
            </w:pPr>
            <w:r w:rsidRPr="00DE058F">
              <w:rPr>
                <w:rFonts w:cstheme="minorHAnsi"/>
                <w:color w:val="002060"/>
                <w:sz w:val="18"/>
                <w:szCs w:val="18"/>
                <w:lang w:val="sr-Cyrl-CS"/>
              </w:rPr>
              <w:t>98,6</w:t>
            </w:r>
          </w:p>
        </w:tc>
      </w:tr>
      <w:tr w:rsidR="0004786A" w:rsidRPr="00DE058F" w14:paraId="2BBAA2ED" w14:textId="77777777" w:rsidTr="0004786A">
        <w:trPr>
          <w:trHeight w:val="48"/>
          <w:tblHeader/>
          <w:jc w:val="right"/>
        </w:trPr>
        <w:tc>
          <w:tcPr>
            <w:tcW w:w="1855" w:type="pct"/>
            <w:tcBorders>
              <w:bottom w:val="single" w:sz="4" w:space="0" w:color="002060"/>
            </w:tcBorders>
            <w:shd w:val="clear" w:color="auto" w:fill="E7E6E6" w:themeFill="background2"/>
            <w:noWrap/>
            <w:vAlign w:val="center"/>
            <w:hideMark/>
          </w:tcPr>
          <w:p w14:paraId="71F864C1" w14:textId="77777777" w:rsidR="00E124CF" w:rsidRPr="00DE058F" w:rsidRDefault="00E124CF" w:rsidP="00E124CF">
            <w:pPr>
              <w:spacing w:after="0" w:line="240" w:lineRule="auto"/>
              <w:jc w:val="left"/>
              <w:rPr>
                <w:rFonts w:cstheme="minorHAnsi"/>
                <w:color w:val="002060"/>
                <w:sz w:val="18"/>
                <w:szCs w:val="18"/>
                <w:lang w:val="sr-Cyrl-CS"/>
              </w:rPr>
            </w:pPr>
            <w:r w:rsidRPr="00DE058F">
              <w:rPr>
                <w:rFonts w:eastAsia="MS PGothic" w:cstheme="minorHAnsi"/>
                <w:color w:val="002060"/>
                <w:sz w:val="18"/>
                <w:szCs w:val="18"/>
                <w:lang w:val="sr-Cyrl-CS" w:eastAsia="ja-JP"/>
              </w:rPr>
              <w:t>Фискални резултат</w:t>
            </w:r>
          </w:p>
        </w:tc>
        <w:tc>
          <w:tcPr>
            <w:tcW w:w="786" w:type="pct"/>
            <w:tcBorders>
              <w:bottom w:val="single" w:sz="4" w:space="0" w:color="002060"/>
            </w:tcBorders>
            <w:shd w:val="clear" w:color="auto" w:fill="E7E6E6" w:themeFill="background2"/>
            <w:hideMark/>
          </w:tcPr>
          <w:p w14:paraId="613E2FD4"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-12,7</w:t>
            </w:r>
          </w:p>
        </w:tc>
        <w:tc>
          <w:tcPr>
            <w:tcW w:w="786" w:type="pct"/>
            <w:tcBorders>
              <w:bottom w:val="single" w:sz="4" w:space="0" w:color="002060"/>
            </w:tcBorders>
            <w:shd w:val="clear" w:color="auto" w:fill="E7E6E6" w:themeFill="background2"/>
            <w:hideMark/>
          </w:tcPr>
          <w:p w14:paraId="29BDD1A0" w14:textId="77777777" w:rsidR="00E124CF" w:rsidRPr="00DE058F" w:rsidRDefault="00E124CF" w:rsidP="00E124CF">
            <w:pPr>
              <w:spacing w:after="0" w:line="240" w:lineRule="auto"/>
              <w:ind w:right="340"/>
              <w:jc w:val="right"/>
              <w:rPr>
                <w:rFonts w:cstheme="minorHAnsi"/>
                <w:color w:val="002060"/>
                <w:sz w:val="18"/>
                <w:szCs w:val="18"/>
                <w:lang w:val="sr-Cyrl-CS"/>
              </w:rPr>
            </w:pPr>
            <w:r w:rsidRPr="00DE058F">
              <w:rPr>
                <w:rFonts w:cstheme="minorHAnsi"/>
                <w:color w:val="002060"/>
                <w:sz w:val="18"/>
                <w:szCs w:val="18"/>
                <w:lang w:val="sr-Cyrl-CS"/>
              </w:rPr>
              <w:t>-68,0</w:t>
            </w:r>
          </w:p>
        </w:tc>
        <w:tc>
          <w:tcPr>
            <w:tcW w:w="786" w:type="pct"/>
            <w:tcBorders>
              <w:bottom w:val="single" w:sz="4" w:space="0" w:color="002060"/>
            </w:tcBorders>
            <w:shd w:val="clear" w:color="auto" w:fill="E7E6E6" w:themeFill="background2"/>
          </w:tcPr>
          <w:p w14:paraId="721FB965" w14:textId="77777777" w:rsidR="00E124CF" w:rsidRPr="00DE058F" w:rsidRDefault="00E124CF" w:rsidP="00E124CF">
            <w:pPr>
              <w:spacing w:after="0" w:line="240" w:lineRule="auto"/>
              <w:ind w:right="737"/>
              <w:jc w:val="right"/>
              <w:rPr>
                <w:rFonts w:cstheme="minorHAnsi"/>
                <w:color w:val="002060"/>
                <w:sz w:val="18"/>
                <w:szCs w:val="18"/>
                <w:lang w:val="sr-Cyrl-CS"/>
              </w:rPr>
            </w:pPr>
          </w:p>
        </w:tc>
        <w:tc>
          <w:tcPr>
            <w:tcW w:w="786" w:type="pct"/>
            <w:tcBorders>
              <w:bottom w:val="single" w:sz="4" w:space="0" w:color="002060"/>
            </w:tcBorders>
            <w:shd w:val="clear" w:color="auto" w:fill="E7E6E6" w:themeFill="background2"/>
            <w:hideMark/>
          </w:tcPr>
          <w:p w14:paraId="46184277" w14:textId="77777777" w:rsidR="00E124CF" w:rsidRPr="00DE058F" w:rsidRDefault="00E124CF" w:rsidP="00E124CF">
            <w:pPr>
              <w:spacing w:after="0" w:line="240" w:lineRule="auto"/>
              <w:ind w:right="737"/>
              <w:jc w:val="right"/>
              <w:rPr>
                <w:rFonts w:cstheme="minorHAnsi"/>
                <w:color w:val="002060"/>
                <w:sz w:val="18"/>
                <w:szCs w:val="18"/>
                <w:lang w:val="sr-Cyrl-CS"/>
              </w:rPr>
            </w:pPr>
          </w:p>
        </w:tc>
      </w:tr>
    </w:tbl>
    <w:p w14:paraId="320933D1" w14:textId="77777777" w:rsidR="00E124CF" w:rsidRPr="00DE058F" w:rsidRDefault="00E124CF" w:rsidP="00E124CF">
      <w:pPr>
        <w:tabs>
          <w:tab w:val="left" w:pos="623"/>
        </w:tabs>
        <w:spacing w:after="120" w:line="240" w:lineRule="auto"/>
        <w:rPr>
          <w:lang w:val="sr-Cyrl-CS" w:eastAsia="ja-JP"/>
        </w:rPr>
      </w:pPr>
      <w:r w:rsidRPr="00DE058F">
        <w:rPr>
          <w:rFonts w:eastAsia="Calibri" w:cstheme="minorHAnsi"/>
          <w:bCs/>
          <w:sz w:val="16"/>
          <w:szCs w:val="16"/>
          <w:lang w:val="sr-Cyrl-CS" w:eastAsia="ja-JP"/>
        </w:rPr>
        <w:t xml:space="preserve">Извор: </w:t>
      </w:r>
      <w:r w:rsidRPr="00DE058F">
        <w:rPr>
          <w:rFonts w:cstheme="minorHAnsi"/>
          <w:sz w:val="16"/>
          <w:szCs w:val="16"/>
          <w:lang w:val="sr-Cyrl-CS"/>
        </w:rPr>
        <w:t>Министарство финансија</w:t>
      </w:r>
    </w:p>
    <w:p w14:paraId="2615AAF9" w14:textId="77777777" w:rsidR="00E124CF" w:rsidRPr="00DE058F" w:rsidRDefault="00E124CF" w:rsidP="00E124CF">
      <w:pPr>
        <w:spacing w:after="120"/>
        <w:rPr>
          <w:lang w:val="sr-Cyrl-CS" w:eastAsia="ja-JP"/>
        </w:rPr>
        <w:sectPr w:rsidR="00E124CF" w:rsidRPr="00DE058F" w:rsidSect="00AE40EB">
          <w:type w:val="continuous"/>
          <w:pgSz w:w="12240" w:h="15840" w:code="1"/>
          <w:pgMar w:top="1440" w:right="1440" w:bottom="1440" w:left="1440" w:header="720" w:footer="720" w:gutter="0"/>
          <w:cols w:space="720"/>
          <w:docGrid w:linePitch="360"/>
        </w:sectPr>
      </w:pPr>
    </w:p>
    <w:p w14:paraId="284CE854" w14:textId="1B125255" w:rsidR="00E124CF" w:rsidRPr="00DE058F" w:rsidRDefault="00E124CF" w:rsidP="00E124CF">
      <w:pPr>
        <w:spacing w:after="480"/>
        <w:rPr>
          <w:rFonts w:eastAsia="MS PGothic" w:cstheme="minorHAnsi"/>
          <w:szCs w:val="20"/>
          <w:lang w:val="sr-Cyrl-CS" w:eastAsia="ja-JP"/>
        </w:rPr>
      </w:pPr>
      <w:r w:rsidRPr="00DE058F">
        <w:rPr>
          <w:rFonts w:eastAsia="MS PGothic" w:cstheme="minorHAnsi"/>
          <w:szCs w:val="20"/>
          <w:lang w:val="sr-Cyrl-CS" w:eastAsia="ja-JP"/>
        </w:rPr>
        <w:t xml:space="preserve">Стање доцњи (преко 60 дана кашњења)* буџетских корисника и организација обавезног социјалног осигурања последњег дана </w:t>
      </w:r>
      <w:r w:rsidR="00BE0D5F" w:rsidRPr="00DE058F">
        <w:rPr>
          <w:lang w:val="sr-Cyrl-CS"/>
        </w:rPr>
        <w:t>марта</w:t>
      </w:r>
      <w:r w:rsidRPr="00DE058F">
        <w:rPr>
          <w:rFonts w:eastAsia="MS PGothic" w:cstheme="minorHAnsi"/>
          <w:szCs w:val="20"/>
          <w:lang w:val="sr-Cyrl-CS" w:eastAsia="ja-JP"/>
        </w:rPr>
        <w:t xml:space="preserve"> 2022. године износило је 2,1 млрд динара (око 0,04% БДП), и смањено је у односу на крај 2021. године. </w:t>
      </w:r>
      <w:r w:rsidRPr="00DE058F">
        <w:rPr>
          <w:rFonts w:eastAsia="MS PGothic" w:cstheme="minorHAnsi"/>
          <w:szCs w:val="20"/>
          <w:lang w:val="sr-Cyrl-CS" w:eastAsia="ja-JP"/>
        </w:rPr>
        <w:t>Корисници буџета и ЈП „Путеви Србије” креирали су доцње у плаћању од 0,8 млрд динара, док је стање доцњи организација обавезног социјалног осигурања 1,3 млрд динара.</w:t>
      </w:r>
    </w:p>
    <w:p w14:paraId="29799823" w14:textId="77777777" w:rsidR="00E124CF" w:rsidRPr="00DE058F" w:rsidRDefault="00E124CF" w:rsidP="00E124CF">
      <w:pPr>
        <w:spacing w:after="120"/>
        <w:rPr>
          <w:rFonts w:eastAsia="MS PGothic" w:cstheme="minorHAnsi"/>
          <w:szCs w:val="20"/>
          <w:lang w:val="sr-Cyrl-CS" w:eastAsia="ja-JP"/>
        </w:rPr>
        <w:sectPr w:rsidR="00E124CF" w:rsidRPr="00DE058F" w:rsidSect="00E124CF">
          <w:headerReference w:type="even" r:id="rId105"/>
          <w:headerReference w:type="default" r:id="rId106"/>
          <w:footerReference w:type="even" r:id="rId107"/>
          <w:footerReference w:type="default" r:id="rId108"/>
          <w:headerReference w:type="first" r:id="rId109"/>
          <w:type w:val="continuous"/>
          <w:pgSz w:w="12240" w:h="15840" w:code="1"/>
          <w:pgMar w:top="1440" w:right="1440" w:bottom="1440" w:left="1440" w:header="720" w:footer="720" w:gutter="0"/>
          <w:cols w:num="2" w:space="720"/>
          <w:docGrid w:linePitch="360"/>
        </w:sectPr>
      </w:pPr>
    </w:p>
    <w:p w14:paraId="38CE4457" w14:textId="63CEA2F3" w:rsidR="00E124CF" w:rsidRPr="00DE058F" w:rsidRDefault="00E124CF" w:rsidP="00E124CF">
      <w:pPr>
        <w:spacing w:after="120"/>
        <w:rPr>
          <w:rFonts w:eastAsia="MS PGothic" w:cstheme="minorHAnsi"/>
          <w:b/>
          <w:color w:val="002060"/>
          <w:szCs w:val="20"/>
          <w:lang w:val="sr-Cyrl-CS" w:eastAsia="ja-JP"/>
        </w:rPr>
      </w:pPr>
      <w:r w:rsidRPr="00DE058F">
        <w:rPr>
          <w:rFonts w:eastAsia="MS PGothic" w:cstheme="minorHAnsi"/>
          <w:b/>
          <w:color w:val="002060"/>
          <w:szCs w:val="20"/>
          <w:lang w:val="sr-Cyrl-CS" w:eastAsia="ja-JP"/>
        </w:rPr>
        <w:t xml:space="preserve">Табела </w:t>
      </w:r>
      <w:r w:rsidR="00623E62" w:rsidRPr="00DE058F">
        <w:rPr>
          <w:rFonts w:eastAsia="MS PGothic" w:cstheme="minorHAnsi"/>
          <w:b/>
          <w:color w:val="002060"/>
          <w:szCs w:val="20"/>
          <w:lang w:val="sr-Cyrl-CS" w:eastAsia="ja-JP"/>
        </w:rPr>
        <w:t>8</w:t>
      </w:r>
      <w:r w:rsidRPr="00DE058F">
        <w:rPr>
          <w:rFonts w:eastAsia="MS PGothic" w:cstheme="minorHAnsi"/>
          <w:b/>
          <w:color w:val="002060"/>
          <w:szCs w:val="20"/>
          <w:lang w:val="sr-Cyrl-CS" w:eastAsia="ja-JP"/>
        </w:rPr>
        <w:t>. Стање доцњи буџетских корисника и ООСО, крај 2021. године и март 2022. године, у млрд динара</w:t>
      </w:r>
    </w:p>
    <w:tbl>
      <w:tblPr>
        <w:tblStyle w:val="LightShading-Accent335"/>
        <w:tblpPr w:leftFromText="180" w:rightFromText="180" w:vertAnchor="text" w:horzAnchor="margin" w:tblpY="56"/>
        <w:tblW w:w="4879" w:type="pct"/>
        <w:tblBorders>
          <w:top w:val="none" w:sz="0" w:space="0" w:color="auto"/>
          <w:bottom w:val="none" w:sz="0" w:space="0" w:color="auto"/>
        </w:tblBorders>
        <w:tblLook w:val="04A0" w:firstRow="1" w:lastRow="0" w:firstColumn="1" w:lastColumn="0" w:noHBand="0" w:noVBand="1"/>
      </w:tblPr>
      <w:tblGrid>
        <w:gridCol w:w="5451"/>
        <w:gridCol w:w="1841"/>
        <w:gridCol w:w="1841"/>
      </w:tblGrid>
      <w:tr w:rsidR="00CB7D08" w:rsidRPr="00DE058F" w14:paraId="7384137A" w14:textId="77777777" w:rsidTr="0004786A">
        <w:trPr>
          <w:cnfStyle w:val="100000000000" w:firstRow="1" w:lastRow="0" w:firstColumn="0" w:lastColumn="0" w:oddVBand="0" w:evenVBand="0" w:oddHBand="0"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2984" w:type="pct"/>
            <w:tcBorders>
              <w:top w:val="single" w:sz="4" w:space="0" w:color="002060"/>
              <w:bottom w:val="single" w:sz="4" w:space="0" w:color="002060"/>
            </w:tcBorders>
            <w:shd w:val="clear" w:color="auto" w:fill="auto"/>
            <w:noWrap/>
            <w:hideMark/>
          </w:tcPr>
          <w:p w14:paraId="5C209E56" w14:textId="77777777" w:rsidR="00E124CF" w:rsidRPr="00DE058F" w:rsidRDefault="00E124CF" w:rsidP="00E124CF">
            <w:pPr>
              <w:jc w:val="right"/>
              <w:rPr>
                <w:rFonts w:asciiTheme="minorHAnsi" w:hAnsiTheme="minorHAnsi" w:cstheme="minorHAnsi"/>
                <w:b w:val="0"/>
                <w:color w:val="002060"/>
                <w:sz w:val="18"/>
                <w:szCs w:val="18"/>
                <w:lang w:val="sr-Cyrl-CS"/>
              </w:rPr>
            </w:pPr>
            <w:r w:rsidRPr="00DE058F">
              <w:rPr>
                <w:rFonts w:asciiTheme="minorHAnsi" w:hAnsiTheme="minorHAnsi" w:cstheme="minorHAnsi"/>
                <w:b w:val="0"/>
                <w:color w:val="002060"/>
                <w:sz w:val="18"/>
                <w:szCs w:val="18"/>
                <w:lang w:val="sr-Cyrl-CS"/>
              </w:rPr>
              <w:t> </w:t>
            </w:r>
          </w:p>
        </w:tc>
        <w:tc>
          <w:tcPr>
            <w:tcW w:w="1008" w:type="pct"/>
            <w:tcBorders>
              <w:top w:val="single" w:sz="4" w:space="0" w:color="002060"/>
              <w:bottom w:val="single" w:sz="4" w:space="0" w:color="002060"/>
            </w:tcBorders>
            <w:shd w:val="clear" w:color="auto" w:fill="auto"/>
          </w:tcPr>
          <w:p w14:paraId="6A673630" w14:textId="77777777" w:rsidR="00E124CF" w:rsidRPr="00DE058F" w:rsidRDefault="00E124CF" w:rsidP="00FE1A26">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color w:val="002060"/>
                <w:sz w:val="18"/>
                <w:szCs w:val="18"/>
                <w:lang w:val="sr-Cyrl-CS"/>
              </w:rPr>
            </w:pPr>
            <w:r w:rsidRPr="00DE058F">
              <w:rPr>
                <w:rFonts w:asciiTheme="minorHAnsi" w:hAnsiTheme="minorHAnsi" w:cstheme="minorHAnsi"/>
                <w:b w:val="0"/>
                <w:color w:val="002060"/>
                <w:sz w:val="18"/>
                <w:szCs w:val="18"/>
                <w:lang w:val="sr-Cyrl-CS"/>
              </w:rPr>
              <w:t>31.12.2021.</w:t>
            </w:r>
          </w:p>
        </w:tc>
        <w:tc>
          <w:tcPr>
            <w:tcW w:w="1008" w:type="pct"/>
            <w:tcBorders>
              <w:top w:val="single" w:sz="4" w:space="0" w:color="002060"/>
              <w:bottom w:val="single" w:sz="4" w:space="0" w:color="002060"/>
            </w:tcBorders>
            <w:shd w:val="clear" w:color="auto" w:fill="auto"/>
          </w:tcPr>
          <w:p w14:paraId="1496AD53" w14:textId="77777777" w:rsidR="00E124CF" w:rsidRPr="00DE058F" w:rsidRDefault="00E124CF" w:rsidP="00FE1A26">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color w:val="002060"/>
                <w:sz w:val="18"/>
                <w:szCs w:val="18"/>
                <w:lang w:val="sr-Cyrl-CS"/>
              </w:rPr>
            </w:pPr>
            <w:r w:rsidRPr="00DE058F">
              <w:rPr>
                <w:rFonts w:asciiTheme="minorHAnsi" w:hAnsiTheme="minorHAnsi" w:cstheme="minorHAnsi"/>
                <w:b w:val="0"/>
                <w:color w:val="002060"/>
                <w:sz w:val="18"/>
                <w:szCs w:val="18"/>
                <w:lang w:val="sr-Cyrl-CS"/>
              </w:rPr>
              <w:t>31.03.2022.</w:t>
            </w:r>
          </w:p>
        </w:tc>
      </w:tr>
      <w:tr w:rsidR="00CB7D08" w:rsidRPr="00DE058F" w14:paraId="5A4156B9" w14:textId="77777777" w:rsidTr="0004786A">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2984" w:type="pct"/>
            <w:tcBorders>
              <w:top w:val="single" w:sz="4" w:space="0" w:color="002060"/>
            </w:tcBorders>
            <w:shd w:val="clear" w:color="auto" w:fill="auto"/>
            <w:noWrap/>
            <w:hideMark/>
          </w:tcPr>
          <w:p w14:paraId="2CEC36B8" w14:textId="77777777" w:rsidR="00E124CF" w:rsidRPr="00DE058F" w:rsidRDefault="00E124CF" w:rsidP="00FE1A26">
            <w:pPr>
              <w:rPr>
                <w:rFonts w:asciiTheme="minorHAnsi" w:hAnsiTheme="minorHAnsi" w:cstheme="minorHAnsi"/>
                <w:b w:val="0"/>
                <w:color w:val="002060"/>
                <w:sz w:val="18"/>
                <w:szCs w:val="18"/>
                <w:lang w:val="sr-Cyrl-CS"/>
              </w:rPr>
            </w:pPr>
            <w:r w:rsidRPr="00DE058F">
              <w:rPr>
                <w:rFonts w:asciiTheme="minorHAnsi" w:hAnsiTheme="minorHAnsi" w:cstheme="minorHAnsi"/>
                <w:b w:val="0"/>
                <w:color w:val="002060"/>
                <w:sz w:val="18"/>
                <w:szCs w:val="18"/>
                <w:lang w:val="sr-Cyrl-CS"/>
              </w:rPr>
              <w:t xml:space="preserve">Буџетски корисници и ЈП „Путеви Србије” </w:t>
            </w:r>
          </w:p>
        </w:tc>
        <w:tc>
          <w:tcPr>
            <w:tcW w:w="1008" w:type="pct"/>
            <w:tcBorders>
              <w:top w:val="single" w:sz="4" w:space="0" w:color="002060"/>
            </w:tcBorders>
            <w:shd w:val="clear" w:color="auto" w:fill="auto"/>
          </w:tcPr>
          <w:p w14:paraId="7CFBED02" w14:textId="77777777" w:rsidR="00E124CF" w:rsidRPr="00DE058F" w:rsidRDefault="00E124CF" w:rsidP="00FE1A26">
            <w:pPr>
              <w:ind w:firstLine="709"/>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1,2</w:t>
            </w:r>
          </w:p>
        </w:tc>
        <w:tc>
          <w:tcPr>
            <w:tcW w:w="1008" w:type="pct"/>
            <w:tcBorders>
              <w:top w:val="single" w:sz="4" w:space="0" w:color="002060"/>
            </w:tcBorders>
            <w:shd w:val="clear" w:color="auto" w:fill="auto"/>
          </w:tcPr>
          <w:p w14:paraId="67C06075" w14:textId="77777777" w:rsidR="00E124CF" w:rsidRPr="00DE058F" w:rsidRDefault="00E124CF" w:rsidP="00FE1A26">
            <w:pPr>
              <w:ind w:firstLine="709"/>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0,8</w:t>
            </w:r>
          </w:p>
        </w:tc>
      </w:tr>
      <w:tr w:rsidR="00CB7D08" w:rsidRPr="00DE058F" w14:paraId="5331B4E8" w14:textId="77777777" w:rsidTr="0004786A">
        <w:trPr>
          <w:trHeight w:val="239"/>
        </w:trPr>
        <w:tc>
          <w:tcPr>
            <w:cnfStyle w:val="001000000000" w:firstRow="0" w:lastRow="0" w:firstColumn="1" w:lastColumn="0" w:oddVBand="0" w:evenVBand="0" w:oddHBand="0" w:evenHBand="0" w:firstRowFirstColumn="0" w:firstRowLastColumn="0" w:lastRowFirstColumn="0" w:lastRowLastColumn="0"/>
            <w:tcW w:w="2984" w:type="pct"/>
            <w:shd w:val="clear" w:color="auto" w:fill="auto"/>
            <w:noWrap/>
            <w:hideMark/>
          </w:tcPr>
          <w:p w14:paraId="17A8D877" w14:textId="77777777" w:rsidR="00E124CF" w:rsidRPr="00DE058F" w:rsidRDefault="00E124CF" w:rsidP="00FE1A26">
            <w:pPr>
              <w:rPr>
                <w:rFonts w:asciiTheme="minorHAnsi" w:hAnsiTheme="minorHAnsi" w:cstheme="minorHAnsi"/>
                <w:b w:val="0"/>
                <w:color w:val="002060"/>
                <w:sz w:val="18"/>
                <w:szCs w:val="18"/>
                <w:lang w:val="sr-Cyrl-CS"/>
              </w:rPr>
            </w:pPr>
            <w:r w:rsidRPr="00DE058F">
              <w:rPr>
                <w:rFonts w:asciiTheme="minorHAnsi" w:hAnsiTheme="minorHAnsi" w:cstheme="minorHAnsi"/>
                <w:b w:val="0"/>
                <w:color w:val="002060"/>
                <w:sz w:val="18"/>
                <w:szCs w:val="18"/>
                <w:lang w:val="sr-Cyrl-CS"/>
              </w:rPr>
              <w:t>ООСО</w:t>
            </w:r>
          </w:p>
        </w:tc>
        <w:tc>
          <w:tcPr>
            <w:tcW w:w="1008" w:type="pct"/>
            <w:shd w:val="clear" w:color="auto" w:fill="auto"/>
          </w:tcPr>
          <w:p w14:paraId="43851E3A" w14:textId="77777777" w:rsidR="00E124CF" w:rsidRPr="00DE058F" w:rsidRDefault="00E124CF" w:rsidP="00FE1A26">
            <w:pPr>
              <w:ind w:firstLine="709"/>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1,3</w:t>
            </w:r>
          </w:p>
        </w:tc>
        <w:tc>
          <w:tcPr>
            <w:tcW w:w="1008" w:type="pct"/>
            <w:shd w:val="clear" w:color="auto" w:fill="auto"/>
          </w:tcPr>
          <w:p w14:paraId="64E57E78" w14:textId="77777777" w:rsidR="00E124CF" w:rsidRPr="00DE058F" w:rsidRDefault="00E124CF" w:rsidP="00FE1A26">
            <w:pPr>
              <w:ind w:firstLine="709"/>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1,3</w:t>
            </w:r>
          </w:p>
        </w:tc>
      </w:tr>
      <w:tr w:rsidR="00CB7D08" w:rsidRPr="00DE058F" w14:paraId="5C5BE6C7" w14:textId="77777777" w:rsidTr="0004786A">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2984" w:type="pct"/>
            <w:tcBorders>
              <w:bottom w:val="single" w:sz="4" w:space="0" w:color="002060"/>
            </w:tcBorders>
            <w:shd w:val="clear" w:color="auto" w:fill="auto"/>
            <w:noWrap/>
            <w:hideMark/>
          </w:tcPr>
          <w:p w14:paraId="34F61707" w14:textId="77777777" w:rsidR="00E124CF" w:rsidRPr="00DE058F" w:rsidRDefault="00E124CF" w:rsidP="00FE1A26">
            <w:pPr>
              <w:rPr>
                <w:rFonts w:asciiTheme="minorHAnsi" w:hAnsiTheme="minorHAnsi" w:cstheme="minorHAnsi"/>
                <w:b w:val="0"/>
                <w:color w:val="002060"/>
                <w:sz w:val="18"/>
                <w:szCs w:val="18"/>
                <w:lang w:val="sr-Cyrl-CS"/>
              </w:rPr>
            </w:pPr>
            <w:r w:rsidRPr="00DE058F">
              <w:rPr>
                <w:rFonts w:asciiTheme="minorHAnsi" w:hAnsiTheme="minorHAnsi" w:cstheme="minorHAnsi"/>
                <w:b w:val="0"/>
                <w:color w:val="002060"/>
                <w:sz w:val="18"/>
                <w:szCs w:val="18"/>
                <w:lang w:val="sr-Cyrl-CS"/>
              </w:rPr>
              <w:t>УКУПНО</w:t>
            </w:r>
          </w:p>
        </w:tc>
        <w:tc>
          <w:tcPr>
            <w:tcW w:w="1008" w:type="pct"/>
            <w:tcBorders>
              <w:bottom w:val="single" w:sz="4" w:space="0" w:color="002060"/>
            </w:tcBorders>
            <w:shd w:val="clear" w:color="auto" w:fill="auto"/>
          </w:tcPr>
          <w:p w14:paraId="5FDE2CDA" w14:textId="77777777" w:rsidR="00E124CF" w:rsidRPr="00DE058F" w:rsidRDefault="00E124CF" w:rsidP="00FE1A26">
            <w:pPr>
              <w:ind w:firstLine="709"/>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2,5</w:t>
            </w:r>
          </w:p>
        </w:tc>
        <w:tc>
          <w:tcPr>
            <w:tcW w:w="1008" w:type="pct"/>
            <w:tcBorders>
              <w:bottom w:val="single" w:sz="4" w:space="0" w:color="002060"/>
            </w:tcBorders>
            <w:shd w:val="clear" w:color="auto" w:fill="auto"/>
          </w:tcPr>
          <w:p w14:paraId="696B81B5" w14:textId="77777777" w:rsidR="00E124CF" w:rsidRPr="00DE058F" w:rsidRDefault="00E124CF" w:rsidP="00FE1A26">
            <w:pPr>
              <w:ind w:firstLine="709"/>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2,1</w:t>
            </w:r>
          </w:p>
        </w:tc>
      </w:tr>
    </w:tbl>
    <w:p w14:paraId="4CB13AF5" w14:textId="77777777" w:rsidR="00E124CF" w:rsidRPr="00DE058F" w:rsidRDefault="00E124CF" w:rsidP="00FE1A26">
      <w:pPr>
        <w:spacing w:before="40" w:after="0" w:line="240" w:lineRule="auto"/>
        <w:rPr>
          <w:rFonts w:cstheme="minorHAnsi"/>
          <w:sz w:val="16"/>
          <w:szCs w:val="20"/>
          <w:lang w:val="sr-Cyrl-CS"/>
        </w:rPr>
      </w:pPr>
      <w:r w:rsidRPr="00DE058F">
        <w:rPr>
          <w:rFonts w:eastAsia="Calibri" w:cstheme="minorHAnsi"/>
          <w:bCs/>
          <w:sz w:val="16"/>
          <w:szCs w:val="20"/>
          <w:lang w:val="sr-Cyrl-CS" w:eastAsia="ja-JP"/>
        </w:rPr>
        <w:t xml:space="preserve">Извор: </w:t>
      </w:r>
      <w:r w:rsidRPr="00DE058F">
        <w:rPr>
          <w:rFonts w:cstheme="minorHAnsi"/>
          <w:sz w:val="16"/>
          <w:szCs w:val="20"/>
          <w:lang w:val="sr-Cyrl-CS"/>
        </w:rPr>
        <w:t>Министарство финансија</w:t>
      </w:r>
    </w:p>
    <w:p w14:paraId="462F9A9A" w14:textId="77777777" w:rsidR="00E124CF" w:rsidRPr="00DE058F" w:rsidRDefault="00E124CF" w:rsidP="00FE1A26">
      <w:pPr>
        <w:spacing w:after="0" w:line="240" w:lineRule="auto"/>
        <w:rPr>
          <w:rFonts w:eastAsia="MS PGothic" w:cstheme="minorHAnsi"/>
          <w:b/>
          <w:color w:val="002060"/>
          <w:szCs w:val="20"/>
          <w:lang w:val="sr-Cyrl-CS" w:eastAsia="ja-JP"/>
        </w:rPr>
      </w:pPr>
      <w:r w:rsidRPr="00DE058F">
        <w:rPr>
          <w:rFonts w:eastAsia="MS PGothic" w:cstheme="minorHAnsi"/>
          <w:sz w:val="16"/>
          <w:szCs w:val="16"/>
          <w:lang w:val="sr-Cyrl-CS" w:eastAsia="ja-JP"/>
        </w:rPr>
        <w:t>* У складу са дефиницијом која се користила за потребе праћења спровођења аранжмана са ММФ.</w:t>
      </w:r>
    </w:p>
    <w:p w14:paraId="2B4AD85E" w14:textId="77777777" w:rsidR="00E124CF" w:rsidRPr="00DE058F" w:rsidRDefault="00E124CF" w:rsidP="00FE1A26">
      <w:pPr>
        <w:spacing w:after="240" w:line="240" w:lineRule="auto"/>
        <w:rPr>
          <w:rFonts w:eastAsia="MS PGothic" w:cstheme="minorHAnsi"/>
          <w:b/>
          <w:color w:val="002060"/>
          <w:szCs w:val="20"/>
          <w:lang w:val="sr-Cyrl-CS" w:eastAsia="ja-JP"/>
        </w:rPr>
      </w:pPr>
    </w:p>
    <w:p w14:paraId="715B607E" w14:textId="77777777" w:rsidR="00E124CF" w:rsidRPr="00DE058F" w:rsidRDefault="00E124CF" w:rsidP="00FE1A26">
      <w:pPr>
        <w:spacing w:after="240" w:line="240" w:lineRule="auto"/>
        <w:rPr>
          <w:rFonts w:eastAsia="MS PGothic" w:cstheme="minorHAnsi"/>
          <w:b/>
          <w:color w:val="002060"/>
          <w:szCs w:val="20"/>
          <w:lang w:val="sr-Cyrl-CS" w:eastAsia="ja-JP"/>
        </w:rPr>
        <w:sectPr w:rsidR="00E124CF" w:rsidRPr="00DE058F" w:rsidSect="00AE40EB">
          <w:headerReference w:type="even" r:id="rId110"/>
          <w:headerReference w:type="default" r:id="rId111"/>
          <w:footerReference w:type="even" r:id="rId112"/>
          <w:footerReference w:type="default" r:id="rId113"/>
          <w:headerReference w:type="first" r:id="rId114"/>
          <w:type w:val="continuous"/>
          <w:pgSz w:w="12240" w:h="15840" w:code="1"/>
          <w:pgMar w:top="1440" w:right="1440" w:bottom="1440" w:left="1440" w:header="720" w:footer="720" w:gutter="0"/>
          <w:cols w:space="332"/>
          <w:docGrid w:linePitch="360"/>
        </w:sectPr>
      </w:pPr>
    </w:p>
    <w:bookmarkStart w:id="34" w:name="_Toc530635107"/>
    <w:p w14:paraId="7B075285" w14:textId="0E89CA7D" w:rsidR="00CE2DC7" w:rsidRPr="00DE058F" w:rsidRDefault="006D3FE2" w:rsidP="000B3E5D">
      <w:pPr>
        <w:pStyle w:val="ListParagraph"/>
        <w:spacing w:after="240" w:line="240" w:lineRule="auto"/>
        <w:ind w:left="0"/>
        <w:jc w:val="center"/>
        <w:rPr>
          <w:rFonts w:ascii="Calibri" w:eastAsia="Calibri" w:hAnsi="Calibri" w:cs="Calibri"/>
          <w:b/>
          <w:color w:val="2F5496" w:themeColor="accent1" w:themeShade="BF"/>
          <w:sz w:val="24"/>
          <w:szCs w:val="24"/>
          <w:lang w:val="sr-Cyrl-CS"/>
        </w:rPr>
      </w:pPr>
      <w:r w:rsidRPr="00DE058F">
        <w:rPr>
          <w:rFonts w:ascii="Calibri" w:eastAsia="Calibri" w:hAnsi="Calibri" w:cs="Calibri"/>
          <w:b/>
          <w:noProof/>
          <w:color w:val="2F5496" w:themeColor="accent1" w:themeShade="BF"/>
          <w:sz w:val="24"/>
          <w:szCs w:val="24"/>
        </w:rPr>
        <w:lastRenderedPageBreak/>
        <mc:AlternateContent>
          <mc:Choice Requires="wps">
            <w:drawing>
              <wp:anchor distT="0" distB="0" distL="114300" distR="114300" simplePos="0" relativeHeight="251685376" behindDoc="1" locked="0" layoutInCell="1" allowOverlap="1" wp14:anchorId="083E3B6F" wp14:editId="0C112C6E">
                <wp:simplePos x="0" y="0"/>
                <wp:positionH relativeFrom="margin">
                  <wp:posOffset>-266700</wp:posOffset>
                </wp:positionH>
                <wp:positionV relativeFrom="paragraph">
                  <wp:posOffset>-95249</wp:posOffset>
                </wp:positionV>
                <wp:extent cx="6480000" cy="8058150"/>
                <wp:effectExtent l="0" t="0" r="0" b="0"/>
                <wp:wrapNone/>
                <wp:docPr id="92" name="Rectangle 92"/>
                <wp:cNvGraphicFramePr/>
                <a:graphic xmlns:a="http://schemas.openxmlformats.org/drawingml/2006/main">
                  <a:graphicData uri="http://schemas.microsoft.com/office/word/2010/wordprocessingShape">
                    <wps:wsp>
                      <wps:cNvSpPr/>
                      <wps:spPr>
                        <a:xfrm>
                          <a:off x="0" y="0"/>
                          <a:ext cx="6480000" cy="8058150"/>
                        </a:xfrm>
                        <a:prstGeom prst="rect">
                          <a:avLst/>
                        </a:prstGeom>
                        <a:pattFill prst="pct25">
                          <a:fgClr>
                            <a:schemeClr val="bg1">
                              <a:lumMod val="8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D90C49" id="Rectangle 92" o:spid="_x0000_s1026" style="position:absolute;margin-left:-21pt;margin-top:-7.5pt;width:510.25pt;height:634.5pt;z-index:-251631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" fillcolor="#d8d8d8 [2732]" stroked="f" strokeweight="1pt">
                <v:fill r:id="rId85" o:title="" color2="white [3212]" type="pattern"/>
                <w10:wrap anchorx="margin"/>
              </v:rect>
            </w:pict>
          </mc:Fallback>
        </mc:AlternateContent>
      </w:r>
      <w:r w:rsidR="00CE2DC7" w:rsidRPr="00DE058F">
        <w:rPr>
          <w:rFonts w:ascii="Calibri" w:eastAsia="Calibri" w:hAnsi="Calibri" w:cs="Calibri"/>
          <w:b/>
          <w:color w:val="2F5496" w:themeColor="accent1" w:themeShade="BF"/>
          <w:sz w:val="24"/>
          <w:szCs w:val="24"/>
          <w:lang w:val="sr-Cyrl-CS"/>
        </w:rPr>
        <w:t>S0 индикатор краткорочне фискалне одрживости</w:t>
      </w:r>
    </w:p>
    <w:p w14:paraId="62F5BD16" w14:textId="77777777" w:rsidR="00CE2DC7" w:rsidRPr="00DE058F" w:rsidRDefault="00CE2DC7" w:rsidP="00C95509">
      <w:pPr>
        <w:spacing w:after="60"/>
        <w:rPr>
          <w:rFonts w:cstheme="minorHAnsi"/>
          <w:color w:val="auto"/>
          <w:szCs w:val="20"/>
          <w:lang w:val="sr-Cyrl-CS"/>
        </w:rPr>
      </w:pPr>
    </w:p>
    <w:p w14:paraId="0863F01A" w14:textId="77777777" w:rsidR="00CE2DC7" w:rsidRPr="00DE058F" w:rsidRDefault="00CE2DC7" w:rsidP="00C95509">
      <w:pPr>
        <w:spacing w:after="60"/>
        <w:rPr>
          <w:rFonts w:cstheme="minorHAnsi"/>
          <w:color w:val="auto"/>
          <w:szCs w:val="20"/>
          <w:lang w:val="sr-Cyrl-CS"/>
        </w:rPr>
        <w:sectPr w:rsidR="00CE2DC7" w:rsidRPr="00DE058F" w:rsidSect="00C95509">
          <w:headerReference w:type="even" r:id="rId115"/>
          <w:footerReference w:type="even" r:id="rId116"/>
          <w:footerReference w:type="default" r:id="rId117"/>
          <w:headerReference w:type="first" r:id="rId118"/>
          <w:type w:val="continuous"/>
          <w:pgSz w:w="12240" w:h="15840"/>
          <w:pgMar w:top="1440" w:right="1440" w:bottom="1440" w:left="1440" w:header="720" w:footer="720" w:gutter="0"/>
          <w:cols w:space="720"/>
          <w:docGrid w:linePitch="360"/>
        </w:sectPr>
      </w:pPr>
    </w:p>
    <w:p w14:paraId="7CFED9A0" w14:textId="0449F3D0" w:rsidR="00CE2DC7" w:rsidRPr="00DE058F" w:rsidRDefault="00CE2DC7" w:rsidP="00C95509">
      <w:pPr>
        <w:rPr>
          <w:rFonts w:cstheme="minorHAnsi"/>
          <w:szCs w:val="20"/>
          <w:lang w:val="sr-Cyrl-CS"/>
        </w:rPr>
      </w:pPr>
      <w:r w:rsidRPr="00DE058F">
        <w:rPr>
          <w:rFonts w:cstheme="minorHAnsi"/>
          <w:szCs w:val="20"/>
          <w:lang w:val="sr-Cyrl-CS"/>
        </w:rPr>
        <w:t xml:space="preserve">Европска комисија је за оцену краткорочне фискалне одрживости дизајнирала композитни индикатор S0 којим се кроз идентификацију потенцијалних краткорочних ризика у текућој години настоји </w:t>
      </w:r>
      <w:r w:rsidR="00895F64" w:rsidRPr="00DE058F">
        <w:rPr>
          <w:rFonts w:cstheme="minorHAnsi"/>
          <w:szCs w:val="20"/>
          <w:lang w:val="sr-Cyrl-CS"/>
        </w:rPr>
        <w:t xml:space="preserve">да </w:t>
      </w:r>
      <w:r w:rsidRPr="00DE058F">
        <w:rPr>
          <w:rFonts w:cstheme="minorHAnsi"/>
          <w:szCs w:val="20"/>
          <w:lang w:val="sr-Cyrl-CS"/>
        </w:rPr>
        <w:t>антиципира фискални стрес у наредној години. Уколико вредност S0 индикатора прелази дефинисани праг сматра се да је земља у краткорочном ризику од фискалног стреса. Поред вредности за целокупан индикатор, ради лоцирања извора из ког ризик потиче, разматрају се и вредности подиндекса и њихових компоненти. S0 композитни индикатор се састоји од два подиндекса, који у себи садрже низ варијабли фискалне и макро-финансијске одрживости. Вредност ових подиндекса испод дефинисаног прага указују на одсуство краткорочног фискалног ризика.</w:t>
      </w:r>
    </w:p>
    <w:p w14:paraId="57EFDA91" w14:textId="751E6ECF" w:rsidR="00CE2DC7" w:rsidRPr="00DE058F" w:rsidRDefault="00CE2DC7" w:rsidP="00C95509">
      <w:pPr>
        <w:rPr>
          <w:rFonts w:cstheme="minorHAnsi"/>
          <w:szCs w:val="20"/>
          <w:lang w:val="sr-Cyrl-CS"/>
        </w:rPr>
      </w:pPr>
      <w:r w:rsidRPr="00DE058F">
        <w:rPr>
          <w:rFonts w:cstheme="minorHAnsi"/>
          <w:szCs w:val="20"/>
          <w:lang w:val="sr-Cyrl-CS"/>
        </w:rPr>
        <w:t>У 2021. години вредност</w:t>
      </w:r>
      <w:r w:rsidR="00895F64" w:rsidRPr="00DE058F">
        <w:rPr>
          <w:rFonts w:cstheme="minorHAnsi"/>
          <w:szCs w:val="20"/>
          <w:lang w:val="sr-Cyrl-CS"/>
        </w:rPr>
        <w:t>и</w:t>
      </w:r>
      <w:r w:rsidRPr="00DE058F">
        <w:rPr>
          <w:rFonts w:cstheme="minorHAnsi"/>
          <w:szCs w:val="20"/>
          <w:lang w:val="sr-Cyrl-CS"/>
        </w:rPr>
        <w:t xml:space="preserve"> фискалног (0,22) и финансиј</w:t>
      </w:r>
      <w:r w:rsidR="00D04799" w:rsidRPr="00DE058F">
        <w:rPr>
          <w:rFonts w:cstheme="minorHAnsi"/>
          <w:szCs w:val="20"/>
          <w:lang w:val="sr-Cyrl-CS"/>
        </w:rPr>
        <w:t xml:space="preserve">ског подиндекса </w:t>
      </w:r>
      <w:r w:rsidRPr="00DE058F">
        <w:rPr>
          <w:rFonts w:cstheme="minorHAnsi"/>
          <w:szCs w:val="20"/>
          <w:lang w:val="sr-Cyrl-CS"/>
        </w:rPr>
        <w:t xml:space="preserve">(0,27) </w:t>
      </w:r>
      <w:r w:rsidR="00895F64" w:rsidRPr="00DE058F">
        <w:rPr>
          <w:rFonts w:cstheme="minorHAnsi"/>
          <w:szCs w:val="20"/>
          <w:lang w:val="sr-Cyrl-CS"/>
        </w:rPr>
        <w:t>су</w:t>
      </w:r>
      <w:r w:rsidRPr="00DE058F">
        <w:rPr>
          <w:rFonts w:cstheme="minorHAnsi"/>
          <w:szCs w:val="20"/>
          <w:lang w:val="sr-Cyrl-CS"/>
        </w:rPr>
        <w:t xml:space="preserve"> унутар за њих дефинисаног прага</w:t>
      </w:r>
      <w:r w:rsidR="00895F64" w:rsidRPr="00DE058F">
        <w:rPr>
          <w:rFonts w:cstheme="minorHAnsi"/>
          <w:szCs w:val="20"/>
          <w:lang w:val="sr-Cyrl-CS"/>
        </w:rPr>
        <w:t>,</w:t>
      </w:r>
      <w:r w:rsidRPr="00DE058F">
        <w:rPr>
          <w:rFonts w:cstheme="minorHAnsi"/>
          <w:szCs w:val="20"/>
          <w:lang w:val="sr-Cyrl-CS"/>
        </w:rPr>
        <w:t xml:space="preserve"> као и вредност целокупног S0 индикатора за Републику Србију</w:t>
      </w:r>
      <w:r w:rsidR="00A263AF" w:rsidRPr="00DE058F">
        <w:rPr>
          <w:rFonts w:cstheme="minorHAnsi"/>
          <w:szCs w:val="20"/>
          <w:lang w:val="sr-Cyrl-CS"/>
        </w:rPr>
        <w:t xml:space="preserve"> (0,25)</w:t>
      </w:r>
      <w:r w:rsidR="00895F64" w:rsidRPr="00DE058F">
        <w:rPr>
          <w:rFonts w:cstheme="minorHAnsi"/>
          <w:szCs w:val="20"/>
          <w:lang w:val="sr-Cyrl-CS"/>
        </w:rPr>
        <w:t>,</w:t>
      </w:r>
      <w:r w:rsidRPr="00DE058F">
        <w:rPr>
          <w:rFonts w:cstheme="minorHAnsi"/>
          <w:szCs w:val="20"/>
          <w:lang w:val="sr-Cyrl-CS"/>
        </w:rPr>
        <w:t xml:space="preserve"> што начелно указује да не постоји опасност од појаве макроекономске нестабилности у наредном средњорочном периоду. Успешно очувана макроекономска и фискална стабилност успостављена у претходном периоду обезбедила је простор за брзе и значајне фискалне и монетарне мере подршке.</w:t>
      </w:r>
    </w:p>
    <w:p w14:paraId="27A0C7DE" w14:textId="77777777" w:rsidR="00CE2DC7" w:rsidRPr="00DE058F" w:rsidRDefault="00CE2DC7" w:rsidP="00C95509">
      <w:pPr>
        <w:rPr>
          <w:rFonts w:cstheme="minorHAnsi"/>
          <w:color w:val="auto"/>
          <w:szCs w:val="20"/>
          <w:lang w:val="sr-Cyrl-CS"/>
        </w:rPr>
      </w:pPr>
      <w:r w:rsidRPr="00DE058F">
        <w:rPr>
          <w:rFonts w:cstheme="minorHAnsi"/>
          <w:noProof/>
          <w:color w:val="auto"/>
          <w:szCs w:val="20"/>
        </w:rPr>
        <w:drawing>
          <wp:inline distT="0" distB="0" distL="0" distR="0" wp14:anchorId="3E3605A5" wp14:editId="34CEA950">
            <wp:extent cx="2657475" cy="3724275"/>
            <wp:effectExtent l="0" t="0" r="0" b="0"/>
            <wp:docPr id="99" name="Chart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5E20454C" w14:textId="77777777" w:rsidR="00CE2DC7" w:rsidRPr="00DE058F" w:rsidRDefault="00CE2DC7" w:rsidP="00C95509">
      <w:pPr>
        <w:rPr>
          <w:rFonts w:cstheme="minorHAnsi"/>
          <w:color w:val="auto"/>
          <w:szCs w:val="20"/>
          <w:lang w:val="sr-Cyrl-CS"/>
        </w:rPr>
      </w:pPr>
    </w:p>
    <w:p w14:paraId="170F508D" w14:textId="77777777" w:rsidR="00CE2DC7" w:rsidRPr="00DE058F" w:rsidRDefault="00CE2DC7" w:rsidP="00C95509">
      <w:pPr>
        <w:rPr>
          <w:rFonts w:cstheme="minorHAnsi"/>
          <w:color w:val="auto"/>
          <w:szCs w:val="20"/>
          <w:lang w:val="sr-Cyrl-CS"/>
        </w:rPr>
      </w:pPr>
    </w:p>
    <w:p w14:paraId="4191DFD4" w14:textId="77777777" w:rsidR="00CE2DC7" w:rsidRPr="00DE058F" w:rsidRDefault="00CE2DC7" w:rsidP="00C95509">
      <w:pPr>
        <w:rPr>
          <w:rFonts w:cstheme="minorHAnsi"/>
          <w:color w:val="auto"/>
          <w:szCs w:val="20"/>
          <w:lang w:val="sr-Cyrl-CS"/>
        </w:rPr>
      </w:pPr>
    </w:p>
    <w:p w14:paraId="1444A11C" w14:textId="77777777" w:rsidR="00CE2DC7" w:rsidRPr="00DE058F" w:rsidRDefault="00CE2DC7" w:rsidP="00C95509">
      <w:pPr>
        <w:rPr>
          <w:rFonts w:eastAsia="Calibri" w:cstheme="minorHAnsi"/>
          <w:b/>
          <w:color w:val="auto"/>
          <w:sz w:val="24"/>
          <w:szCs w:val="26"/>
          <w:lang w:val="sr-Cyrl-CS"/>
        </w:rPr>
        <w:sectPr w:rsidR="00CE2DC7" w:rsidRPr="00DE058F" w:rsidSect="00C95509">
          <w:type w:val="continuous"/>
          <w:pgSz w:w="12240" w:h="15840"/>
          <w:pgMar w:top="1440" w:right="1440" w:bottom="1440" w:left="1440" w:header="720" w:footer="720" w:gutter="0"/>
          <w:cols w:num="2" w:space="720"/>
          <w:docGrid w:linePitch="360"/>
        </w:sectPr>
      </w:pPr>
    </w:p>
    <w:p w14:paraId="65DC9677" w14:textId="4CDFC34A" w:rsidR="00CE2DC7" w:rsidRPr="00DE058F" w:rsidRDefault="00CE2DC7" w:rsidP="0022573C">
      <w:pPr>
        <w:jc w:val="center"/>
        <w:rPr>
          <w:rFonts w:cstheme="minorHAnsi"/>
          <w:color w:val="auto"/>
          <w:szCs w:val="20"/>
          <w:lang w:val="sr-Cyrl-CS"/>
        </w:rPr>
      </w:pPr>
      <w:r w:rsidRPr="00DE058F">
        <w:rPr>
          <w:rFonts w:cstheme="minorHAnsi"/>
          <w:noProof/>
          <w:color w:val="auto"/>
          <w:szCs w:val="20"/>
        </w:rPr>
        <w:drawing>
          <wp:inline distT="0" distB="0" distL="0" distR="0" wp14:anchorId="7EB58A37" wp14:editId="5439586B">
            <wp:extent cx="6219825" cy="2340429"/>
            <wp:effectExtent l="0" t="0" r="0" b="0"/>
            <wp:docPr id="100" name="Chart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14:paraId="5A8544E5" w14:textId="77777777" w:rsidR="00CE2DC7" w:rsidRPr="00DE058F" w:rsidRDefault="00CE2DC7" w:rsidP="00C95509">
      <w:pPr>
        <w:rPr>
          <w:rFonts w:cstheme="minorHAnsi"/>
          <w:color w:val="auto"/>
          <w:szCs w:val="20"/>
          <w:lang w:val="sr-Cyrl-CS"/>
        </w:rPr>
      </w:pPr>
    </w:p>
    <w:p w14:paraId="45B0F416" w14:textId="77777777" w:rsidR="00CE2DC7" w:rsidRPr="00DE058F" w:rsidRDefault="00CE2DC7" w:rsidP="00C95509">
      <w:pPr>
        <w:rPr>
          <w:rFonts w:cstheme="minorHAnsi"/>
          <w:color w:val="auto"/>
          <w:szCs w:val="20"/>
          <w:lang w:val="sr-Cyrl-CS"/>
        </w:rPr>
        <w:sectPr w:rsidR="00CE2DC7" w:rsidRPr="00DE058F" w:rsidSect="00C95509">
          <w:type w:val="continuous"/>
          <w:pgSz w:w="12240" w:h="15840"/>
          <w:pgMar w:top="1440" w:right="1440" w:bottom="1440" w:left="1440" w:header="720" w:footer="720" w:gutter="0"/>
          <w:cols w:space="720"/>
          <w:docGrid w:linePitch="360"/>
        </w:sectPr>
      </w:pPr>
    </w:p>
    <w:p w14:paraId="3090C33D" w14:textId="3F53CCE4" w:rsidR="00CE2DC7" w:rsidRPr="00DE058F" w:rsidRDefault="006D3FE2" w:rsidP="00C95509">
      <w:pPr>
        <w:rPr>
          <w:rFonts w:cstheme="minorHAnsi"/>
          <w:szCs w:val="20"/>
          <w:lang w:val="sr-Cyrl-CS"/>
        </w:rPr>
      </w:pPr>
      <w:r w:rsidRPr="00DE058F">
        <w:rPr>
          <w:rFonts w:cstheme="minorHAnsi"/>
          <w:noProof/>
          <w:color w:val="auto"/>
        </w:rPr>
        <w:lastRenderedPageBreak/>
        <mc:AlternateContent>
          <mc:Choice Requires="wps">
            <w:drawing>
              <wp:anchor distT="0" distB="0" distL="114300" distR="114300" simplePos="0" relativeHeight="251686400" behindDoc="1" locked="0" layoutInCell="1" allowOverlap="1" wp14:anchorId="02000FD9" wp14:editId="4FAD5A78">
                <wp:simplePos x="0" y="0"/>
                <wp:positionH relativeFrom="margin">
                  <wp:posOffset>-239395</wp:posOffset>
                </wp:positionH>
                <wp:positionV relativeFrom="paragraph">
                  <wp:posOffset>-85725</wp:posOffset>
                </wp:positionV>
                <wp:extent cx="6480000" cy="4238625"/>
                <wp:effectExtent l="0" t="0" r="0" b="9525"/>
                <wp:wrapNone/>
                <wp:docPr id="93" name="Rectangle 93"/>
                <wp:cNvGraphicFramePr/>
                <a:graphic xmlns:a="http://schemas.openxmlformats.org/drawingml/2006/main">
                  <a:graphicData uri="http://schemas.microsoft.com/office/word/2010/wordprocessingShape">
                    <wps:wsp>
                      <wps:cNvSpPr/>
                      <wps:spPr>
                        <a:xfrm>
                          <a:off x="0" y="0"/>
                          <a:ext cx="6480000" cy="4238625"/>
                        </a:xfrm>
                        <a:prstGeom prst="rect">
                          <a:avLst/>
                        </a:prstGeom>
                        <a:pattFill prst="pct25">
                          <a:fgClr>
                            <a:sysClr val="window" lastClr="FFFFFF">
                              <a:lumMod val="85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778E4C" id="Rectangle 93" o:spid="_x0000_s1026" style="position:absolute;margin-left:-18.85pt;margin-top:-6.75pt;width:510.25pt;height:333.75pt;z-index:-251630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" fillcolor="#d9d9d9" stroked="f" strokeweight="1pt">
                <v:fill r:id="rId121" o:title="" color2="window" type="pattern"/>
                <w10:wrap anchorx="margin"/>
              </v:rect>
            </w:pict>
          </mc:Fallback>
        </mc:AlternateContent>
      </w:r>
      <w:r w:rsidR="00CE2DC7" w:rsidRPr="00DE058F">
        <w:rPr>
          <w:rFonts w:cstheme="minorHAnsi"/>
          <w:szCs w:val="20"/>
          <w:lang w:val="sr-Cyrl-CS"/>
        </w:rPr>
        <w:t>Обрачун S0 индикатора за Републику Србију, урађен је од стране Министарства финансија, и базира се на методологији ЕК.</w:t>
      </w:r>
    </w:p>
    <w:p w14:paraId="3C9ECD6F" w14:textId="00D7654A" w:rsidR="00CE2DC7" w:rsidRPr="00DE058F" w:rsidRDefault="00CE2DC7" w:rsidP="00C95509">
      <w:pPr>
        <w:rPr>
          <w:rFonts w:cstheme="minorHAnsi"/>
          <w:szCs w:val="20"/>
          <w:lang w:val="sr-Cyrl-CS"/>
        </w:rPr>
      </w:pPr>
      <w:r w:rsidRPr="00DE058F">
        <w:rPr>
          <w:rFonts w:cstheme="minorHAnsi"/>
          <w:szCs w:val="20"/>
          <w:lang w:val="sr-Cyrl-CS"/>
        </w:rPr>
        <w:t>На основу података ЕК за земље ЕУ за 2021. годину и обрачуна Министарства финансија за Републику Србију, закључујемо да већина посматраних земаља, као и Србија, није била изложена краткорочном ризику реализације фискалног стреса, будући да вредн</w:t>
      </w:r>
      <w:r w:rsidR="00BB777A" w:rsidRPr="00DE058F">
        <w:rPr>
          <w:rFonts w:cstheme="minorHAnsi"/>
          <w:szCs w:val="20"/>
          <w:lang w:val="sr-Cyrl-CS"/>
        </w:rPr>
        <w:t>о</w:t>
      </w:r>
      <w:r w:rsidRPr="00DE058F">
        <w:rPr>
          <w:rFonts w:cstheme="minorHAnsi"/>
          <w:szCs w:val="20"/>
          <w:lang w:val="sr-Cyrl-CS"/>
        </w:rPr>
        <w:t>ст S0 нигде не премашује дефинисани праг. Минимизирање потенцијалних ризика за настанак фискалног стреса у посматраним земљама допринело је стварању простора за доношење мера економске политике без преседана по свом обиму, а као одговор на здравствену кризу која се прелила у све сфере економије.</w:t>
      </w:r>
    </w:p>
    <w:p w14:paraId="333BDFBC" w14:textId="77777777" w:rsidR="00CE2DC7" w:rsidRPr="00DE058F" w:rsidRDefault="00CE2DC7" w:rsidP="00C95509">
      <w:pPr>
        <w:rPr>
          <w:rFonts w:cstheme="minorHAnsi"/>
          <w:color w:val="auto"/>
          <w:szCs w:val="20"/>
          <w:lang w:val="sr-Cyrl-CS"/>
        </w:rPr>
      </w:pPr>
    </w:p>
    <w:p w14:paraId="1B0302EB" w14:textId="55462139" w:rsidR="00CE2DC7" w:rsidRPr="00DE058F" w:rsidRDefault="009241A2" w:rsidP="00C95509">
      <w:pPr>
        <w:rPr>
          <w:rFonts w:cstheme="minorHAnsi"/>
          <w:color w:val="auto"/>
          <w:szCs w:val="20"/>
          <w:lang w:val="sr-Cyrl-CS"/>
        </w:rPr>
        <w:sectPr w:rsidR="00CE2DC7" w:rsidRPr="00DE058F" w:rsidSect="00C95509">
          <w:type w:val="continuous"/>
          <w:pgSz w:w="12240" w:h="15840"/>
          <w:pgMar w:top="1440" w:right="1440" w:bottom="1440" w:left="1440" w:header="720" w:footer="720" w:gutter="0"/>
          <w:cols w:num="2" w:space="720"/>
          <w:docGrid w:linePitch="360"/>
        </w:sectPr>
      </w:pPr>
      <w:r w:rsidRPr="00DE058F">
        <w:rPr>
          <w:rFonts w:cstheme="minorHAnsi"/>
          <w:noProof/>
          <w:color w:val="4472C4" w:themeColor="accent1"/>
          <w:szCs w:val="20"/>
        </w:rPr>
        <mc:AlternateContent>
          <mc:Choice Requires="wps">
            <w:drawing>
              <wp:anchor distT="0" distB="0" distL="114300" distR="114300" simplePos="0" relativeHeight="251689472" behindDoc="0" locked="0" layoutInCell="1" allowOverlap="1" wp14:anchorId="49C2AA98" wp14:editId="4D086618">
                <wp:simplePos x="0" y="0"/>
                <wp:positionH relativeFrom="column">
                  <wp:posOffset>1088695</wp:posOffset>
                </wp:positionH>
                <wp:positionV relativeFrom="paragraph">
                  <wp:posOffset>928370</wp:posOffset>
                </wp:positionV>
                <wp:extent cx="1733550" cy="209550"/>
                <wp:effectExtent l="0" t="0" r="0" b="0"/>
                <wp:wrapNone/>
                <wp:docPr id="96" name="Text Box 96"/>
                <wp:cNvGraphicFramePr/>
                <a:graphic xmlns:a="http://schemas.openxmlformats.org/drawingml/2006/main">
                  <a:graphicData uri="http://schemas.microsoft.com/office/word/2010/wordprocessingShape">
                    <wps:wsp>
                      <wps:cNvSpPr txBox="1"/>
                      <wps:spPr>
                        <a:xfrm>
                          <a:off x="0" y="0"/>
                          <a:ext cx="1733550" cy="209550"/>
                        </a:xfrm>
                        <a:prstGeom prst="rect">
                          <a:avLst/>
                        </a:prstGeom>
                        <a:noFill/>
                        <a:ln w="6350">
                          <a:noFill/>
                        </a:ln>
                      </wps:spPr>
                      <wps:txbx>
                        <w:txbxContent>
                          <w:p w14:paraId="1ABB0732" w14:textId="77777777" w:rsidR="00B56F57" w:rsidRPr="0052376B" w:rsidRDefault="00B56F57" w:rsidP="00C95509">
                            <w:pPr>
                              <w:rPr>
                                <w:b/>
                                <w:sz w:val="14"/>
                                <w:szCs w:val="14"/>
                                <w:lang w:val="sr-Cyrl-RS"/>
                              </w:rPr>
                            </w:pPr>
                            <w:r>
                              <w:rPr>
                                <w:b/>
                                <w:sz w:val="14"/>
                                <w:szCs w:val="14"/>
                                <w:lang w:val="sr-Cyrl-RS"/>
                              </w:rPr>
                              <w:t>Праг финансијског</w:t>
                            </w:r>
                            <w:r w:rsidRPr="0052376B">
                              <w:rPr>
                                <w:b/>
                                <w:sz w:val="14"/>
                                <w:szCs w:val="14"/>
                                <w:lang w:val="sr-Cyrl-RS"/>
                              </w:rPr>
                              <w:t xml:space="preserve"> по</w:t>
                            </w:r>
                            <w:r>
                              <w:rPr>
                                <w:b/>
                                <w:sz w:val="14"/>
                                <w:szCs w:val="14"/>
                                <w:lang w:val="sr-Cyrl-RS"/>
                              </w:rPr>
                              <w:t>д</w:t>
                            </w:r>
                            <w:r w:rsidRPr="0052376B">
                              <w:rPr>
                                <w:b/>
                                <w:sz w:val="14"/>
                                <w:szCs w:val="14"/>
                                <w:lang w:val="sr-Cyrl-RS"/>
                              </w:rPr>
                              <w:t xml:space="preserve">индекса </w:t>
                            </w:r>
                            <w:r>
                              <w:rPr>
                                <w:b/>
                                <w:sz w:val="14"/>
                                <w:szCs w:val="14"/>
                                <w:lang w:val="sr-Cyrl-RS"/>
                              </w:rPr>
                              <w:t>(0,49)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C2AA98" id="_x0000_t202" coordsize="21600,21600" o:spt="202" path="m,l,21600r21600,l21600,xe">
                <v:stroke joinstyle="miter"/>
                <v:path gradientshapeok="t" o:connecttype="rect"/>
              </v:shapetype>
              <v:shape id="Text Box 96" o:spid="_x0000_s1026" type="#_x0000_t202" style="position:absolute;left:0;text-align:left;margin-left:85.7pt;margin-top:73.1pt;width:136.5pt;height:16.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" filled="f" stroked="f" strokeweight=".5pt">
                <v:textbox>
                  <w:txbxContent>
                    <w:p w14:paraId="1ABB0732" w14:textId="77777777" w:rsidR="00B56F57" w:rsidRPr="0052376B" w:rsidRDefault="00B56F57" w:rsidP="00C95509">
                      <w:pPr>
                        <w:rPr>
                          <w:b/>
                          <w:sz w:val="14"/>
                          <w:szCs w:val="14"/>
                          <w:lang w:val="sr-Cyrl-RS"/>
                        </w:rPr>
                      </w:pPr>
                      <w:r>
                        <w:rPr>
                          <w:b/>
                          <w:sz w:val="14"/>
                          <w:szCs w:val="14"/>
                          <w:lang w:val="sr-Cyrl-RS"/>
                        </w:rPr>
                        <w:t>Праг финансијског</w:t>
                      </w:r>
                      <w:r w:rsidRPr="0052376B">
                        <w:rPr>
                          <w:b/>
                          <w:sz w:val="14"/>
                          <w:szCs w:val="14"/>
                          <w:lang w:val="sr-Cyrl-RS"/>
                        </w:rPr>
                        <w:t xml:space="preserve"> по</w:t>
                      </w:r>
                      <w:r>
                        <w:rPr>
                          <w:b/>
                          <w:sz w:val="14"/>
                          <w:szCs w:val="14"/>
                          <w:lang w:val="sr-Cyrl-RS"/>
                        </w:rPr>
                        <w:t>д</w:t>
                      </w:r>
                      <w:r w:rsidRPr="0052376B">
                        <w:rPr>
                          <w:b/>
                          <w:sz w:val="14"/>
                          <w:szCs w:val="14"/>
                          <w:lang w:val="sr-Cyrl-RS"/>
                        </w:rPr>
                        <w:t xml:space="preserve">индекса </w:t>
                      </w:r>
                      <w:r>
                        <w:rPr>
                          <w:b/>
                          <w:sz w:val="14"/>
                          <w:szCs w:val="14"/>
                          <w:lang w:val="sr-Cyrl-RS"/>
                        </w:rPr>
                        <w:t>(0,49)</w:t>
                      </w:r>
                    </w:p>
                  </w:txbxContent>
                </v:textbox>
              </v:shape>
            </w:pict>
          </mc:Fallback>
        </mc:AlternateContent>
      </w:r>
      <w:r w:rsidRPr="00DE058F">
        <w:rPr>
          <w:rFonts w:cstheme="minorHAnsi"/>
          <w:noProof/>
          <w:color w:val="4472C4" w:themeColor="accent1"/>
          <w:szCs w:val="20"/>
        </w:rPr>
        <mc:AlternateContent>
          <mc:Choice Requires="wps">
            <w:drawing>
              <wp:anchor distT="0" distB="0" distL="114300" distR="114300" simplePos="0" relativeHeight="251690496" behindDoc="0" locked="0" layoutInCell="1" allowOverlap="1" wp14:anchorId="31BDD33B" wp14:editId="5FE017D0">
                <wp:simplePos x="0" y="0"/>
                <wp:positionH relativeFrom="column">
                  <wp:posOffset>2650969</wp:posOffset>
                </wp:positionH>
                <wp:positionV relativeFrom="paragraph">
                  <wp:posOffset>926639</wp:posOffset>
                </wp:positionV>
                <wp:extent cx="193631" cy="125260"/>
                <wp:effectExtent l="38100" t="0" r="16510" b="65405"/>
                <wp:wrapNone/>
                <wp:docPr id="95" name="Straight Arrow Connector 95"/>
                <wp:cNvGraphicFramePr/>
                <a:graphic xmlns:a="http://schemas.openxmlformats.org/drawingml/2006/main">
                  <a:graphicData uri="http://schemas.microsoft.com/office/word/2010/wordprocessingShape">
                    <wps:wsp>
                      <wps:cNvCnPr/>
                      <wps:spPr>
                        <a:xfrm flipH="1">
                          <a:off x="0" y="0"/>
                          <a:ext cx="193631" cy="125260"/>
                        </a:xfrm>
                        <a:prstGeom prst="straightConnector1">
                          <a:avLst/>
                        </a:prstGeom>
                        <a:noFill/>
                        <a:ln w="6350" cap="flat" cmpd="sng" algn="ctr">
                          <a:solidFill>
                            <a:sysClr val="windowText" lastClr="000000">
                              <a:lumMod val="75000"/>
                              <a:lumOff val="25000"/>
                            </a:sysClr>
                          </a:solidFill>
                          <a:prstDash val="sysDash"/>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7A49ED5B" id="_x0000_t32" coordsize="21600,21600" o:spt="32" o:oned="t" path="m,l21600,21600e" filled="f">
                <v:path arrowok="t" fillok="f" o:connecttype="none"/>
                <o:lock v:ext="edit" shapetype="t"/>
              </v:shapetype>
              <v:shape id="Straight Arrow Connector 95" o:spid="_x0000_s1026" type="#_x0000_t32" style="position:absolute;margin-left:208.75pt;margin-top:72.95pt;width:15.25pt;height:9.85pt;flip:x;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" strokecolor="#404040" strokeweight=".5pt">
                <v:stroke dashstyle="3 1" endarrow="block" joinstyle="miter"/>
              </v:shape>
            </w:pict>
          </mc:Fallback>
        </mc:AlternateContent>
      </w:r>
      <w:r w:rsidRPr="00DE058F">
        <w:rPr>
          <w:rFonts w:cstheme="minorHAnsi"/>
          <w:noProof/>
          <w:color w:val="4472C4" w:themeColor="accent1"/>
          <w:szCs w:val="20"/>
        </w:rPr>
        <mc:AlternateContent>
          <mc:Choice Requires="wps">
            <w:drawing>
              <wp:anchor distT="0" distB="0" distL="114300" distR="114300" simplePos="0" relativeHeight="251687424" behindDoc="0" locked="0" layoutInCell="1" allowOverlap="1" wp14:anchorId="379C2F7E" wp14:editId="3B5DE43A">
                <wp:simplePos x="0" y="0"/>
                <wp:positionH relativeFrom="column">
                  <wp:posOffset>1529480</wp:posOffset>
                </wp:positionH>
                <wp:positionV relativeFrom="paragraph">
                  <wp:posOffset>634365</wp:posOffset>
                </wp:positionV>
                <wp:extent cx="190500" cy="85725"/>
                <wp:effectExtent l="0" t="38100" r="57150" b="28575"/>
                <wp:wrapNone/>
                <wp:docPr id="98" name="Straight Arrow Connector 98"/>
                <wp:cNvGraphicFramePr/>
                <a:graphic xmlns:a="http://schemas.openxmlformats.org/drawingml/2006/main">
                  <a:graphicData uri="http://schemas.microsoft.com/office/word/2010/wordprocessingShape">
                    <wps:wsp>
                      <wps:cNvCnPr/>
                      <wps:spPr>
                        <a:xfrm flipV="1">
                          <a:off x="0" y="0"/>
                          <a:ext cx="190500" cy="85725"/>
                        </a:xfrm>
                        <a:prstGeom prst="straightConnector1">
                          <a:avLst/>
                        </a:prstGeom>
                        <a:ln>
                          <a:solidFill>
                            <a:schemeClr val="tx1">
                              <a:lumMod val="75000"/>
                              <a:lumOff val="25000"/>
                            </a:schemeClr>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1167E9" id="Straight Arrow Connector 98" o:spid="_x0000_s1026" type="#_x0000_t32" style="position:absolute;margin-left:120.45pt;margin-top:49.95pt;width:15pt;height:6.75pt;flip:y;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" strokecolor="#404040 [2429]" strokeweight=".5pt">
                <v:stroke dashstyle="3 1" endarrow="block" joinstyle="miter"/>
              </v:shape>
            </w:pict>
          </mc:Fallback>
        </mc:AlternateContent>
      </w:r>
      <w:r w:rsidRPr="00DE058F">
        <w:rPr>
          <w:rFonts w:cstheme="minorHAnsi"/>
          <w:noProof/>
          <w:color w:val="4472C4" w:themeColor="accent1"/>
          <w:szCs w:val="20"/>
        </w:rPr>
        <mc:AlternateContent>
          <mc:Choice Requires="wps">
            <w:drawing>
              <wp:anchor distT="0" distB="0" distL="114300" distR="114300" simplePos="0" relativeHeight="251688448" behindDoc="0" locked="0" layoutInCell="1" allowOverlap="1" wp14:anchorId="1222E022" wp14:editId="2915D8BD">
                <wp:simplePos x="0" y="0"/>
                <wp:positionH relativeFrom="column">
                  <wp:posOffset>1509647</wp:posOffset>
                </wp:positionH>
                <wp:positionV relativeFrom="paragraph">
                  <wp:posOffset>460436</wp:posOffset>
                </wp:positionV>
                <wp:extent cx="1733550" cy="209550"/>
                <wp:effectExtent l="0" t="0" r="0" b="0"/>
                <wp:wrapNone/>
                <wp:docPr id="94" name="Text Box 94"/>
                <wp:cNvGraphicFramePr/>
                <a:graphic xmlns:a="http://schemas.openxmlformats.org/drawingml/2006/main">
                  <a:graphicData uri="http://schemas.microsoft.com/office/word/2010/wordprocessingShape">
                    <wps:wsp>
                      <wps:cNvSpPr txBox="1"/>
                      <wps:spPr>
                        <a:xfrm>
                          <a:off x="0" y="0"/>
                          <a:ext cx="1733550" cy="209550"/>
                        </a:xfrm>
                        <a:prstGeom prst="rect">
                          <a:avLst/>
                        </a:prstGeom>
                        <a:noFill/>
                        <a:ln w="6350">
                          <a:noFill/>
                        </a:ln>
                      </wps:spPr>
                      <wps:txbx>
                        <w:txbxContent>
                          <w:p w14:paraId="51A42D6A" w14:textId="77777777" w:rsidR="00B56F57" w:rsidRPr="0052376B" w:rsidRDefault="00B56F57">
                            <w:pPr>
                              <w:rPr>
                                <w:b/>
                                <w:sz w:val="14"/>
                                <w:szCs w:val="14"/>
                                <w:lang w:val="sr-Cyrl-RS"/>
                              </w:rPr>
                            </w:pPr>
                            <w:r w:rsidRPr="0052376B">
                              <w:rPr>
                                <w:b/>
                                <w:sz w:val="14"/>
                                <w:szCs w:val="14"/>
                                <w:lang w:val="sr-Cyrl-RS"/>
                              </w:rPr>
                              <w:t>Праг фискалног по</w:t>
                            </w:r>
                            <w:r>
                              <w:rPr>
                                <w:b/>
                                <w:sz w:val="14"/>
                                <w:szCs w:val="14"/>
                                <w:lang w:val="sr-Cyrl-RS"/>
                              </w:rPr>
                              <w:t>д</w:t>
                            </w:r>
                            <w:r w:rsidRPr="0052376B">
                              <w:rPr>
                                <w:b/>
                                <w:sz w:val="14"/>
                                <w:szCs w:val="14"/>
                                <w:lang w:val="sr-Cyrl-RS"/>
                              </w:rPr>
                              <w:t xml:space="preserve">индекса </w:t>
                            </w:r>
                            <w:r>
                              <w:rPr>
                                <w:b/>
                                <w:sz w:val="14"/>
                                <w:szCs w:val="14"/>
                                <w:lang w:val="sr-Cyrl-RS"/>
                              </w:rPr>
                              <w:t>(0,3</w:t>
                            </w:r>
                            <w:r w:rsidRPr="0052376B">
                              <w:rPr>
                                <w:b/>
                                <w:sz w:val="14"/>
                                <w:szCs w:val="14"/>
                                <w:lang w:val="sr-Cyrl-RS"/>
                              </w:rPr>
                              <w:t>6</w:t>
                            </w:r>
                            <w:r>
                              <w:rPr>
                                <w:b/>
                                <w:sz w:val="14"/>
                                <w:szCs w:val="14"/>
                                <w:lang w:val="sr-Cyrl-R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22E022" id="Text Box 94" o:spid="_x0000_s1027" type="#_x0000_t202" style="position:absolute;left:0;text-align:left;margin-left:118.85pt;margin-top:36.25pt;width:136.5pt;height:16.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" filled="f" stroked="f" strokeweight=".5pt">
                <v:textbox>
                  <w:txbxContent>
                    <w:p w14:paraId="51A42D6A" w14:textId="77777777" w:rsidR="00B56F57" w:rsidRPr="0052376B" w:rsidRDefault="00B56F57">
                      <w:pPr>
                        <w:rPr>
                          <w:b/>
                          <w:sz w:val="14"/>
                          <w:szCs w:val="14"/>
                          <w:lang w:val="sr-Cyrl-RS"/>
                        </w:rPr>
                      </w:pPr>
                      <w:r w:rsidRPr="0052376B">
                        <w:rPr>
                          <w:b/>
                          <w:sz w:val="14"/>
                          <w:szCs w:val="14"/>
                          <w:lang w:val="sr-Cyrl-RS"/>
                        </w:rPr>
                        <w:t>Праг фискалног по</w:t>
                      </w:r>
                      <w:r>
                        <w:rPr>
                          <w:b/>
                          <w:sz w:val="14"/>
                          <w:szCs w:val="14"/>
                          <w:lang w:val="sr-Cyrl-RS"/>
                        </w:rPr>
                        <w:t>д</w:t>
                      </w:r>
                      <w:r w:rsidRPr="0052376B">
                        <w:rPr>
                          <w:b/>
                          <w:sz w:val="14"/>
                          <w:szCs w:val="14"/>
                          <w:lang w:val="sr-Cyrl-RS"/>
                        </w:rPr>
                        <w:t xml:space="preserve">индекса </w:t>
                      </w:r>
                      <w:r>
                        <w:rPr>
                          <w:b/>
                          <w:sz w:val="14"/>
                          <w:szCs w:val="14"/>
                          <w:lang w:val="sr-Cyrl-RS"/>
                        </w:rPr>
                        <w:t>(0,3</w:t>
                      </w:r>
                      <w:r w:rsidRPr="0052376B">
                        <w:rPr>
                          <w:b/>
                          <w:sz w:val="14"/>
                          <w:szCs w:val="14"/>
                          <w:lang w:val="sr-Cyrl-RS"/>
                        </w:rPr>
                        <w:t>6</w:t>
                      </w:r>
                      <w:r>
                        <w:rPr>
                          <w:b/>
                          <w:sz w:val="14"/>
                          <w:szCs w:val="14"/>
                          <w:lang w:val="sr-Cyrl-RS"/>
                        </w:rPr>
                        <w:t>)</w:t>
                      </w:r>
                    </w:p>
                  </w:txbxContent>
                </v:textbox>
              </v:shape>
            </w:pict>
          </mc:Fallback>
        </mc:AlternateContent>
      </w:r>
      <w:r w:rsidR="00CE2DC7" w:rsidRPr="00DE058F">
        <w:rPr>
          <w:rFonts w:cstheme="minorHAnsi"/>
          <w:noProof/>
          <w:color w:val="auto"/>
          <w:szCs w:val="20"/>
        </w:rPr>
        <w:drawing>
          <wp:inline distT="0" distB="0" distL="0" distR="0" wp14:anchorId="35650756" wp14:editId="44DF12E6">
            <wp:extent cx="3019425" cy="3971925"/>
            <wp:effectExtent l="0" t="0" r="0" b="0"/>
            <wp:docPr id="103" name="Chart 10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14:paraId="5D93C01F" w14:textId="77777777" w:rsidR="00CE2DC7" w:rsidRPr="00DE058F" w:rsidRDefault="00CE2DC7" w:rsidP="00C95509">
      <w:pPr>
        <w:rPr>
          <w:lang w:val="sr-Cyrl-CS"/>
        </w:rPr>
      </w:pPr>
    </w:p>
    <w:p w14:paraId="2FAD6D60" w14:textId="37034EAD" w:rsidR="00CE2DC7" w:rsidRPr="00DE058F" w:rsidRDefault="00CE2DC7" w:rsidP="00CE2DC7">
      <w:pPr>
        <w:rPr>
          <w:lang w:val="sr-Cyrl-CS"/>
        </w:rPr>
      </w:pPr>
      <w:r w:rsidRPr="00DE058F">
        <w:rPr>
          <w:lang w:val="sr-Cyrl-CS"/>
        </w:rPr>
        <w:br w:type="page"/>
      </w:r>
    </w:p>
    <w:p w14:paraId="18B91F97" w14:textId="77777777" w:rsidR="00E124CF" w:rsidRPr="00DE058F" w:rsidRDefault="00E124CF" w:rsidP="00E124CF">
      <w:pPr>
        <w:rPr>
          <w:rFonts w:ascii="Calibri" w:eastAsia="Calibri" w:hAnsi="Calibri" w:cs="Calibri"/>
          <w:color w:val="auto"/>
          <w:szCs w:val="20"/>
          <w:lang w:val="sr-Cyrl-CS"/>
        </w:rPr>
        <w:sectPr w:rsidR="00E124CF" w:rsidRPr="00DE058F" w:rsidSect="00E124CF">
          <w:headerReference w:type="even" r:id="rId123"/>
          <w:footerReference w:type="even" r:id="rId124"/>
          <w:footerReference w:type="default" r:id="rId125"/>
          <w:headerReference w:type="first" r:id="rId126"/>
          <w:type w:val="continuous"/>
          <w:pgSz w:w="12240" w:h="15840"/>
          <w:pgMar w:top="1440" w:right="1440" w:bottom="1440" w:left="1440" w:header="720" w:footer="720" w:gutter="0"/>
          <w:cols w:space="720"/>
          <w:docGrid w:linePitch="360"/>
        </w:sectPr>
      </w:pPr>
    </w:p>
    <w:p w14:paraId="58A4D453" w14:textId="77777777" w:rsidR="0039350E" w:rsidRPr="00DE058F" w:rsidRDefault="0039350E" w:rsidP="005D42AC">
      <w:pPr>
        <w:pStyle w:val="Heading2"/>
        <w:spacing w:before="240" w:after="240"/>
        <w:jc w:val="center"/>
        <w:rPr>
          <w:rFonts w:asciiTheme="minorHAnsi" w:eastAsia="Calibri" w:hAnsiTheme="minorHAnsi" w:cstheme="minorHAnsi"/>
          <w:b/>
          <w:sz w:val="24"/>
          <w:lang w:val="sr-Cyrl-CS"/>
        </w:rPr>
      </w:pPr>
      <w:bookmarkStart w:id="35" w:name="_Toc56667078"/>
      <w:bookmarkStart w:id="36" w:name="_Toc104899608"/>
      <w:bookmarkStart w:id="37" w:name="_Toc499650053"/>
      <w:bookmarkStart w:id="38" w:name="_Toc530635109"/>
      <w:bookmarkStart w:id="39" w:name="_Toc11155995"/>
      <w:bookmarkStart w:id="40" w:name="_Toc56667080"/>
      <w:bookmarkStart w:id="41" w:name="_Toc73364972"/>
      <w:bookmarkEnd w:id="31"/>
      <w:bookmarkEnd w:id="34"/>
      <w:r w:rsidRPr="00DE058F">
        <w:rPr>
          <w:rFonts w:asciiTheme="minorHAnsi" w:eastAsia="Calibri" w:hAnsiTheme="minorHAnsi" w:cstheme="minorHAnsi"/>
          <w:b/>
          <w:sz w:val="24"/>
          <w:lang w:val="sr-Cyrl-CS"/>
        </w:rPr>
        <w:lastRenderedPageBreak/>
        <w:t>4. Фискалне пројекције у периоду 2023–2025. године</w:t>
      </w:r>
      <w:bookmarkEnd w:id="35"/>
      <w:bookmarkEnd w:id="36"/>
    </w:p>
    <w:p w14:paraId="467266DE" w14:textId="77777777" w:rsidR="0039350E" w:rsidRPr="00DE058F" w:rsidRDefault="0039350E" w:rsidP="00333B2E">
      <w:pPr>
        <w:rPr>
          <w:lang w:val="sr-Cyrl-CS" w:eastAsia="ja-JP"/>
        </w:rPr>
        <w:sectPr w:rsidR="0039350E" w:rsidRPr="00DE058F" w:rsidSect="00953528">
          <w:headerReference w:type="default" r:id="rId127"/>
          <w:footerReference w:type="even" r:id="rId128"/>
          <w:footerReference w:type="default" r:id="rId129"/>
          <w:headerReference w:type="first" r:id="rId130"/>
          <w:type w:val="continuous"/>
          <w:pgSz w:w="12240" w:h="15840" w:code="1"/>
          <w:pgMar w:top="1440" w:right="1440" w:bottom="1440" w:left="1440" w:header="720" w:footer="720" w:gutter="0"/>
          <w:cols w:space="720"/>
          <w:docGrid w:linePitch="360"/>
        </w:sectPr>
      </w:pPr>
    </w:p>
    <w:p w14:paraId="2DE13003" w14:textId="77777777" w:rsidR="0039350E" w:rsidRPr="00DE058F" w:rsidRDefault="0039350E" w:rsidP="00333B2E">
      <w:pPr>
        <w:rPr>
          <w:lang w:val="sr-Cyrl-CS" w:eastAsia="ja-JP"/>
        </w:rPr>
      </w:pPr>
      <w:r w:rsidRPr="00DE058F">
        <w:rPr>
          <w:lang w:val="sr-Cyrl-CS" w:eastAsia="ja-JP"/>
        </w:rPr>
        <w:t>Циљеви фискалне политике су усмерени на одржање фискалне стабилности и смањење учешћа јавног дуга у БДП. Средњорочни фискални оквир предвиђа постепено смањење дефицита опште државе на ниво од 0,5% БДП до 2025. године и пад учешћа јавног дуга на 50,7% БДП. Пројекције фискалних агрегата у периоду од 2023. до 2025. године заснивају се на пројекцијама макроекономских показатеља за наведени период, планираној пореској политици која подразумева даље усаглашавање са законима и директивама ЕУ и фискалним и структурним мерама, укључујући и даљу реформу великих јавних предузећа.</w:t>
      </w:r>
    </w:p>
    <w:p w14:paraId="32FBA301" w14:textId="3B79FCDD" w:rsidR="0039350E" w:rsidRPr="00DE058F" w:rsidRDefault="0039350E" w:rsidP="00953528">
      <w:pPr>
        <w:spacing w:after="360"/>
        <w:rPr>
          <w:lang w:val="sr-Cyrl-CS" w:eastAsia="ja-JP"/>
        </w:rPr>
      </w:pPr>
      <w:r w:rsidRPr="00DE058F">
        <w:rPr>
          <w:lang w:val="sr-Cyrl-CS" w:eastAsia="ja-JP"/>
        </w:rPr>
        <w:t xml:space="preserve">Захваљујући мерама фискалне консолидације у претходном периоду створен је фискални простор који је омогућио богате пакете мера у склопу </w:t>
      </w:r>
      <w:r w:rsidRPr="00DE058F">
        <w:rPr>
          <w:lang w:val="sr-Cyrl-CS" w:eastAsia="ja-JP"/>
        </w:rPr>
        <w:t>борбе против ефеката кризе изазване пандемијом током 2020. и 2021. године. У овој и наредној години не очекује се истоветан утицај пандемије који би захтевао сличан пакет мера, али ће ситуација у Украјини и међународни односи који се формирају као реакција на њу снажно утицати на економска кретања. У 2022. години су већ почеле да се примењују мере које би требало да амортизују шокове настале из ове кризе. Реакција фискалне политике у наредном периоду, креира</w:t>
      </w:r>
      <w:r w:rsidR="00611407" w:rsidRPr="00DE058F">
        <w:rPr>
          <w:lang w:val="sr-Cyrl-CS" w:eastAsia="ja-JP"/>
        </w:rPr>
        <w:t>н</w:t>
      </w:r>
      <w:r w:rsidRPr="00DE058F">
        <w:rPr>
          <w:lang w:val="sr-Cyrl-CS" w:eastAsia="ja-JP"/>
        </w:rPr>
        <w:t>е мере и њихове фискалне импликације биће дизајниране тако да не угрозе стабилност јавних финансија и темпо смањења јавног дуга, затим да одрже животни стандард становништва и помогну привредни развој, али и да осигурају флексибилност реакције на евентуално снажнији удар кризе.</w:t>
      </w:r>
    </w:p>
    <w:p w14:paraId="7AA934E0" w14:textId="77777777" w:rsidR="0039350E" w:rsidRPr="00DE058F" w:rsidRDefault="0039350E" w:rsidP="00953528">
      <w:pPr>
        <w:rPr>
          <w:rFonts w:eastAsia="MS PGothic" w:cstheme="minorHAnsi"/>
          <w:b/>
          <w:color w:val="002060"/>
          <w:szCs w:val="20"/>
          <w:lang w:val="sr-Cyrl-CS" w:eastAsia="ja-JP"/>
        </w:rPr>
        <w:sectPr w:rsidR="0039350E" w:rsidRPr="00DE058F" w:rsidSect="00953528">
          <w:type w:val="continuous"/>
          <w:pgSz w:w="12240" w:h="15840" w:code="1"/>
          <w:pgMar w:top="1440" w:right="1440" w:bottom="1440" w:left="1440" w:header="720" w:footer="720" w:gutter="0"/>
          <w:cols w:num="2" w:space="720"/>
          <w:docGrid w:linePitch="360"/>
        </w:sectPr>
      </w:pPr>
    </w:p>
    <w:p w14:paraId="485E7B92" w14:textId="4FBAEBBB" w:rsidR="0039350E" w:rsidRPr="00DE058F" w:rsidRDefault="0039350E" w:rsidP="00953528">
      <w:pPr>
        <w:jc w:val="center"/>
        <w:rPr>
          <w:rFonts w:eastAsia="MS PGothic" w:cstheme="minorHAnsi"/>
          <w:b/>
          <w:color w:val="002060"/>
          <w:szCs w:val="20"/>
          <w:lang w:val="sr-Cyrl-CS" w:eastAsia="ja-JP"/>
        </w:rPr>
      </w:pPr>
      <w:r w:rsidRPr="00DE058F">
        <w:rPr>
          <w:rFonts w:eastAsia="MS PGothic" w:cstheme="minorHAnsi"/>
          <w:b/>
          <w:color w:val="002060"/>
          <w:szCs w:val="20"/>
          <w:lang w:val="sr-Cyrl-CS" w:eastAsia="ja-JP"/>
        </w:rPr>
        <w:t xml:space="preserve">Табела </w:t>
      </w:r>
      <w:r w:rsidR="00623E62" w:rsidRPr="00DE058F">
        <w:rPr>
          <w:rFonts w:eastAsia="MS PGothic" w:cstheme="minorHAnsi"/>
          <w:b/>
          <w:color w:val="002060"/>
          <w:szCs w:val="20"/>
          <w:lang w:val="sr-Cyrl-CS" w:eastAsia="ja-JP"/>
        </w:rPr>
        <w:t>9</w:t>
      </w:r>
      <w:r w:rsidRPr="00DE058F">
        <w:rPr>
          <w:rFonts w:eastAsia="MS PGothic" w:cstheme="minorHAnsi"/>
          <w:b/>
          <w:color w:val="002060"/>
          <w:szCs w:val="20"/>
          <w:lang w:val="sr-Cyrl-CS" w:eastAsia="ja-JP"/>
        </w:rPr>
        <w:t>. Фискални агрегати у периоду 2021–2025. године, % БДП</w:t>
      </w:r>
    </w:p>
    <w:tbl>
      <w:tblPr>
        <w:tblStyle w:val="LightShading-Accent1221"/>
        <w:tblW w:w="5000" w:type="pct"/>
        <w:tblBorders>
          <w:top w:val="none" w:sz="0" w:space="0" w:color="auto"/>
          <w:bottom w:val="none" w:sz="0" w:space="0" w:color="auto"/>
        </w:tblBorders>
        <w:tblLook w:val="0420" w:firstRow="1" w:lastRow="0" w:firstColumn="0" w:lastColumn="0" w:noHBand="0" w:noVBand="1"/>
      </w:tblPr>
      <w:tblGrid>
        <w:gridCol w:w="3971"/>
        <w:gridCol w:w="1133"/>
        <w:gridCol w:w="1133"/>
        <w:gridCol w:w="1041"/>
        <w:gridCol w:w="1041"/>
        <w:gridCol w:w="1041"/>
      </w:tblGrid>
      <w:tr w:rsidR="0004786A" w:rsidRPr="00DE058F" w14:paraId="3CE4F28F" w14:textId="77777777" w:rsidTr="005D42AC">
        <w:trPr>
          <w:cnfStyle w:val="100000000000" w:firstRow="1" w:lastRow="0" w:firstColumn="0" w:lastColumn="0" w:oddVBand="0" w:evenVBand="0" w:oddHBand="0" w:evenHBand="0" w:firstRowFirstColumn="0" w:firstRowLastColumn="0" w:lastRowFirstColumn="0" w:lastRowLastColumn="0"/>
          <w:trHeight w:val="253"/>
        </w:trPr>
        <w:tc>
          <w:tcPr>
            <w:tcW w:w="2121" w:type="pct"/>
            <w:tcBorders>
              <w:top w:val="single" w:sz="4" w:space="0" w:color="002060"/>
              <w:bottom w:val="single" w:sz="4" w:space="0" w:color="002060"/>
            </w:tcBorders>
            <w:shd w:val="clear" w:color="auto" w:fill="auto"/>
            <w:noWrap/>
            <w:vAlign w:val="center"/>
          </w:tcPr>
          <w:p w14:paraId="6BB7762A" w14:textId="77777777" w:rsidR="0039350E" w:rsidRPr="00DE058F" w:rsidRDefault="0039350E" w:rsidP="00C130D2">
            <w:pPr>
              <w:spacing w:line="276" w:lineRule="auto"/>
              <w:rPr>
                <w:rFonts w:asciiTheme="minorHAnsi" w:hAnsiTheme="minorHAnsi" w:cstheme="minorHAnsi"/>
                <w:b w:val="0"/>
                <w:color w:val="002060"/>
                <w:sz w:val="18"/>
                <w:lang w:val="sr-Cyrl-CS"/>
              </w:rPr>
            </w:pPr>
            <w:r w:rsidRPr="00DE058F">
              <w:rPr>
                <w:rFonts w:asciiTheme="minorHAnsi" w:hAnsiTheme="minorHAnsi" w:cstheme="minorHAnsi"/>
                <w:b w:val="0"/>
                <w:color w:val="002060"/>
                <w:sz w:val="18"/>
                <w:lang w:val="sr-Cyrl-CS"/>
              </w:rPr>
              <w:t>Опис</w:t>
            </w:r>
          </w:p>
        </w:tc>
        <w:tc>
          <w:tcPr>
            <w:tcW w:w="605" w:type="pct"/>
            <w:tcBorders>
              <w:top w:val="single" w:sz="4" w:space="0" w:color="002060"/>
              <w:bottom w:val="single" w:sz="4" w:space="0" w:color="002060"/>
            </w:tcBorders>
            <w:shd w:val="clear" w:color="auto" w:fill="auto"/>
            <w:vAlign w:val="center"/>
          </w:tcPr>
          <w:p w14:paraId="783D1933" w14:textId="77777777" w:rsidR="0039350E" w:rsidRPr="00DE058F" w:rsidRDefault="0039350E" w:rsidP="00C130D2">
            <w:pPr>
              <w:spacing w:line="276" w:lineRule="auto"/>
              <w:jc w:val="right"/>
              <w:rPr>
                <w:rFonts w:asciiTheme="minorHAnsi" w:hAnsiTheme="minorHAnsi" w:cstheme="minorHAnsi"/>
                <w:b w:val="0"/>
                <w:color w:val="002060"/>
                <w:sz w:val="18"/>
                <w:lang w:val="sr-Cyrl-CS"/>
              </w:rPr>
            </w:pPr>
            <w:r w:rsidRPr="00DE058F">
              <w:rPr>
                <w:rFonts w:asciiTheme="minorHAnsi" w:hAnsiTheme="minorHAnsi" w:cstheme="minorHAnsi"/>
                <w:b w:val="0"/>
                <w:color w:val="002060"/>
                <w:sz w:val="18"/>
                <w:lang w:val="sr-Cyrl-CS"/>
              </w:rPr>
              <w:t>Извршење</w:t>
            </w:r>
          </w:p>
        </w:tc>
        <w:tc>
          <w:tcPr>
            <w:tcW w:w="605" w:type="pct"/>
            <w:tcBorders>
              <w:top w:val="single" w:sz="4" w:space="0" w:color="002060"/>
              <w:bottom w:val="single" w:sz="4" w:space="0" w:color="002060"/>
            </w:tcBorders>
            <w:shd w:val="clear" w:color="auto" w:fill="auto"/>
            <w:vAlign w:val="center"/>
          </w:tcPr>
          <w:p w14:paraId="5AFCA1C0" w14:textId="77777777" w:rsidR="0039350E" w:rsidRPr="00DE058F" w:rsidRDefault="0039350E" w:rsidP="00C130D2">
            <w:pPr>
              <w:spacing w:line="276" w:lineRule="auto"/>
              <w:jc w:val="right"/>
              <w:rPr>
                <w:rFonts w:asciiTheme="minorHAnsi" w:hAnsiTheme="minorHAnsi" w:cstheme="minorHAnsi"/>
                <w:b w:val="0"/>
                <w:color w:val="002060"/>
                <w:sz w:val="18"/>
                <w:lang w:val="sr-Cyrl-CS"/>
              </w:rPr>
            </w:pPr>
            <w:r w:rsidRPr="00DE058F">
              <w:rPr>
                <w:rFonts w:asciiTheme="minorHAnsi" w:hAnsiTheme="minorHAnsi" w:cstheme="minorHAnsi"/>
                <w:b w:val="0"/>
                <w:color w:val="002060"/>
                <w:sz w:val="18"/>
                <w:lang w:val="sr-Cyrl-CS"/>
              </w:rPr>
              <w:t>Процена</w:t>
            </w:r>
          </w:p>
        </w:tc>
        <w:tc>
          <w:tcPr>
            <w:tcW w:w="1668" w:type="pct"/>
            <w:gridSpan w:val="3"/>
            <w:tcBorders>
              <w:top w:val="single" w:sz="4" w:space="0" w:color="002060"/>
              <w:bottom w:val="single" w:sz="4" w:space="0" w:color="002060"/>
            </w:tcBorders>
            <w:shd w:val="clear" w:color="auto" w:fill="auto"/>
            <w:vAlign w:val="center"/>
          </w:tcPr>
          <w:p w14:paraId="28D63611" w14:textId="77777777" w:rsidR="0039350E" w:rsidRPr="00DE058F" w:rsidRDefault="0039350E" w:rsidP="00C130D2">
            <w:pPr>
              <w:spacing w:line="276" w:lineRule="auto"/>
              <w:jc w:val="center"/>
              <w:rPr>
                <w:rFonts w:asciiTheme="minorHAnsi" w:hAnsiTheme="minorHAnsi" w:cstheme="minorHAnsi"/>
                <w:b w:val="0"/>
                <w:color w:val="002060"/>
                <w:sz w:val="18"/>
                <w:lang w:val="sr-Cyrl-CS"/>
              </w:rPr>
            </w:pPr>
            <w:r w:rsidRPr="00DE058F">
              <w:rPr>
                <w:rFonts w:asciiTheme="minorHAnsi" w:hAnsiTheme="minorHAnsi" w:cstheme="minorHAnsi"/>
                <w:b w:val="0"/>
                <w:color w:val="002060"/>
                <w:sz w:val="18"/>
                <w:lang w:val="sr-Cyrl-CS"/>
              </w:rPr>
              <w:t>Пројекција</w:t>
            </w:r>
          </w:p>
        </w:tc>
      </w:tr>
      <w:tr w:rsidR="0004786A" w:rsidRPr="00DE058F" w14:paraId="4B4514BE" w14:textId="77777777" w:rsidTr="005D42AC">
        <w:trPr>
          <w:cnfStyle w:val="000000100000" w:firstRow="0" w:lastRow="0" w:firstColumn="0" w:lastColumn="0" w:oddVBand="0" w:evenVBand="0" w:oddHBand="1" w:evenHBand="0" w:firstRowFirstColumn="0" w:firstRowLastColumn="0" w:lastRowFirstColumn="0" w:lastRowLastColumn="0"/>
          <w:trHeight w:val="253"/>
        </w:trPr>
        <w:tc>
          <w:tcPr>
            <w:tcW w:w="2121" w:type="pct"/>
            <w:tcBorders>
              <w:top w:val="single" w:sz="4" w:space="0" w:color="002060"/>
            </w:tcBorders>
            <w:shd w:val="clear" w:color="auto" w:fill="auto"/>
            <w:noWrap/>
            <w:vAlign w:val="center"/>
          </w:tcPr>
          <w:p w14:paraId="363A1D42" w14:textId="77777777" w:rsidR="0039350E" w:rsidRPr="00DE058F" w:rsidRDefault="0039350E" w:rsidP="00C130D2">
            <w:pPr>
              <w:spacing w:line="276" w:lineRule="auto"/>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 </w:t>
            </w:r>
          </w:p>
        </w:tc>
        <w:tc>
          <w:tcPr>
            <w:tcW w:w="605" w:type="pct"/>
            <w:tcBorders>
              <w:top w:val="single" w:sz="4" w:space="0" w:color="002060"/>
              <w:bottom w:val="single" w:sz="4" w:space="0" w:color="002060"/>
            </w:tcBorders>
            <w:shd w:val="clear" w:color="auto" w:fill="auto"/>
            <w:vAlign w:val="center"/>
          </w:tcPr>
          <w:p w14:paraId="6E81477D"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2021</w:t>
            </w:r>
          </w:p>
        </w:tc>
        <w:tc>
          <w:tcPr>
            <w:tcW w:w="605" w:type="pct"/>
            <w:tcBorders>
              <w:top w:val="single" w:sz="4" w:space="0" w:color="002060"/>
              <w:bottom w:val="single" w:sz="4" w:space="0" w:color="002060"/>
            </w:tcBorders>
            <w:shd w:val="clear" w:color="auto" w:fill="auto"/>
            <w:vAlign w:val="center"/>
          </w:tcPr>
          <w:p w14:paraId="70A0706E"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2022</w:t>
            </w:r>
          </w:p>
        </w:tc>
        <w:tc>
          <w:tcPr>
            <w:tcW w:w="556" w:type="pct"/>
            <w:tcBorders>
              <w:top w:val="single" w:sz="4" w:space="0" w:color="002060"/>
              <w:bottom w:val="single" w:sz="4" w:space="0" w:color="002060"/>
            </w:tcBorders>
            <w:shd w:val="clear" w:color="auto" w:fill="auto"/>
            <w:vAlign w:val="center"/>
          </w:tcPr>
          <w:p w14:paraId="56062D10"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2023</w:t>
            </w:r>
          </w:p>
        </w:tc>
        <w:tc>
          <w:tcPr>
            <w:tcW w:w="556" w:type="pct"/>
            <w:tcBorders>
              <w:top w:val="single" w:sz="4" w:space="0" w:color="002060"/>
              <w:bottom w:val="single" w:sz="4" w:space="0" w:color="002060"/>
            </w:tcBorders>
            <w:shd w:val="clear" w:color="auto" w:fill="auto"/>
            <w:vAlign w:val="center"/>
          </w:tcPr>
          <w:p w14:paraId="45FB9774"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2024</w:t>
            </w:r>
          </w:p>
        </w:tc>
        <w:tc>
          <w:tcPr>
            <w:tcW w:w="556" w:type="pct"/>
            <w:tcBorders>
              <w:top w:val="single" w:sz="4" w:space="0" w:color="002060"/>
              <w:bottom w:val="single" w:sz="4" w:space="0" w:color="002060"/>
            </w:tcBorders>
            <w:shd w:val="clear" w:color="auto" w:fill="auto"/>
            <w:vAlign w:val="center"/>
          </w:tcPr>
          <w:p w14:paraId="5FEE1268" w14:textId="77777777" w:rsidR="0039350E" w:rsidRPr="00DE058F" w:rsidRDefault="0039350E" w:rsidP="005D42AC">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2025</w:t>
            </w:r>
          </w:p>
        </w:tc>
      </w:tr>
      <w:tr w:rsidR="0004786A" w:rsidRPr="00DE058F" w14:paraId="3A4B3E9D" w14:textId="77777777" w:rsidTr="005D42AC">
        <w:trPr>
          <w:trHeight w:val="253"/>
        </w:trPr>
        <w:tc>
          <w:tcPr>
            <w:tcW w:w="2121" w:type="pct"/>
            <w:shd w:val="clear" w:color="auto" w:fill="auto"/>
            <w:vAlign w:val="center"/>
          </w:tcPr>
          <w:p w14:paraId="3439AB9E" w14:textId="77777777" w:rsidR="0039350E" w:rsidRPr="00DE058F" w:rsidRDefault="0039350E" w:rsidP="00C130D2">
            <w:pPr>
              <w:spacing w:line="276" w:lineRule="auto"/>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Јавни приходи</w:t>
            </w:r>
          </w:p>
        </w:tc>
        <w:tc>
          <w:tcPr>
            <w:tcW w:w="605" w:type="pct"/>
            <w:tcBorders>
              <w:top w:val="single" w:sz="4" w:space="0" w:color="002060"/>
            </w:tcBorders>
            <w:shd w:val="clear" w:color="auto" w:fill="auto"/>
            <w:vAlign w:val="center"/>
          </w:tcPr>
          <w:p w14:paraId="2379AA23"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43,3</w:t>
            </w:r>
          </w:p>
        </w:tc>
        <w:tc>
          <w:tcPr>
            <w:tcW w:w="605" w:type="pct"/>
            <w:tcBorders>
              <w:top w:val="single" w:sz="4" w:space="0" w:color="002060"/>
            </w:tcBorders>
            <w:shd w:val="clear" w:color="auto" w:fill="auto"/>
            <w:vAlign w:val="center"/>
          </w:tcPr>
          <w:p w14:paraId="0D80BD1C"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42,0</w:t>
            </w:r>
          </w:p>
        </w:tc>
        <w:tc>
          <w:tcPr>
            <w:tcW w:w="556" w:type="pct"/>
            <w:tcBorders>
              <w:top w:val="single" w:sz="4" w:space="0" w:color="002060"/>
            </w:tcBorders>
            <w:shd w:val="clear" w:color="auto" w:fill="auto"/>
            <w:vAlign w:val="center"/>
          </w:tcPr>
          <w:p w14:paraId="1EE39E16"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41,2</w:t>
            </w:r>
          </w:p>
        </w:tc>
        <w:tc>
          <w:tcPr>
            <w:tcW w:w="556" w:type="pct"/>
            <w:tcBorders>
              <w:top w:val="single" w:sz="4" w:space="0" w:color="002060"/>
            </w:tcBorders>
            <w:shd w:val="clear" w:color="auto" w:fill="auto"/>
            <w:vAlign w:val="center"/>
          </w:tcPr>
          <w:p w14:paraId="1D346D56"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40,7</w:t>
            </w:r>
          </w:p>
        </w:tc>
        <w:tc>
          <w:tcPr>
            <w:tcW w:w="556" w:type="pct"/>
            <w:tcBorders>
              <w:top w:val="single" w:sz="4" w:space="0" w:color="002060"/>
            </w:tcBorders>
            <w:shd w:val="clear" w:color="auto" w:fill="auto"/>
            <w:vAlign w:val="center"/>
          </w:tcPr>
          <w:p w14:paraId="7F5350AF"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40,1</w:t>
            </w:r>
          </w:p>
        </w:tc>
      </w:tr>
      <w:tr w:rsidR="0004786A" w:rsidRPr="00DE058F" w14:paraId="76FF3D2D" w14:textId="77777777" w:rsidTr="005D42AC">
        <w:trPr>
          <w:cnfStyle w:val="000000100000" w:firstRow="0" w:lastRow="0" w:firstColumn="0" w:lastColumn="0" w:oddVBand="0" w:evenVBand="0" w:oddHBand="1" w:evenHBand="0" w:firstRowFirstColumn="0" w:firstRowLastColumn="0" w:lastRowFirstColumn="0" w:lastRowLastColumn="0"/>
          <w:trHeight w:val="253"/>
        </w:trPr>
        <w:tc>
          <w:tcPr>
            <w:tcW w:w="2121" w:type="pct"/>
            <w:shd w:val="clear" w:color="auto" w:fill="auto"/>
            <w:vAlign w:val="center"/>
          </w:tcPr>
          <w:p w14:paraId="73ADDC62" w14:textId="77777777" w:rsidR="0039350E" w:rsidRPr="00DE058F" w:rsidRDefault="0039350E" w:rsidP="00C130D2">
            <w:pPr>
              <w:spacing w:line="276" w:lineRule="auto"/>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Јавни расходи</w:t>
            </w:r>
          </w:p>
        </w:tc>
        <w:tc>
          <w:tcPr>
            <w:tcW w:w="605" w:type="pct"/>
            <w:shd w:val="clear" w:color="auto" w:fill="auto"/>
            <w:vAlign w:val="center"/>
          </w:tcPr>
          <w:p w14:paraId="6FEC8326"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47,4</w:t>
            </w:r>
          </w:p>
        </w:tc>
        <w:tc>
          <w:tcPr>
            <w:tcW w:w="605" w:type="pct"/>
            <w:shd w:val="clear" w:color="auto" w:fill="auto"/>
            <w:vAlign w:val="center"/>
          </w:tcPr>
          <w:p w14:paraId="5F704A34"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45,0</w:t>
            </w:r>
          </w:p>
        </w:tc>
        <w:tc>
          <w:tcPr>
            <w:tcW w:w="556" w:type="pct"/>
            <w:shd w:val="clear" w:color="auto" w:fill="auto"/>
            <w:vAlign w:val="center"/>
          </w:tcPr>
          <w:p w14:paraId="71DBA167" w14:textId="77777777" w:rsidR="0039350E" w:rsidRPr="00DE058F" w:rsidRDefault="0039350E" w:rsidP="005D42AC">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42,7</w:t>
            </w:r>
          </w:p>
        </w:tc>
        <w:tc>
          <w:tcPr>
            <w:tcW w:w="556" w:type="pct"/>
            <w:shd w:val="clear" w:color="auto" w:fill="auto"/>
            <w:vAlign w:val="center"/>
          </w:tcPr>
          <w:p w14:paraId="11CBD792"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41,7</w:t>
            </w:r>
          </w:p>
        </w:tc>
        <w:tc>
          <w:tcPr>
            <w:tcW w:w="556" w:type="pct"/>
            <w:shd w:val="clear" w:color="auto" w:fill="auto"/>
            <w:vAlign w:val="center"/>
          </w:tcPr>
          <w:p w14:paraId="5419A5EC"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40,6</w:t>
            </w:r>
          </w:p>
        </w:tc>
      </w:tr>
      <w:tr w:rsidR="0004786A" w:rsidRPr="00DE058F" w14:paraId="1920E33A" w14:textId="77777777" w:rsidTr="005D42AC">
        <w:trPr>
          <w:trHeight w:val="253"/>
        </w:trPr>
        <w:tc>
          <w:tcPr>
            <w:tcW w:w="2121" w:type="pct"/>
            <w:shd w:val="clear" w:color="auto" w:fill="auto"/>
            <w:vAlign w:val="center"/>
          </w:tcPr>
          <w:p w14:paraId="38DADD83" w14:textId="77777777" w:rsidR="0039350E" w:rsidRPr="00DE058F" w:rsidRDefault="0039350E" w:rsidP="00C130D2">
            <w:pPr>
              <w:spacing w:line="276" w:lineRule="auto"/>
              <w:rPr>
                <w:rFonts w:asciiTheme="minorHAnsi" w:hAnsiTheme="minorHAnsi" w:cstheme="minorHAnsi"/>
                <w:color w:val="002060"/>
                <w:sz w:val="18"/>
                <w:szCs w:val="18"/>
                <w:lang w:val="sr-Cyrl-CS"/>
              </w:rPr>
            </w:pPr>
          </w:p>
        </w:tc>
        <w:tc>
          <w:tcPr>
            <w:tcW w:w="605" w:type="pct"/>
            <w:shd w:val="clear" w:color="auto" w:fill="auto"/>
            <w:vAlign w:val="center"/>
          </w:tcPr>
          <w:p w14:paraId="3F70AF4D"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p>
        </w:tc>
        <w:tc>
          <w:tcPr>
            <w:tcW w:w="605" w:type="pct"/>
            <w:shd w:val="clear" w:color="auto" w:fill="auto"/>
            <w:vAlign w:val="center"/>
          </w:tcPr>
          <w:p w14:paraId="6101E61A"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p>
        </w:tc>
        <w:tc>
          <w:tcPr>
            <w:tcW w:w="556" w:type="pct"/>
            <w:shd w:val="clear" w:color="auto" w:fill="auto"/>
            <w:vAlign w:val="center"/>
          </w:tcPr>
          <w:p w14:paraId="20E55814"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p>
        </w:tc>
        <w:tc>
          <w:tcPr>
            <w:tcW w:w="556" w:type="pct"/>
            <w:shd w:val="clear" w:color="auto" w:fill="auto"/>
            <w:vAlign w:val="center"/>
          </w:tcPr>
          <w:p w14:paraId="1970A892"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p>
        </w:tc>
        <w:tc>
          <w:tcPr>
            <w:tcW w:w="556" w:type="pct"/>
            <w:shd w:val="clear" w:color="auto" w:fill="auto"/>
            <w:vAlign w:val="center"/>
          </w:tcPr>
          <w:p w14:paraId="11FFB073"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p>
        </w:tc>
      </w:tr>
      <w:tr w:rsidR="0004786A" w:rsidRPr="00DE058F" w14:paraId="0A5BA2F0" w14:textId="77777777" w:rsidTr="005D42AC">
        <w:trPr>
          <w:cnfStyle w:val="000000100000" w:firstRow="0" w:lastRow="0" w:firstColumn="0" w:lastColumn="0" w:oddVBand="0" w:evenVBand="0" w:oddHBand="1" w:evenHBand="0" w:firstRowFirstColumn="0" w:firstRowLastColumn="0" w:lastRowFirstColumn="0" w:lastRowLastColumn="0"/>
          <w:trHeight w:val="253"/>
        </w:trPr>
        <w:tc>
          <w:tcPr>
            <w:tcW w:w="2121" w:type="pct"/>
            <w:shd w:val="clear" w:color="auto" w:fill="auto"/>
            <w:vAlign w:val="center"/>
          </w:tcPr>
          <w:p w14:paraId="1DB9EB6F" w14:textId="77777777" w:rsidR="0039350E" w:rsidRPr="00DE058F" w:rsidRDefault="0039350E" w:rsidP="00C130D2">
            <w:pPr>
              <w:spacing w:line="276" w:lineRule="auto"/>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Консолидовани фискални резултат</w:t>
            </w:r>
          </w:p>
        </w:tc>
        <w:tc>
          <w:tcPr>
            <w:tcW w:w="605" w:type="pct"/>
            <w:shd w:val="clear" w:color="auto" w:fill="auto"/>
            <w:vAlign w:val="center"/>
          </w:tcPr>
          <w:p w14:paraId="0089C01E" w14:textId="77777777" w:rsidR="0039350E" w:rsidRPr="00DE058F" w:rsidRDefault="0039350E" w:rsidP="00953528">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-4,1</w:t>
            </w:r>
          </w:p>
        </w:tc>
        <w:tc>
          <w:tcPr>
            <w:tcW w:w="605" w:type="pct"/>
            <w:shd w:val="clear" w:color="auto" w:fill="auto"/>
            <w:vAlign w:val="center"/>
          </w:tcPr>
          <w:p w14:paraId="3F9BFA9E" w14:textId="77777777" w:rsidR="0039350E" w:rsidRPr="00DE058F" w:rsidRDefault="0039350E" w:rsidP="00953528">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-3,0</w:t>
            </w:r>
          </w:p>
        </w:tc>
        <w:tc>
          <w:tcPr>
            <w:tcW w:w="556" w:type="pct"/>
            <w:shd w:val="clear" w:color="auto" w:fill="auto"/>
            <w:vAlign w:val="center"/>
          </w:tcPr>
          <w:p w14:paraId="5DEA5052" w14:textId="77777777" w:rsidR="0039350E" w:rsidRPr="00DE058F" w:rsidRDefault="0039350E" w:rsidP="00953528">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-1,5</w:t>
            </w:r>
          </w:p>
        </w:tc>
        <w:tc>
          <w:tcPr>
            <w:tcW w:w="556" w:type="pct"/>
            <w:shd w:val="clear" w:color="auto" w:fill="auto"/>
            <w:vAlign w:val="center"/>
          </w:tcPr>
          <w:p w14:paraId="011845B1" w14:textId="77777777" w:rsidR="0039350E" w:rsidRPr="00DE058F" w:rsidRDefault="0039350E" w:rsidP="00953528">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-1,0</w:t>
            </w:r>
          </w:p>
        </w:tc>
        <w:tc>
          <w:tcPr>
            <w:tcW w:w="556" w:type="pct"/>
            <w:shd w:val="clear" w:color="auto" w:fill="auto"/>
            <w:vAlign w:val="center"/>
          </w:tcPr>
          <w:p w14:paraId="1B3639FF"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-0,5</w:t>
            </w:r>
          </w:p>
        </w:tc>
      </w:tr>
      <w:tr w:rsidR="0004786A" w:rsidRPr="00DE058F" w14:paraId="716F4441" w14:textId="77777777" w:rsidTr="005D42AC">
        <w:trPr>
          <w:trHeight w:val="253"/>
        </w:trPr>
        <w:tc>
          <w:tcPr>
            <w:tcW w:w="2121" w:type="pct"/>
            <w:shd w:val="clear" w:color="auto" w:fill="auto"/>
            <w:vAlign w:val="center"/>
          </w:tcPr>
          <w:p w14:paraId="7886921C" w14:textId="77777777" w:rsidR="0039350E" w:rsidRPr="00DE058F" w:rsidRDefault="0039350E" w:rsidP="00C130D2">
            <w:pPr>
              <w:spacing w:line="276" w:lineRule="auto"/>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Примарни консолидовани резултат</w:t>
            </w:r>
          </w:p>
        </w:tc>
        <w:tc>
          <w:tcPr>
            <w:tcW w:w="605" w:type="pct"/>
            <w:shd w:val="clear" w:color="auto" w:fill="auto"/>
            <w:vAlign w:val="center"/>
          </w:tcPr>
          <w:p w14:paraId="5DA03837" w14:textId="77777777" w:rsidR="0039350E" w:rsidRPr="00DE058F" w:rsidRDefault="0039350E" w:rsidP="00953528">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-2,4</w:t>
            </w:r>
          </w:p>
        </w:tc>
        <w:tc>
          <w:tcPr>
            <w:tcW w:w="605" w:type="pct"/>
            <w:shd w:val="clear" w:color="auto" w:fill="auto"/>
            <w:vAlign w:val="center"/>
          </w:tcPr>
          <w:p w14:paraId="669977C3" w14:textId="77777777" w:rsidR="0039350E" w:rsidRPr="00DE058F" w:rsidRDefault="0039350E" w:rsidP="00953528">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-1,3</w:t>
            </w:r>
          </w:p>
        </w:tc>
        <w:tc>
          <w:tcPr>
            <w:tcW w:w="556" w:type="pct"/>
            <w:shd w:val="clear" w:color="auto" w:fill="auto"/>
            <w:vAlign w:val="center"/>
          </w:tcPr>
          <w:p w14:paraId="28944F41" w14:textId="77777777" w:rsidR="0039350E" w:rsidRPr="00DE058F" w:rsidRDefault="0039350E" w:rsidP="00953528">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0,1</w:t>
            </w:r>
          </w:p>
        </w:tc>
        <w:tc>
          <w:tcPr>
            <w:tcW w:w="556" w:type="pct"/>
            <w:shd w:val="clear" w:color="auto" w:fill="auto"/>
            <w:vAlign w:val="center"/>
          </w:tcPr>
          <w:p w14:paraId="5CB13B2A"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0,6</w:t>
            </w:r>
          </w:p>
        </w:tc>
        <w:tc>
          <w:tcPr>
            <w:tcW w:w="556" w:type="pct"/>
            <w:shd w:val="clear" w:color="auto" w:fill="auto"/>
            <w:vAlign w:val="center"/>
          </w:tcPr>
          <w:p w14:paraId="1637B033"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1,1</w:t>
            </w:r>
          </w:p>
        </w:tc>
      </w:tr>
      <w:tr w:rsidR="0004786A" w:rsidRPr="00DE058F" w14:paraId="7FB99E54" w14:textId="77777777" w:rsidTr="005D42AC">
        <w:trPr>
          <w:cnfStyle w:val="000000100000" w:firstRow="0" w:lastRow="0" w:firstColumn="0" w:lastColumn="0" w:oddVBand="0" w:evenVBand="0" w:oddHBand="1" w:evenHBand="0" w:firstRowFirstColumn="0" w:firstRowLastColumn="0" w:lastRowFirstColumn="0" w:lastRowLastColumn="0"/>
          <w:trHeight w:val="253"/>
        </w:trPr>
        <w:tc>
          <w:tcPr>
            <w:tcW w:w="2121" w:type="pct"/>
            <w:shd w:val="clear" w:color="auto" w:fill="auto"/>
            <w:vAlign w:val="center"/>
          </w:tcPr>
          <w:p w14:paraId="549A6680" w14:textId="77777777" w:rsidR="0039350E" w:rsidRPr="00DE058F" w:rsidRDefault="0039350E" w:rsidP="00C130D2">
            <w:pPr>
              <w:spacing w:line="276" w:lineRule="auto"/>
              <w:rPr>
                <w:rFonts w:asciiTheme="minorHAnsi" w:hAnsiTheme="minorHAnsi" w:cstheme="minorHAnsi"/>
                <w:color w:val="002060"/>
                <w:sz w:val="18"/>
                <w:szCs w:val="18"/>
                <w:lang w:val="sr-Cyrl-CS"/>
              </w:rPr>
            </w:pPr>
          </w:p>
        </w:tc>
        <w:tc>
          <w:tcPr>
            <w:tcW w:w="605" w:type="pct"/>
            <w:shd w:val="clear" w:color="auto" w:fill="auto"/>
            <w:vAlign w:val="center"/>
          </w:tcPr>
          <w:p w14:paraId="425B2420"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p>
        </w:tc>
        <w:tc>
          <w:tcPr>
            <w:tcW w:w="605" w:type="pct"/>
            <w:shd w:val="clear" w:color="auto" w:fill="auto"/>
            <w:vAlign w:val="center"/>
          </w:tcPr>
          <w:p w14:paraId="3D85C17B"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p>
        </w:tc>
        <w:tc>
          <w:tcPr>
            <w:tcW w:w="556" w:type="pct"/>
            <w:shd w:val="clear" w:color="auto" w:fill="auto"/>
            <w:vAlign w:val="center"/>
          </w:tcPr>
          <w:p w14:paraId="4F5C6E10"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p>
        </w:tc>
        <w:tc>
          <w:tcPr>
            <w:tcW w:w="556" w:type="pct"/>
            <w:shd w:val="clear" w:color="auto" w:fill="auto"/>
            <w:vAlign w:val="center"/>
          </w:tcPr>
          <w:p w14:paraId="27F7489C"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p>
        </w:tc>
        <w:tc>
          <w:tcPr>
            <w:tcW w:w="556" w:type="pct"/>
            <w:shd w:val="clear" w:color="auto" w:fill="auto"/>
            <w:vAlign w:val="center"/>
          </w:tcPr>
          <w:p w14:paraId="54A9589F"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p>
        </w:tc>
      </w:tr>
      <w:tr w:rsidR="0004786A" w:rsidRPr="00DE058F" w14:paraId="6CC0C625" w14:textId="77777777" w:rsidTr="005D42AC">
        <w:trPr>
          <w:trHeight w:val="253"/>
        </w:trPr>
        <w:tc>
          <w:tcPr>
            <w:tcW w:w="2121" w:type="pct"/>
            <w:shd w:val="clear" w:color="auto" w:fill="auto"/>
            <w:vAlign w:val="center"/>
          </w:tcPr>
          <w:p w14:paraId="0EFC032A" w14:textId="77777777" w:rsidR="0039350E" w:rsidRPr="00DE058F" w:rsidRDefault="0039350E" w:rsidP="00C130D2">
            <w:pPr>
              <w:spacing w:line="276" w:lineRule="auto"/>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Дуг опште државе</w:t>
            </w:r>
          </w:p>
        </w:tc>
        <w:tc>
          <w:tcPr>
            <w:tcW w:w="605" w:type="pct"/>
            <w:shd w:val="clear" w:color="auto" w:fill="auto"/>
            <w:vAlign w:val="center"/>
          </w:tcPr>
          <w:p w14:paraId="75122577"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57,1</w:t>
            </w:r>
          </w:p>
        </w:tc>
        <w:tc>
          <w:tcPr>
            <w:tcW w:w="605" w:type="pct"/>
            <w:shd w:val="clear" w:color="auto" w:fill="auto"/>
            <w:vAlign w:val="center"/>
          </w:tcPr>
          <w:p w14:paraId="543443CF"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54,6</w:t>
            </w:r>
          </w:p>
        </w:tc>
        <w:tc>
          <w:tcPr>
            <w:tcW w:w="556" w:type="pct"/>
            <w:shd w:val="clear" w:color="auto" w:fill="auto"/>
            <w:vAlign w:val="center"/>
          </w:tcPr>
          <w:p w14:paraId="741A4685" w14:textId="77777777" w:rsidR="0039350E" w:rsidRPr="00DE058F" w:rsidRDefault="0039350E" w:rsidP="005D42AC">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53,1</w:t>
            </w:r>
          </w:p>
        </w:tc>
        <w:tc>
          <w:tcPr>
            <w:tcW w:w="556" w:type="pct"/>
            <w:shd w:val="clear" w:color="auto" w:fill="auto"/>
            <w:vAlign w:val="center"/>
          </w:tcPr>
          <w:p w14:paraId="2F1052DB"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52,0</w:t>
            </w:r>
          </w:p>
        </w:tc>
        <w:tc>
          <w:tcPr>
            <w:tcW w:w="556" w:type="pct"/>
            <w:shd w:val="clear" w:color="auto" w:fill="auto"/>
            <w:vAlign w:val="center"/>
          </w:tcPr>
          <w:p w14:paraId="20475CD3" w14:textId="77777777" w:rsidR="0039350E" w:rsidRPr="00DE058F" w:rsidRDefault="0039350E" w:rsidP="00953528">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50,7</w:t>
            </w:r>
          </w:p>
        </w:tc>
      </w:tr>
      <w:tr w:rsidR="0004786A" w:rsidRPr="00DE058F" w14:paraId="41DF7EDE" w14:textId="77777777" w:rsidTr="005D42AC">
        <w:trPr>
          <w:cnfStyle w:val="000000100000" w:firstRow="0" w:lastRow="0" w:firstColumn="0" w:lastColumn="0" w:oddVBand="0" w:evenVBand="0" w:oddHBand="1" w:evenHBand="0" w:firstRowFirstColumn="0" w:firstRowLastColumn="0" w:lastRowFirstColumn="0" w:lastRowLastColumn="0"/>
          <w:trHeight w:val="253"/>
        </w:trPr>
        <w:tc>
          <w:tcPr>
            <w:tcW w:w="2121" w:type="pct"/>
            <w:tcBorders>
              <w:bottom w:val="single" w:sz="4" w:space="0" w:color="002060"/>
            </w:tcBorders>
            <w:shd w:val="clear" w:color="auto" w:fill="auto"/>
            <w:vAlign w:val="center"/>
          </w:tcPr>
          <w:p w14:paraId="3A7E5BD3" w14:textId="77777777" w:rsidR="0039350E" w:rsidRPr="00DE058F" w:rsidRDefault="0039350E" w:rsidP="00C130D2">
            <w:pPr>
              <w:spacing w:line="276" w:lineRule="auto"/>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Реална стопа раста БДП</w:t>
            </w:r>
          </w:p>
        </w:tc>
        <w:tc>
          <w:tcPr>
            <w:tcW w:w="605" w:type="pct"/>
            <w:tcBorders>
              <w:bottom w:val="single" w:sz="4" w:space="0" w:color="002060"/>
            </w:tcBorders>
            <w:shd w:val="clear" w:color="auto" w:fill="auto"/>
            <w:vAlign w:val="center"/>
          </w:tcPr>
          <w:p w14:paraId="1C95742A" w14:textId="52F926FD" w:rsidR="0039350E" w:rsidRPr="00DE058F" w:rsidRDefault="0039350E" w:rsidP="00953528">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7,4%</w:t>
            </w:r>
          </w:p>
        </w:tc>
        <w:tc>
          <w:tcPr>
            <w:tcW w:w="605" w:type="pct"/>
            <w:tcBorders>
              <w:bottom w:val="single" w:sz="4" w:space="0" w:color="002060"/>
            </w:tcBorders>
            <w:shd w:val="clear" w:color="auto" w:fill="auto"/>
            <w:vAlign w:val="center"/>
          </w:tcPr>
          <w:p w14:paraId="2C961FD0" w14:textId="77777777" w:rsidR="0039350E" w:rsidRPr="00DE058F" w:rsidRDefault="0039350E" w:rsidP="005D42AC">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3,5%</w:t>
            </w:r>
          </w:p>
        </w:tc>
        <w:tc>
          <w:tcPr>
            <w:tcW w:w="556" w:type="pct"/>
            <w:tcBorders>
              <w:bottom w:val="single" w:sz="4" w:space="0" w:color="002060"/>
            </w:tcBorders>
            <w:shd w:val="clear" w:color="auto" w:fill="auto"/>
            <w:vAlign w:val="center"/>
          </w:tcPr>
          <w:p w14:paraId="164F3D04"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4,0%</w:t>
            </w:r>
          </w:p>
        </w:tc>
        <w:tc>
          <w:tcPr>
            <w:tcW w:w="556" w:type="pct"/>
            <w:tcBorders>
              <w:bottom w:val="single" w:sz="4" w:space="0" w:color="002060"/>
            </w:tcBorders>
            <w:shd w:val="clear" w:color="auto" w:fill="auto"/>
            <w:vAlign w:val="center"/>
          </w:tcPr>
          <w:p w14:paraId="78E47CBF"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4,0%</w:t>
            </w:r>
          </w:p>
        </w:tc>
        <w:tc>
          <w:tcPr>
            <w:tcW w:w="556" w:type="pct"/>
            <w:tcBorders>
              <w:bottom w:val="single" w:sz="4" w:space="0" w:color="002060"/>
            </w:tcBorders>
            <w:shd w:val="clear" w:color="auto" w:fill="auto"/>
            <w:vAlign w:val="center"/>
          </w:tcPr>
          <w:p w14:paraId="7092915D" w14:textId="77777777" w:rsidR="0039350E" w:rsidRPr="00DE058F" w:rsidRDefault="0039350E" w:rsidP="00C130D2">
            <w:pPr>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4,5%</w:t>
            </w:r>
          </w:p>
        </w:tc>
      </w:tr>
    </w:tbl>
    <w:p w14:paraId="3612DBA6" w14:textId="77777777" w:rsidR="0039350E" w:rsidRPr="00DE058F" w:rsidRDefault="0039350E" w:rsidP="00953528">
      <w:pPr>
        <w:spacing w:before="40" w:after="120" w:line="276" w:lineRule="auto"/>
        <w:rPr>
          <w:rFonts w:cstheme="minorHAnsi"/>
          <w:sz w:val="16"/>
          <w:szCs w:val="20"/>
          <w:lang w:val="sr-Cyrl-CS"/>
        </w:rPr>
      </w:pPr>
      <w:r w:rsidRPr="00DE058F">
        <w:rPr>
          <w:rFonts w:eastAsia="Calibri" w:cstheme="minorHAnsi"/>
          <w:bCs/>
          <w:sz w:val="16"/>
          <w:szCs w:val="20"/>
          <w:lang w:val="sr-Cyrl-CS" w:eastAsia="ja-JP"/>
        </w:rPr>
        <w:t xml:space="preserve">Извор: </w:t>
      </w:r>
      <w:r w:rsidRPr="00DE058F">
        <w:rPr>
          <w:rFonts w:cstheme="minorHAnsi"/>
          <w:sz w:val="16"/>
          <w:szCs w:val="20"/>
          <w:lang w:val="sr-Cyrl-CS"/>
        </w:rPr>
        <w:t>Министарство финансија</w:t>
      </w:r>
    </w:p>
    <w:p w14:paraId="0C813059" w14:textId="77777777" w:rsidR="0039350E" w:rsidRPr="00DE058F" w:rsidRDefault="0039350E" w:rsidP="00953528">
      <w:pPr>
        <w:spacing w:before="40" w:after="120" w:line="276" w:lineRule="auto"/>
        <w:rPr>
          <w:rFonts w:eastAsia="MS PGothic" w:cstheme="minorHAnsi"/>
          <w:szCs w:val="20"/>
          <w:lang w:val="sr-Cyrl-CS" w:eastAsia="ja-JP"/>
        </w:rPr>
        <w:sectPr w:rsidR="0039350E" w:rsidRPr="00DE058F" w:rsidSect="00953528">
          <w:type w:val="continuous"/>
          <w:pgSz w:w="12240" w:h="15840" w:code="1"/>
          <w:pgMar w:top="1440" w:right="1440" w:bottom="1440" w:left="1440" w:header="720" w:footer="720" w:gutter="0"/>
          <w:cols w:space="720"/>
          <w:docGrid w:linePitch="360"/>
        </w:sectPr>
      </w:pPr>
    </w:p>
    <w:p w14:paraId="53286CEB" w14:textId="77777777" w:rsidR="0039350E" w:rsidRPr="00DE058F" w:rsidRDefault="0039350E" w:rsidP="00953528">
      <w:pPr>
        <w:spacing w:before="40" w:after="120" w:line="276" w:lineRule="auto"/>
        <w:rPr>
          <w:rFonts w:cstheme="minorHAnsi"/>
          <w:lang w:val="sr-Cyrl-CS"/>
        </w:rPr>
      </w:pPr>
      <w:r w:rsidRPr="00DE058F">
        <w:rPr>
          <w:rFonts w:eastAsia="MS PGothic" w:cstheme="minorHAnsi"/>
          <w:szCs w:val="20"/>
          <w:lang w:val="sr-Cyrl-CS" w:eastAsia="ja-JP"/>
        </w:rPr>
        <w:t>Циљеви фискалне политике у наредном средњорочном периоду биће стабилизација јавних финансија и повратак јавног дуга на опадајућу путању. Смањење</w:t>
      </w:r>
      <w:r w:rsidRPr="00DE058F">
        <w:rPr>
          <w:rFonts w:cstheme="minorHAnsi"/>
          <w:lang w:val="sr-Cyrl-CS"/>
        </w:rPr>
        <w:t xml:space="preserve"> учешћа дуга је уско везано за снижавање дефицита као главног фактора задуживања, тако да динамика спуштања дефицита опредељује и промену кретања дуга. Финансијске трансакције, као што је замена скупог дуга јефтинијим, као и боља позиција државе на међународном финансијском тржишту, допринеле би додатном снижавању дуга.</w:t>
      </w:r>
    </w:p>
    <w:p w14:paraId="50E7621D" w14:textId="77777777" w:rsidR="0039350E" w:rsidRPr="00DE058F" w:rsidRDefault="0039350E" w:rsidP="001D5B47">
      <w:pPr>
        <w:jc w:val="center"/>
        <w:rPr>
          <w:rFonts w:cstheme="minorHAnsi"/>
          <w:b/>
          <w:color w:val="002060"/>
          <w:lang w:val="sr-Cyrl-CS"/>
        </w:rPr>
      </w:pPr>
      <w:r w:rsidRPr="00DE058F">
        <w:rPr>
          <w:rFonts w:cstheme="minorHAnsi"/>
          <w:b/>
          <w:color w:val="002060"/>
          <w:lang w:val="sr-Cyrl-CS"/>
        </w:rPr>
        <w:br w:type="column"/>
      </w:r>
      <w:r w:rsidRPr="00DE058F">
        <w:rPr>
          <w:rFonts w:cstheme="minorHAnsi"/>
          <w:b/>
          <w:color w:val="002060"/>
          <w:lang w:val="sr-Cyrl-CS"/>
        </w:rPr>
        <w:t>Фискални резултат и дуг опште државе, % БДП</w:t>
      </w:r>
    </w:p>
    <w:p w14:paraId="57ABDE35" w14:textId="77777777" w:rsidR="0039350E" w:rsidRPr="00DE058F" w:rsidRDefault="0039350E" w:rsidP="00953528">
      <w:pPr>
        <w:spacing w:line="276" w:lineRule="auto"/>
        <w:rPr>
          <w:rFonts w:cstheme="minorHAnsi"/>
          <w:lang w:val="sr-Cyrl-CS"/>
        </w:rPr>
      </w:pPr>
      <w:r w:rsidRPr="00DE058F">
        <w:rPr>
          <w:noProof/>
        </w:rPr>
        <w:drawing>
          <wp:inline distT="0" distB="0" distL="0" distR="0" wp14:anchorId="289217F2" wp14:editId="07AD5F6E">
            <wp:extent cx="2743200" cy="2139351"/>
            <wp:effectExtent l="0" t="0" r="0" b="0"/>
            <wp:docPr id="84" name="Chart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777871C4" w14:textId="77777777" w:rsidR="0039350E" w:rsidRPr="00DE058F" w:rsidRDefault="0039350E" w:rsidP="00953528">
      <w:pPr>
        <w:rPr>
          <w:rFonts w:eastAsia="Times New Roman" w:cstheme="minorHAnsi"/>
          <w:b/>
          <w:bCs/>
          <w:szCs w:val="20"/>
          <w:lang w:val="sr-Cyrl-CS" w:eastAsia="ja-JP"/>
        </w:rPr>
      </w:pPr>
      <w:r w:rsidRPr="00DE058F">
        <w:rPr>
          <w:rFonts w:eastAsia="MS PGothic" w:cstheme="minorHAnsi"/>
          <w:szCs w:val="20"/>
          <w:lang w:val="sr-Cyrl-CS" w:eastAsia="ja-JP"/>
        </w:rPr>
        <w:lastRenderedPageBreak/>
        <w:t xml:space="preserve">Експанзивна фискална политика током 2020. и 2021. године умањила је негативне економске последице пандемије. У наредном средњорочном периоду предвиђено је умерено смањење дефицита опште државе како би се путем фискалне политике обезбедила потребна флексибилност националне економије на евентуалне екстерне шокове. То се, </w:t>
      </w:r>
      <w:r w:rsidRPr="00DE058F">
        <w:rPr>
          <w:rFonts w:eastAsia="Calibri" w:cstheme="minorHAnsi"/>
          <w:szCs w:val="20"/>
          <w:lang w:val="sr-Cyrl-CS" w:eastAsia="ja-JP"/>
        </w:rPr>
        <w:t xml:space="preserve">пре свега, односи на расходну страну, у виду повећања јавних инвестиција, као и додатног улагања у здравствени систем. На приходној страни приоритет ће остати даље смањење пореског </w:t>
      </w:r>
      <w:r w:rsidRPr="00DE058F">
        <w:rPr>
          <w:rFonts w:eastAsia="Calibri" w:cstheme="minorHAnsi"/>
          <w:szCs w:val="20"/>
          <w:lang w:val="sr-Cyrl-CS" w:eastAsia="ja-JP"/>
        </w:rPr>
        <w:t>оптерећења зарада и наставак борбе против пореске евазије и сиве економије.</w:t>
      </w:r>
    </w:p>
    <w:p w14:paraId="62B1563A" w14:textId="77777777" w:rsidR="0039350E" w:rsidRPr="00DE058F" w:rsidRDefault="0039350E" w:rsidP="00953528">
      <w:pPr>
        <w:keepNext/>
        <w:spacing w:after="80"/>
        <w:rPr>
          <w:rFonts w:eastAsia="MS PGothic" w:cstheme="minorHAnsi"/>
          <w:szCs w:val="20"/>
          <w:lang w:val="sr-Cyrl-CS" w:eastAsia="ja-JP"/>
        </w:rPr>
      </w:pPr>
      <w:r w:rsidRPr="00DE058F">
        <w:rPr>
          <w:rFonts w:eastAsia="MS PGothic" w:cstheme="minorHAnsi"/>
          <w:szCs w:val="20"/>
          <w:lang w:val="sr-Cyrl-CS" w:eastAsia="ja-JP"/>
        </w:rPr>
        <w:t>Пројекција прихода у периоду од 2023. до 2025. године израђена је на основу:</w:t>
      </w:r>
    </w:p>
    <w:p w14:paraId="4845C9CF" w14:textId="77777777" w:rsidR="0039350E" w:rsidRPr="00DE058F" w:rsidRDefault="0039350E" w:rsidP="00DB0157">
      <w:pPr>
        <w:numPr>
          <w:ilvl w:val="0"/>
          <w:numId w:val="1"/>
        </w:numPr>
        <w:ind w:left="181" w:hanging="181"/>
        <w:contextualSpacing/>
        <w:rPr>
          <w:rFonts w:eastAsia="Calibri" w:cstheme="minorHAnsi"/>
          <w:lang w:val="sr-Cyrl-CS"/>
        </w:rPr>
      </w:pPr>
      <w:r w:rsidRPr="00DE058F">
        <w:rPr>
          <w:rFonts w:eastAsia="Calibri" w:cstheme="minorHAnsi"/>
          <w:lang w:val="sr-Cyrl-CS"/>
        </w:rPr>
        <w:t>пројекције кретања најважнијих макроекономских показатеља: БДП и његових компоненти, инфлације, девизног курса, спољнотрговинске размене, запослености и зарада;</w:t>
      </w:r>
    </w:p>
    <w:p w14:paraId="385BE2C4" w14:textId="77777777" w:rsidR="0039350E" w:rsidRPr="00DE058F" w:rsidRDefault="0039350E" w:rsidP="00DB0157">
      <w:pPr>
        <w:numPr>
          <w:ilvl w:val="0"/>
          <w:numId w:val="1"/>
        </w:numPr>
        <w:ind w:left="181" w:hanging="181"/>
        <w:contextualSpacing/>
        <w:rPr>
          <w:rFonts w:eastAsia="Calibri" w:cstheme="minorHAnsi"/>
          <w:lang w:val="sr-Cyrl-CS"/>
        </w:rPr>
      </w:pPr>
      <w:r w:rsidRPr="00DE058F">
        <w:rPr>
          <w:rFonts w:eastAsia="Calibri" w:cstheme="minorHAnsi"/>
          <w:lang w:val="sr-Cyrl-CS"/>
        </w:rPr>
        <w:t>важеће и планиране измене пореске политике;</w:t>
      </w:r>
    </w:p>
    <w:p w14:paraId="38174781" w14:textId="77777777" w:rsidR="0039350E" w:rsidRPr="00DE058F" w:rsidRDefault="0039350E" w:rsidP="00DB0157">
      <w:pPr>
        <w:numPr>
          <w:ilvl w:val="0"/>
          <w:numId w:val="1"/>
        </w:numPr>
        <w:ind w:left="181" w:hanging="181"/>
        <w:rPr>
          <w:rFonts w:eastAsia="Calibri" w:cstheme="minorHAnsi"/>
          <w:lang w:val="sr-Cyrl-CS"/>
        </w:rPr>
      </w:pPr>
      <w:r w:rsidRPr="00DE058F">
        <w:rPr>
          <w:rFonts w:eastAsia="Calibri" w:cstheme="minorHAnsi"/>
          <w:lang w:val="sr-Cyrl-CS"/>
        </w:rPr>
        <w:t>процењених ефеката фискалних и структурних мера у наредном периоду.</w:t>
      </w:r>
    </w:p>
    <w:p w14:paraId="701EF295" w14:textId="77777777" w:rsidR="0039350E" w:rsidRPr="00DE058F" w:rsidRDefault="0039350E" w:rsidP="00451097">
      <w:pPr>
        <w:spacing w:before="240" w:after="120" w:line="276" w:lineRule="auto"/>
        <w:jc w:val="center"/>
        <w:rPr>
          <w:rFonts w:eastAsia="MS PGothic" w:cstheme="minorHAnsi"/>
          <w:b/>
          <w:color w:val="002060"/>
          <w:szCs w:val="20"/>
          <w:lang w:val="sr-Cyrl-CS" w:eastAsia="ja-JP"/>
        </w:rPr>
        <w:sectPr w:rsidR="0039350E" w:rsidRPr="00DE058F" w:rsidSect="00953528">
          <w:type w:val="continuous"/>
          <w:pgSz w:w="12240" w:h="15840" w:code="1"/>
          <w:pgMar w:top="1440" w:right="1440" w:bottom="1440" w:left="1440" w:header="720" w:footer="720" w:gutter="0"/>
          <w:cols w:num="2" w:space="720"/>
          <w:docGrid w:linePitch="360"/>
        </w:sectPr>
      </w:pPr>
    </w:p>
    <w:p w14:paraId="6E4D2C59" w14:textId="790807E7" w:rsidR="0039350E" w:rsidRPr="00DE058F" w:rsidRDefault="0039350E" w:rsidP="00451097">
      <w:pPr>
        <w:spacing w:before="240" w:after="120" w:line="276" w:lineRule="auto"/>
        <w:jc w:val="center"/>
        <w:rPr>
          <w:rFonts w:eastAsia="MS PGothic" w:cstheme="minorHAnsi"/>
          <w:b/>
          <w:color w:val="002060"/>
          <w:szCs w:val="20"/>
          <w:lang w:val="sr-Cyrl-CS" w:eastAsia="ja-JP"/>
        </w:rPr>
      </w:pPr>
      <w:r w:rsidRPr="00DE058F">
        <w:rPr>
          <w:rFonts w:eastAsia="MS PGothic" w:cstheme="minorHAnsi"/>
          <w:b/>
          <w:color w:val="002060"/>
          <w:szCs w:val="20"/>
          <w:lang w:val="sr-Cyrl-CS" w:eastAsia="ja-JP"/>
        </w:rPr>
        <w:t>Табела 1</w:t>
      </w:r>
      <w:r w:rsidR="00623E62" w:rsidRPr="00DE058F">
        <w:rPr>
          <w:rFonts w:eastAsia="MS PGothic" w:cstheme="minorHAnsi"/>
          <w:b/>
          <w:color w:val="002060"/>
          <w:szCs w:val="20"/>
          <w:lang w:val="sr-Cyrl-CS" w:eastAsia="ja-JP"/>
        </w:rPr>
        <w:t>0</w:t>
      </w:r>
      <w:r w:rsidRPr="00DE058F">
        <w:rPr>
          <w:rFonts w:eastAsia="MS PGothic" w:cstheme="minorHAnsi"/>
          <w:b/>
          <w:color w:val="002060"/>
          <w:szCs w:val="20"/>
          <w:lang w:val="sr-Cyrl-CS" w:eastAsia="ja-JP"/>
        </w:rPr>
        <w:t>. Укупни приходи и донације у периоду 2021–2025. године, % БДП</w:t>
      </w:r>
    </w:p>
    <w:tbl>
      <w:tblPr>
        <w:tblStyle w:val="LightShading-Accent1211"/>
        <w:tblW w:w="5000" w:type="pct"/>
        <w:tblBorders>
          <w:top w:val="none" w:sz="0" w:space="0" w:color="auto"/>
          <w:bottom w:val="none" w:sz="0" w:space="0" w:color="auto"/>
        </w:tblBorders>
        <w:tblLook w:val="0420" w:firstRow="1" w:lastRow="0" w:firstColumn="0" w:lastColumn="0" w:noHBand="0" w:noVBand="1"/>
      </w:tblPr>
      <w:tblGrid>
        <w:gridCol w:w="3824"/>
        <w:gridCol w:w="1133"/>
        <w:gridCol w:w="1134"/>
        <w:gridCol w:w="1088"/>
        <w:gridCol w:w="1090"/>
        <w:gridCol w:w="1091"/>
      </w:tblGrid>
      <w:tr w:rsidR="0039350E" w:rsidRPr="00DE058F" w14:paraId="517983B9" w14:textId="77777777" w:rsidTr="00953528">
        <w:trPr>
          <w:cnfStyle w:val="100000000000" w:firstRow="1" w:lastRow="0" w:firstColumn="0" w:lastColumn="0" w:oddVBand="0" w:evenVBand="0" w:oddHBand="0" w:evenHBand="0" w:firstRowFirstColumn="0" w:firstRowLastColumn="0" w:lastRowFirstColumn="0" w:lastRowLastColumn="0"/>
          <w:trHeight w:val="253"/>
        </w:trPr>
        <w:tc>
          <w:tcPr>
            <w:tcW w:w="2043" w:type="pct"/>
            <w:tcBorders>
              <w:top w:val="single" w:sz="4" w:space="0" w:color="002060"/>
              <w:bottom w:val="single" w:sz="4" w:space="0" w:color="002060"/>
            </w:tcBorders>
            <w:noWrap/>
            <w:vAlign w:val="center"/>
          </w:tcPr>
          <w:p w14:paraId="21AB33AB" w14:textId="77777777" w:rsidR="0039350E" w:rsidRPr="00DE058F" w:rsidRDefault="0039350E" w:rsidP="00C130D2">
            <w:pPr>
              <w:keepLines/>
              <w:widowControl w:val="0"/>
              <w:shd w:val="clear" w:color="auto" w:fill="FFFFFF" w:themeFill="background1"/>
              <w:spacing w:line="276" w:lineRule="auto"/>
              <w:rPr>
                <w:rFonts w:asciiTheme="minorHAnsi" w:eastAsia="Times New Roman" w:hAnsiTheme="minorHAnsi" w:cstheme="minorHAnsi"/>
                <w:b w:val="0"/>
                <w:color w:val="002060"/>
                <w:sz w:val="18"/>
                <w:szCs w:val="18"/>
                <w:lang w:val="sr-Cyrl-CS"/>
              </w:rPr>
            </w:pPr>
            <w:r w:rsidRPr="00DE058F">
              <w:rPr>
                <w:rFonts w:asciiTheme="minorHAnsi" w:hAnsiTheme="minorHAnsi" w:cstheme="minorHAnsi"/>
                <w:b w:val="0"/>
                <w:color w:val="002060"/>
                <w:sz w:val="18"/>
                <w:lang w:val="sr-Cyrl-CS"/>
              </w:rPr>
              <w:t>Опис</w:t>
            </w:r>
          </w:p>
        </w:tc>
        <w:tc>
          <w:tcPr>
            <w:tcW w:w="605" w:type="pct"/>
            <w:tcBorders>
              <w:top w:val="single" w:sz="4" w:space="0" w:color="002060"/>
              <w:bottom w:val="single" w:sz="4" w:space="0" w:color="002060"/>
            </w:tcBorders>
            <w:vAlign w:val="center"/>
          </w:tcPr>
          <w:p w14:paraId="3FE9D8CD" w14:textId="77777777" w:rsidR="0039350E" w:rsidRPr="00DE058F" w:rsidRDefault="0039350E" w:rsidP="00C130D2">
            <w:pPr>
              <w:keepNext/>
              <w:widowControl w:val="0"/>
              <w:shd w:val="clear" w:color="auto" w:fill="FFFFFF" w:themeFill="background1"/>
              <w:spacing w:line="276" w:lineRule="auto"/>
              <w:jc w:val="right"/>
              <w:rPr>
                <w:rFonts w:asciiTheme="minorHAnsi" w:eastAsia="Times New Roman" w:hAnsiTheme="minorHAnsi" w:cstheme="minorHAnsi"/>
                <w:b w:val="0"/>
                <w:color w:val="002060"/>
                <w:sz w:val="18"/>
                <w:szCs w:val="18"/>
                <w:lang w:val="sr-Cyrl-CS"/>
              </w:rPr>
            </w:pPr>
            <w:r w:rsidRPr="00DE058F">
              <w:rPr>
                <w:rFonts w:asciiTheme="minorHAnsi" w:hAnsiTheme="minorHAnsi" w:cstheme="minorHAnsi"/>
                <w:b w:val="0"/>
                <w:color w:val="002060"/>
                <w:sz w:val="18"/>
                <w:lang w:val="sr-Cyrl-CS"/>
              </w:rPr>
              <w:t>Извршење</w:t>
            </w:r>
          </w:p>
        </w:tc>
        <w:tc>
          <w:tcPr>
            <w:tcW w:w="606" w:type="pct"/>
            <w:tcBorders>
              <w:top w:val="single" w:sz="4" w:space="0" w:color="002060"/>
              <w:bottom w:val="single" w:sz="4" w:space="0" w:color="002060"/>
            </w:tcBorders>
            <w:vAlign w:val="center"/>
          </w:tcPr>
          <w:p w14:paraId="092EF45D" w14:textId="77777777" w:rsidR="0039350E" w:rsidRPr="00DE058F" w:rsidRDefault="0039350E" w:rsidP="00C130D2">
            <w:pPr>
              <w:keepNext/>
              <w:widowControl w:val="0"/>
              <w:shd w:val="clear" w:color="auto" w:fill="FFFFFF" w:themeFill="background1"/>
              <w:spacing w:line="276" w:lineRule="auto"/>
              <w:jc w:val="right"/>
              <w:rPr>
                <w:rFonts w:asciiTheme="minorHAnsi" w:eastAsia="Times New Roman" w:hAnsiTheme="minorHAnsi" w:cstheme="minorHAnsi"/>
                <w:b w:val="0"/>
                <w:color w:val="002060"/>
                <w:sz w:val="18"/>
                <w:szCs w:val="18"/>
                <w:lang w:val="sr-Cyrl-CS"/>
              </w:rPr>
            </w:pPr>
            <w:r w:rsidRPr="00DE058F">
              <w:rPr>
                <w:rFonts w:asciiTheme="minorHAnsi" w:hAnsiTheme="minorHAnsi" w:cstheme="minorHAnsi"/>
                <w:b w:val="0"/>
                <w:color w:val="002060"/>
                <w:sz w:val="18"/>
                <w:lang w:val="sr-Cyrl-CS"/>
              </w:rPr>
              <w:t>Процена</w:t>
            </w:r>
          </w:p>
        </w:tc>
        <w:tc>
          <w:tcPr>
            <w:tcW w:w="1746" w:type="pct"/>
            <w:gridSpan w:val="3"/>
            <w:tcBorders>
              <w:top w:val="single" w:sz="4" w:space="0" w:color="002060"/>
              <w:bottom w:val="single" w:sz="4" w:space="0" w:color="002060"/>
            </w:tcBorders>
            <w:vAlign w:val="center"/>
          </w:tcPr>
          <w:p w14:paraId="696136A0" w14:textId="77777777" w:rsidR="0039350E" w:rsidRPr="00DE058F" w:rsidRDefault="0039350E" w:rsidP="001940DA">
            <w:pPr>
              <w:keepNext/>
              <w:widowControl w:val="0"/>
              <w:shd w:val="clear" w:color="auto" w:fill="FFFFFF" w:themeFill="background1"/>
              <w:spacing w:line="276" w:lineRule="auto"/>
              <w:jc w:val="center"/>
              <w:rPr>
                <w:rFonts w:asciiTheme="minorHAnsi" w:eastAsia="Times New Roman" w:hAnsiTheme="minorHAnsi" w:cstheme="minorHAnsi"/>
                <w:b w:val="0"/>
                <w:color w:val="002060"/>
                <w:sz w:val="18"/>
                <w:szCs w:val="18"/>
                <w:lang w:val="sr-Cyrl-CS"/>
              </w:rPr>
            </w:pPr>
            <w:r w:rsidRPr="00DE058F">
              <w:rPr>
                <w:rFonts w:asciiTheme="minorHAnsi" w:hAnsiTheme="minorHAnsi" w:cstheme="minorHAnsi"/>
                <w:b w:val="0"/>
                <w:color w:val="002060"/>
                <w:sz w:val="18"/>
                <w:lang w:val="sr-Cyrl-CS"/>
              </w:rPr>
              <w:t>Пројекција</w:t>
            </w:r>
          </w:p>
        </w:tc>
      </w:tr>
      <w:tr w:rsidR="0039350E" w:rsidRPr="00DE058F" w14:paraId="0B14D672" w14:textId="77777777" w:rsidTr="00953528">
        <w:trPr>
          <w:cnfStyle w:val="000000100000" w:firstRow="0" w:lastRow="0" w:firstColumn="0" w:lastColumn="0" w:oddVBand="0" w:evenVBand="0" w:oddHBand="1" w:evenHBand="0" w:firstRowFirstColumn="0" w:firstRowLastColumn="0" w:lastRowFirstColumn="0" w:lastRowLastColumn="0"/>
          <w:trHeight w:val="253"/>
        </w:trPr>
        <w:tc>
          <w:tcPr>
            <w:tcW w:w="2043" w:type="pct"/>
            <w:tcBorders>
              <w:top w:val="single" w:sz="4" w:space="0" w:color="002060"/>
            </w:tcBorders>
            <w:shd w:val="clear" w:color="auto" w:fill="FFFFFF" w:themeFill="background1"/>
            <w:noWrap/>
          </w:tcPr>
          <w:p w14:paraId="3DBF23C1" w14:textId="77777777" w:rsidR="0039350E" w:rsidRPr="00DE058F" w:rsidRDefault="0039350E" w:rsidP="00C130D2">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p>
        </w:tc>
        <w:tc>
          <w:tcPr>
            <w:tcW w:w="605" w:type="pct"/>
            <w:tcBorders>
              <w:top w:val="single" w:sz="4" w:space="0" w:color="002060"/>
              <w:bottom w:val="single" w:sz="4" w:space="0" w:color="002060"/>
            </w:tcBorders>
            <w:shd w:val="clear" w:color="auto" w:fill="FFFFFF" w:themeFill="background1"/>
          </w:tcPr>
          <w:p w14:paraId="68CB6AE4" w14:textId="77777777" w:rsidR="0039350E" w:rsidRPr="00DE058F" w:rsidRDefault="0039350E" w:rsidP="005D42AC">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2021</w:t>
            </w:r>
          </w:p>
        </w:tc>
        <w:tc>
          <w:tcPr>
            <w:tcW w:w="606" w:type="pct"/>
            <w:tcBorders>
              <w:top w:val="single" w:sz="4" w:space="0" w:color="002060"/>
              <w:bottom w:val="single" w:sz="4" w:space="0" w:color="002060"/>
            </w:tcBorders>
            <w:shd w:val="clear" w:color="auto" w:fill="FFFFFF" w:themeFill="background1"/>
          </w:tcPr>
          <w:p w14:paraId="5ED0AD7A" w14:textId="77777777" w:rsidR="0039350E" w:rsidRPr="00DE058F" w:rsidRDefault="0039350E" w:rsidP="00C130D2">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2022</w:t>
            </w:r>
          </w:p>
        </w:tc>
        <w:tc>
          <w:tcPr>
            <w:tcW w:w="581" w:type="pct"/>
            <w:tcBorders>
              <w:top w:val="single" w:sz="4" w:space="0" w:color="002060"/>
              <w:bottom w:val="single" w:sz="4" w:space="0" w:color="002060"/>
            </w:tcBorders>
            <w:shd w:val="clear" w:color="auto" w:fill="FFFFFF" w:themeFill="background1"/>
          </w:tcPr>
          <w:p w14:paraId="069C1CCE" w14:textId="77777777" w:rsidR="0039350E" w:rsidRPr="00DE058F" w:rsidRDefault="0039350E" w:rsidP="00C130D2">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2023</w:t>
            </w:r>
          </w:p>
        </w:tc>
        <w:tc>
          <w:tcPr>
            <w:tcW w:w="582" w:type="pct"/>
            <w:tcBorders>
              <w:top w:val="single" w:sz="4" w:space="0" w:color="002060"/>
              <w:bottom w:val="single" w:sz="4" w:space="0" w:color="002060"/>
            </w:tcBorders>
            <w:shd w:val="clear" w:color="auto" w:fill="FFFFFF" w:themeFill="background1"/>
          </w:tcPr>
          <w:p w14:paraId="2E09CB80" w14:textId="77777777" w:rsidR="0039350E" w:rsidRPr="00DE058F" w:rsidRDefault="0039350E" w:rsidP="00C130D2">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2024</w:t>
            </w:r>
          </w:p>
        </w:tc>
        <w:tc>
          <w:tcPr>
            <w:tcW w:w="582" w:type="pct"/>
            <w:tcBorders>
              <w:top w:val="single" w:sz="4" w:space="0" w:color="002060"/>
              <w:bottom w:val="single" w:sz="4" w:space="0" w:color="002060"/>
            </w:tcBorders>
            <w:shd w:val="clear" w:color="auto" w:fill="FFFFFF" w:themeFill="background1"/>
          </w:tcPr>
          <w:p w14:paraId="48D0BDF9" w14:textId="77777777" w:rsidR="0039350E" w:rsidRPr="00DE058F" w:rsidRDefault="0039350E" w:rsidP="00C130D2">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2025</w:t>
            </w:r>
          </w:p>
        </w:tc>
      </w:tr>
      <w:tr w:rsidR="0039350E" w:rsidRPr="00DE058F" w14:paraId="526C5569" w14:textId="77777777" w:rsidTr="00953528">
        <w:trPr>
          <w:trHeight w:val="253"/>
        </w:trPr>
        <w:tc>
          <w:tcPr>
            <w:tcW w:w="2043" w:type="pct"/>
            <w:shd w:val="clear" w:color="auto" w:fill="FFFFFF" w:themeFill="background1"/>
          </w:tcPr>
          <w:p w14:paraId="397396DA" w14:textId="77777777" w:rsidR="0039350E" w:rsidRPr="00DE058F" w:rsidRDefault="0039350E" w:rsidP="00953528">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ЈАВНИ ПРИХОДИ</w:t>
            </w:r>
          </w:p>
        </w:tc>
        <w:tc>
          <w:tcPr>
            <w:tcW w:w="605" w:type="pct"/>
            <w:tcBorders>
              <w:top w:val="single" w:sz="4" w:space="0" w:color="002060"/>
            </w:tcBorders>
            <w:shd w:val="clear" w:color="auto" w:fill="auto"/>
            <w:vAlign w:val="center"/>
          </w:tcPr>
          <w:p w14:paraId="226EEEF5"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43,3</w:t>
            </w:r>
          </w:p>
        </w:tc>
        <w:tc>
          <w:tcPr>
            <w:tcW w:w="606" w:type="pct"/>
            <w:tcBorders>
              <w:top w:val="single" w:sz="4" w:space="0" w:color="002060"/>
            </w:tcBorders>
            <w:shd w:val="clear" w:color="auto" w:fill="auto"/>
            <w:noWrap/>
            <w:vAlign w:val="center"/>
          </w:tcPr>
          <w:p w14:paraId="14D1E49B"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42,0</w:t>
            </w:r>
          </w:p>
        </w:tc>
        <w:tc>
          <w:tcPr>
            <w:tcW w:w="581" w:type="pct"/>
            <w:tcBorders>
              <w:top w:val="single" w:sz="4" w:space="0" w:color="002060"/>
            </w:tcBorders>
            <w:shd w:val="clear" w:color="auto" w:fill="auto"/>
            <w:noWrap/>
            <w:vAlign w:val="center"/>
          </w:tcPr>
          <w:p w14:paraId="533BB93E"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41,2</w:t>
            </w:r>
          </w:p>
        </w:tc>
        <w:tc>
          <w:tcPr>
            <w:tcW w:w="582" w:type="pct"/>
            <w:tcBorders>
              <w:top w:val="single" w:sz="4" w:space="0" w:color="002060"/>
            </w:tcBorders>
            <w:shd w:val="clear" w:color="auto" w:fill="auto"/>
            <w:noWrap/>
            <w:vAlign w:val="center"/>
          </w:tcPr>
          <w:p w14:paraId="353E5C6F"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40,7</w:t>
            </w:r>
          </w:p>
        </w:tc>
        <w:tc>
          <w:tcPr>
            <w:tcW w:w="582" w:type="pct"/>
            <w:tcBorders>
              <w:top w:val="single" w:sz="4" w:space="0" w:color="002060"/>
            </w:tcBorders>
            <w:shd w:val="clear" w:color="auto" w:fill="auto"/>
            <w:noWrap/>
            <w:vAlign w:val="center"/>
          </w:tcPr>
          <w:p w14:paraId="346CF128"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40,1</w:t>
            </w:r>
          </w:p>
        </w:tc>
      </w:tr>
      <w:tr w:rsidR="0039350E" w:rsidRPr="00DE058F" w14:paraId="0291EE95" w14:textId="77777777" w:rsidTr="00953528">
        <w:trPr>
          <w:cnfStyle w:val="000000100000" w:firstRow="0" w:lastRow="0" w:firstColumn="0" w:lastColumn="0" w:oddVBand="0" w:evenVBand="0" w:oddHBand="1" w:evenHBand="0" w:firstRowFirstColumn="0" w:firstRowLastColumn="0" w:lastRowFirstColumn="0" w:lastRowLastColumn="0"/>
          <w:trHeight w:val="253"/>
        </w:trPr>
        <w:tc>
          <w:tcPr>
            <w:tcW w:w="2043" w:type="pct"/>
            <w:shd w:val="clear" w:color="auto" w:fill="FFFFFF" w:themeFill="background1"/>
          </w:tcPr>
          <w:p w14:paraId="21157ABB" w14:textId="77777777" w:rsidR="0039350E" w:rsidRPr="00DE058F" w:rsidRDefault="0039350E" w:rsidP="00C130D2">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Текући приходи</w:t>
            </w:r>
          </w:p>
        </w:tc>
        <w:tc>
          <w:tcPr>
            <w:tcW w:w="605" w:type="pct"/>
            <w:shd w:val="clear" w:color="auto" w:fill="FFFFFF" w:themeFill="background1"/>
          </w:tcPr>
          <w:p w14:paraId="50122CC0"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43,0</w:t>
            </w:r>
          </w:p>
        </w:tc>
        <w:tc>
          <w:tcPr>
            <w:tcW w:w="606" w:type="pct"/>
            <w:shd w:val="clear" w:color="auto" w:fill="FFFFFF" w:themeFill="background1"/>
            <w:noWrap/>
          </w:tcPr>
          <w:p w14:paraId="644BB344"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41,6</w:t>
            </w:r>
          </w:p>
        </w:tc>
        <w:tc>
          <w:tcPr>
            <w:tcW w:w="581" w:type="pct"/>
            <w:shd w:val="clear" w:color="auto" w:fill="FFFFFF" w:themeFill="background1"/>
            <w:noWrap/>
          </w:tcPr>
          <w:p w14:paraId="472918A9"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40,8</w:t>
            </w:r>
          </w:p>
        </w:tc>
        <w:tc>
          <w:tcPr>
            <w:tcW w:w="582" w:type="pct"/>
            <w:shd w:val="clear" w:color="auto" w:fill="FFFFFF" w:themeFill="background1"/>
            <w:noWrap/>
          </w:tcPr>
          <w:p w14:paraId="0EA3E6E3"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40,4</w:t>
            </w:r>
          </w:p>
        </w:tc>
        <w:tc>
          <w:tcPr>
            <w:tcW w:w="582" w:type="pct"/>
            <w:shd w:val="clear" w:color="auto" w:fill="FFFFFF" w:themeFill="background1"/>
            <w:noWrap/>
          </w:tcPr>
          <w:p w14:paraId="40DD3DA0"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39,8</w:t>
            </w:r>
          </w:p>
        </w:tc>
      </w:tr>
      <w:tr w:rsidR="0039350E" w:rsidRPr="00DE058F" w14:paraId="51E70BEA" w14:textId="77777777" w:rsidTr="00953528">
        <w:trPr>
          <w:trHeight w:val="253"/>
        </w:trPr>
        <w:tc>
          <w:tcPr>
            <w:tcW w:w="2043" w:type="pct"/>
            <w:shd w:val="clear" w:color="auto" w:fill="FFFFFF" w:themeFill="background1"/>
          </w:tcPr>
          <w:p w14:paraId="337A7A3C" w14:textId="77777777" w:rsidR="0039350E" w:rsidRPr="00DE058F" w:rsidRDefault="0039350E" w:rsidP="00C130D2">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 xml:space="preserve"> Порески приходи</w:t>
            </w:r>
          </w:p>
        </w:tc>
        <w:tc>
          <w:tcPr>
            <w:tcW w:w="605" w:type="pct"/>
            <w:shd w:val="clear" w:color="auto" w:fill="FFFFFF" w:themeFill="background1"/>
          </w:tcPr>
          <w:p w14:paraId="7CB01ACD"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38,6</w:t>
            </w:r>
          </w:p>
        </w:tc>
        <w:tc>
          <w:tcPr>
            <w:tcW w:w="606" w:type="pct"/>
            <w:shd w:val="clear" w:color="auto" w:fill="FFFFFF" w:themeFill="background1"/>
            <w:noWrap/>
          </w:tcPr>
          <w:p w14:paraId="0B011480"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37,8</w:t>
            </w:r>
          </w:p>
        </w:tc>
        <w:tc>
          <w:tcPr>
            <w:tcW w:w="581" w:type="pct"/>
            <w:shd w:val="clear" w:color="auto" w:fill="FFFFFF" w:themeFill="background1"/>
            <w:noWrap/>
          </w:tcPr>
          <w:p w14:paraId="437C26E0"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37,1</w:t>
            </w:r>
          </w:p>
        </w:tc>
        <w:tc>
          <w:tcPr>
            <w:tcW w:w="582" w:type="pct"/>
            <w:shd w:val="clear" w:color="auto" w:fill="FFFFFF" w:themeFill="background1"/>
            <w:noWrap/>
          </w:tcPr>
          <w:p w14:paraId="0CEC37F2"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36,7</w:t>
            </w:r>
          </w:p>
        </w:tc>
        <w:tc>
          <w:tcPr>
            <w:tcW w:w="582" w:type="pct"/>
            <w:shd w:val="clear" w:color="auto" w:fill="FFFFFF" w:themeFill="background1"/>
            <w:noWrap/>
          </w:tcPr>
          <w:p w14:paraId="5D2AE6D9"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36,3</w:t>
            </w:r>
          </w:p>
        </w:tc>
      </w:tr>
      <w:tr w:rsidR="0039350E" w:rsidRPr="00DE058F" w14:paraId="7B735872" w14:textId="77777777" w:rsidTr="00953528">
        <w:trPr>
          <w:cnfStyle w:val="000000100000" w:firstRow="0" w:lastRow="0" w:firstColumn="0" w:lastColumn="0" w:oddVBand="0" w:evenVBand="0" w:oddHBand="1" w:evenHBand="0" w:firstRowFirstColumn="0" w:firstRowLastColumn="0" w:lastRowFirstColumn="0" w:lastRowLastColumn="0"/>
          <w:trHeight w:val="253"/>
        </w:trPr>
        <w:tc>
          <w:tcPr>
            <w:tcW w:w="2043" w:type="pct"/>
            <w:shd w:val="clear" w:color="auto" w:fill="FFFFFF" w:themeFill="background1"/>
          </w:tcPr>
          <w:p w14:paraId="27C0FE3B" w14:textId="77777777" w:rsidR="0039350E" w:rsidRPr="00DE058F" w:rsidRDefault="0039350E" w:rsidP="00C130D2">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Порез на доходак грађана</w:t>
            </w:r>
          </w:p>
        </w:tc>
        <w:tc>
          <w:tcPr>
            <w:tcW w:w="605" w:type="pct"/>
            <w:shd w:val="clear" w:color="auto" w:fill="FFFFFF" w:themeFill="background1"/>
          </w:tcPr>
          <w:p w14:paraId="31E5D854"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4,1</w:t>
            </w:r>
          </w:p>
        </w:tc>
        <w:tc>
          <w:tcPr>
            <w:tcW w:w="606" w:type="pct"/>
            <w:shd w:val="clear" w:color="auto" w:fill="FFFFFF" w:themeFill="background1"/>
            <w:noWrap/>
          </w:tcPr>
          <w:p w14:paraId="59A8DF83"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4,1</w:t>
            </w:r>
          </w:p>
        </w:tc>
        <w:tc>
          <w:tcPr>
            <w:tcW w:w="581" w:type="pct"/>
            <w:shd w:val="clear" w:color="auto" w:fill="FFFFFF" w:themeFill="background1"/>
            <w:noWrap/>
          </w:tcPr>
          <w:p w14:paraId="3E938BFE"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4,0</w:t>
            </w:r>
          </w:p>
        </w:tc>
        <w:tc>
          <w:tcPr>
            <w:tcW w:w="582" w:type="pct"/>
            <w:shd w:val="clear" w:color="auto" w:fill="FFFFFF" w:themeFill="background1"/>
            <w:noWrap/>
          </w:tcPr>
          <w:p w14:paraId="3D6E5C3A"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4,0</w:t>
            </w:r>
          </w:p>
        </w:tc>
        <w:tc>
          <w:tcPr>
            <w:tcW w:w="582" w:type="pct"/>
            <w:shd w:val="clear" w:color="auto" w:fill="FFFFFF" w:themeFill="background1"/>
            <w:noWrap/>
          </w:tcPr>
          <w:p w14:paraId="4DD4E573"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4,0</w:t>
            </w:r>
          </w:p>
        </w:tc>
      </w:tr>
      <w:tr w:rsidR="0039350E" w:rsidRPr="00DE058F" w14:paraId="6108E7F4" w14:textId="77777777" w:rsidTr="00953528">
        <w:trPr>
          <w:trHeight w:val="253"/>
        </w:trPr>
        <w:tc>
          <w:tcPr>
            <w:tcW w:w="2043" w:type="pct"/>
            <w:shd w:val="clear" w:color="auto" w:fill="FFFFFF" w:themeFill="background1"/>
          </w:tcPr>
          <w:p w14:paraId="13150E4B" w14:textId="77777777" w:rsidR="0039350E" w:rsidRPr="00DE058F" w:rsidRDefault="0039350E" w:rsidP="00C130D2">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Порез на добит правних лица</w:t>
            </w:r>
          </w:p>
        </w:tc>
        <w:tc>
          <w:tcPr>
            <w:tcW w:w="605" w:type="pct"/>
            <w:shd w:val="clear" w:color="auto" w:fill="FFFFFF" w:themeFill="background1"/>
          </w:tcPr>
          <w:p w14:paraId="29D216E8"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2,5</w:t>
            </w:r>
          </w:p>
        </w:tc>
        <w:tc>
          <w:tcPr>
            <w:tcW w:w="606" w:type="pct"/>
            <w:shd w:val="clear" w:color="auto" w:fill="FFFFFF" w:themeFill="background1"/>
            <w:noWrap/>
          </w:tcPr>
          <w:p w14:paraId="7BC59CF1"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2,1</w:t>
            </w:r>
          </w:p>
        </w:tc>
        <w:tc>
          <w:tcPr>
            <w:tcW w:w="581" w:type="pct"/>
            <w:shd w:val="clear" w:color="auto" w:fill="FFFFFF" w:themeFill="background1"/>
            <w:noWrap/>
          </w:tcPr>
          <w:p w14:paraId="6722C182"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2,1</w:t>
            </w:r>
          </w:p>
        </w:tc>
        <w:tc>
          <w:tcPr>
            <w:tcW w:w="582" w:type="pct"/>
            <w:shd w:val="clear" w:color="auto" w:fill="FFFFFF" w:themeFill="background1"/>
            <w:noWrap/>
          </w:tcPr>
          <w:p w14:paraId="3B669116"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2,1</w:t>
            </w:r>
          </w:p>
        </w:tc>
        <w:tc>
          <w:tcPr>
            <w:tcW w:w="582" w:type="pct"/>
            <w:shd w:val="clear" w:color="auto" w:fill="FFFFFF" w:themeFill="background1"/>
            <w:noWrap/>
          </w:tcPr>
          <w:p w14:paraId="68D8D24E"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2,1</w:t>
            </w:r>
          </w:p>
        </w:tc>
      </w:tr>
      <w:tr w:rsidR="0039350E" w:rsidRPr="00DE058F" w14:paraId="3CCDCBDF" w14:textId="77777777" w:rsidTr="00953528">
        <w:trPr>
          <w:cnfStyle w:val="000000100000" w:firstRow="0" w:lastRow="0" w:firstColumn="0" w:lastColumn="0" w:oddVBand="0" w:evenVBand="0" w:oddHBand="1" w:evenHBand="0" w:firstRowFirstColumn="0" w:firstRowLastColumn="0" w:lastRowFirstColumn="0" w:lastRowLastColumn="0"/>
          <w:trHeight w:val="253"/>
        </w:trPr>
        <w:tc>
          <w:tcPr>
            <w:tcW w:w="2043" w:type="pct"/>
            <w:shd w:val="clear" w:color="auto" w:fill="FFFFFF" w:themeFill="background1"/>
          </w:tcPr>
          <w:p w14:paraId="2DB771E1" w14:textId="77777777" w:rsidR="0039350E" w:rsidRPr="00DE058F" w:rsidRDefault="0039350E" w:rsidP="00C130D2">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ПДВ</w:t>
            </w:r>
          </w:p>
        </w:tc>
        <w:tc>
          <w:tcPr>
            <w:tcW w:w="605" w:type="pct"/>
            <w:shd w:val="clear" w:color="auto" w:fill="FFFFFF" w:themeFill="background1"/>
          </w:tcPr>
          <w:p w14:paraId="71989057"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10,5</w:t>
            </w:r>
          </w:p>
        </w:tc>
        <w:tc>
          <w:tcPr>
            <w:tcW w:w="606" w:type="pct"/>
            <w:shd w:val="clear" w:color="auto" w:fill="FFFFFF" w:themeFill="background1"/>
            <w:noWrap/>
          </w:tcPr>
          <w:p w14:paraId="04E63E03"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10,9</w:t>
            </w:r>
          </w:p>
        </w:tc>
        <w:tc>
          <w:tcPr>
            <w:tcW w:w="581" w:type="pct"/>
            <w:shd w:val="clear" w:color="auto" w:fill="FFFFFF" w:themeFill="background1"/>
            <w:noWrap/>
          </w:tcPr>
          <w:p w14:paraId="0FE5BBDB"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10,7</w:t>
            </w:r>
          </w:p>
        </w:tc>
        <w:tc>
          <w:tcPr>
            <w:tcW w:w="582" w:type="pct"/>
            <w:shd w:val="clear" w:color="auto" w:fill="FFFFFF" w:themeFill="background1"/>
            <w:noWrap/>
          </w:tcPr>
          <w:p w14:paraId="7B646DF6"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10,6</w:t>
            </w:r>
          </w:p>
        </w:tc>
        <w:tc>
          <w:tcPr>
            <w:tcW w:w="582" w:type="pct"/>
            <w:shd w:val="clear" w:color="auto" w:fill="FFFFFF" w:themeFill="background1"/>
            <w:noWrap/>
          </w:tcPr>
          <w:p w14:paraId="56DB796A"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10,4</w:t>
            </w:r>
          </w:p>
        </w:tc>
      </w:tr>
      <w:tr w:rsidR="0039350E" w:rsidRPr="00DE058F" w14:paraId="104FEFF8" w14:textId="77777777" w:rsidTr="00953528">
        <w:trPr>
          <w:trHeight w:val="253"/>
        </w:trPr>
        <w:tc>
          <w:tcPr>
            <w:tcW w:w="2043" w:type="pct"/>
            <w:shd w:val="clear" w:color="auto" w:fill="FFFFFF" w:themeFill="background1"/>
          </w:tcPr>
          <w:p w14:paraId="3E130739" w14:textId="77777777" w:rsidR="0039350E" w:rsidRPr="00DE058F" w:rsidRDefault="0039350E" w:rsidP="00C130D2">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Акцизе</w:t>
            </w:r>
          </w:p>
        </w:tc>
        <w:tc>
          <w:tcPr>
            <w:tcW w:w="605" w:type="pct"/>
            <w:shd w:val="clear" w:color="auto" w:fill="FFFFFF" w:themeFill="background1"/>
          </w:tcPr>
          <w:p w14:paraId="7B08EE0B"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5,3</w:t>
            </w:r>
          </w:p>
        </w:tc>
        <w:tc>
          <w:tcPr>
            <w:tcW w:w="606" w:type="pct"/>
            <w:shd w:val="clear" w:color="auto" w:fill="FFFFFF" w:themeFill="background1"/>
            <w:noWrap/>
          </w:tcPr>
          <w:p w14:paraId="20A1221F"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4,7</w:t>
            </w:r>
          </w:p>
        </w:tc>
        <w:tc>
          <w:tcPr>
            <w:tcW w:w="581" w:type="pct"/>
            <w:shd w:val="clear" w:color="auto" w:fill="FFFFFF" w:themeFill="background1"/>
            <w:noWrap/>
          </w:tcPr>
          <w:p w14:paraId="60A6B821"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4,7</w:t>
            </w:r>
          </w:p>
        </w:tc>
        <w:tc>
          <w:tcPr>
            <w:tcW w:w="582" w:type="pct"/>
            <w:shd w:val="clear" w:color="auto" w:fill="FFFFFF" w:themeFill="background1"/>
            <w:noWrap/>
          </w:tcPr>
          <w:p w14:paraId="76F2C504"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4,5</w:t>
            </w:r>
          </w:p>
        </w:tc>
        <w:tc>
          <w:tcPr>
            <w:tcW w:w="582" w:type="pct"/>
            <w:shd w:val="clear" w:color="auto" w:fill="FFFFFF" w:themeFill="background1"/>
            <w:noWrap/>
          </w:tcPr>
          <w:p w14:paraId="5A7D3465"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4,3</w:t>
            </w:r>
          </w:p>
        </w:tc>
      </w:tr>
      <w:tr w:rsidR="0039350E" w:rsidRPr="00DE058F" w14:paraId="4964B6B9" w14:textId="77777777" w:rsidTr="00953528">
        <w:trPr>
          <w:cnfStyle w:val="000000100000" w:firstRow="0" w:lastRow="0" w:firstColumn="0" w:lastColumn="0" w:oddVBand="0" w:evenVBand="0" w:oddHBand="1" w:evenHBand="0" w:firstRowFirstColumn="0" w:firstRowLastColumn="0" w:lastRowFirstColumn="0" w:lastRowLastColumn="0"/>
          <w:trHeight w:val="253"/>
        </w:trPr>
        <w:tc>
          <w:tcPr>
            <w:tcW w:w="2043" w:type="pct"/>
            <w:shd w:val="clear" w:color="auto" w:fill="FFFFFF" w:themeFill="background1"/>
          </w:tcPr>
          <w:p w14:paraId="65B5B86F" w14:textId="77777777" w:rsidR="0039350E" w:rsidRPr="00DE058F" w:rsidRDefault="0039350E" w:rsidP="00C130D2">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Царине</w:t>
            </w:r>
          </w:p>
        </w:tc>
        <w:tc>
          <w:tcPr>
            <w:tcW w:w="605" w:type="pct"/>
            <w:shd w:val="clear" w:color="auto" w:fill="FFFFFF" w:themeFill="background1"/>
          </w:tcPr>
          <w:p w14:paraId="07717523"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1,0</w:t>
            </w:r>
          </w:p>
        </w:tc>
        <w:tc>
          <w:tcPr>
            <w:tcW w:w="606" w:type="pct"/>
            <w:shd w:val="clear" w:color="auto" w:fill="FFFFFF" w:themeFill="background1"/>
            <w:noWrap/>
          </w:tcPr>
          <w:p w14:paraId="26A76807"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1,1</w:t>
            </w:r>
          </w:p>
        </w:tc>
        <w:tc>
          <w:tcPr>
            <w:tcW w:w="581" w:type="pct"/>
            <w:shd w:val="clear" w:color="auto" w:fill="FFFFFF" w:themeFill="background1"/>
            <w:noWrap/>
          </w:tcPr>
          <w:p w14:paraId="7F4EA3BD"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1,1</w:t>
            </w:r>
          </w:p>
        </w:tc>
        <w:tc>
          <w:tcPr>
            <w:tcW w:w="582" w:type="pct"/>
            <w:shd w:val="clear" w:color="auto" w:fill="FFFFFF" w:themeFill="background1"/>
            <w:noWrap/>
          </w:tcPr>
          <w:p w14:paraId="06EC89A4"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1,1</w:t>
            </w:r>
          </w:p>
        </w:tc>
        <w:tc>
          <w:tcPr>
            <w:tcW w:w="582" w:type="pct"/>
            <w:shd w:val="clear" w:color="auto" w:fill="FFFFFF" w:themeFill="background1"/>
            <w:noWrap/>
          </w:tcPr>
          <w:p w14:paraId="3B691558"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1,2</w:t>
            </w:r>
          </w:p>
        </w:tc>
      </w:tr>
      <w:tr w:rsidR="0039350E" w:rsidRPr="00DE058F" w14:paraId="79B14BF0" w14:textId="77777777" w:rsidTr="00953528">
        <w:trPr>
          <w:trHeight w:val="253"/>
        </w:trPr>
        <w:tc>
          <w:tcPr>
            <w:tcW w:w="2043" w:type="pct"/>
            <w:shd w:val="clear" w:color="auto" w:fill="FFFFFF" w:themeFill="background1"/>
          </w:tcPr>
          <w:p w14:paraId="37C2A44F" w14:textId="77777777" w:rsidR="0039350E" w:rsidRPr="00DE058F" w:rsidRDefault="0039350E" w:rsidP="00C130D2">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Остали порески приходи</w:t>
            </w:r>
          </w:p>
        </w:tc>
        <w:tc>
          <w:tcPr>
            <w:tcW w:w="605" w:type="pct"/>
            <w:shd w:val="clear" w:color="auto" w:fill="FFFFFF" w:themeFill="background1"/>
          </w:tcPr>
          <w:p w14:paraId="41264104"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1,5</w:t>
            </w:r>
          </w:p>
        </w:tc>
        <w:tc>
          <w:tcPr>
            <w:tcW w:w="606" w:type="pct"/>
            <w:shd w:val="clear" w:color="auto" w:fill="FFFFFF" w:themeFill="background1"/>
            <w:noWrap/>
          </w:tcPr>
          <w:p w14:paraId="739919E1"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1,4</w:t>
            </w:r>
          </w:p>
        </w:tc>
        <w:tc>
          <w:tcPr>
            <w:tcW w:w="581" w:type="pct"/>
            <w:shd w:val="clear" w:color="auto" w:fill="FFFFFF" w:themeFill="background1"/>
            <w:noWrap/>
          </w:tcPr>
          <w:p w14:paraId="5382CE5D"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1,4</w:t>
            </w:r>
          </w:p>
        </w:tc>
        <w:tc>
          <w:tcPr>
            <w:tcW w:w="582" w:type="pct"/>
            <w:shd w:val="clear" w:color="auto" w:fill="FFFFFF" w:themeFill="background1"/>
            <w:noWrap/>
          </w:tcPr>
          <w:p w14:paraId="5C33A8EA"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1,3</w:t>
            </w:r>
          </w:p>
        </w:tc>
        <w:tc>
          <w:tcPr>
            <w:tcW w:w="582" w:type="pct"/>
            <w:shd w:val="clear" w:color="auto" w:fill="FFFFFF" w:themeFill="background1"/>
            <w:noWrap/>
          </w:tcPr>
          <w:p w14:paraId="44E3FEC3"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1,3</w:t>
            </w:r>
          </w:p>
        </w:tc>
      </w:tr>
      <w:tr w:rsidR="0039350E" w:rsidRPr="00DE058F" w14:paraId="6C7150C0" w14:textId="77777777" w:rsidTr="00953528">
        <w:trPr>
          <w:cnfStyle w:val="000000100000" w:firstRow="0" w:lastRow="0" w:firstColumn="0" w:lastColumn="0" w:oddVBand="0" w:evenVBand="0" w:oddHBand="1" w:evenHBand="0" w:firstRowFirstColumn="0" w:firstRowLastColumn="0" w:lastRowFirstColumn="0" w:lastRowLastColumn="0"/>
          <w:trHeight w:val="253"/>
        </w:trPr>
        <w:tc>
          <w:tcPr>
            <w:tcW w:w="2043" w:type="pct"/>
            <w:shd w:val="clear" w:color="auto" w:fill="FFFFFF" w:themeFill="background1"/>
          </w:tcPr>
          <w:p w14:paraId="21BB32DF" w14:textId="77777777" w:rsidR="0039350E" w:rsidRPr="00DE058F" w:rsidRDefault="0039350E" w:rsidP="00C130D2">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Доприноси</w:t>
            </w:r>
          </w:p>
        </w:tc>
        <w:tc>
          <w:tcPr>
            <w:tcW w:w="605" w:type="pct"/>
            <w:shd w:val="clear" w:color="auto" w:fill="FFFFFF" w:themeFill="background1"/>
          </w:tcPr>
          <w:p w14:paraId="259B5215"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13,8</w:t>
            </w:r>
          </w:p>
        </w:tc>
        <w:tc>
          <w:tcPr>
            <w:tcW w:w="606" w:type="pct"/>
            <w:shd w:val="clear" w:color="auto" w:fill="FFFFFF" w:themeFill="background1"/>
            <w:noWrap/>
          </w:tcPr>
          <w:p w14:paraId="52A8A487"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13,5</w:t>
            </w:r>
          </w:p>
        </w:tc>
        <w:tc>
          <w:tcPr>
            <w:tcW w:w="581" w:type="pct"/>
            <w:shd w:val="clear" w:color="auto" w:fill="FFFFFF" w:themeFill="background1"/>
            <w:noWrap/>
          </w:tcPr>
          <w:p w14:paraId="2ABCB206"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13,2</w:t>
            </w:r>
          </w:p>
        </w:tc>
        <w:tc>
          <w:tcPr>
            <w:tcW w:w="582" w:type="pct"/>
            <w:shd w:val="clear" w:color="auto" w:fill="FFFFFF" w:themeFill="background1"/>
            <w:noWrap/>
          </w:tcPr>
          <w:p w14:paraId="240667FF"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13,1</w:t>
            </w:r>
          </w:p>
        </w:tc>
        <w:tc>
          <w:tcPr>
            <w:tcW w:w="582" w:type="pct"/>
            <w:shd w:val="clear" w:color="auto" w:fill="FFFFFF" w:themeFill="background1"/>
            <w:noWrap/>
          </w:tcPr>
          <w:p w14:paraId="24D076FB"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13,1</w:t>
            </w:r>
          </w:p>
        </w:tc>
      </w:tr>
      <w:tr w:rsidR="0039350E" w:rsidRPr="00DE058F" w14:paraId="4361C330" w14:textId="77777777" w:rsidTr="00953528">
        <w:trPr>
          <w:trHeight w:val="253"/>
        </w:trPr>
        <w:tc>
          <w:tcPr>
            <w:tcW w:w="2043" w:type="pct"/>
            <w:shd w:val="clear" w:color="auto" w:fill="FFFFFF" w:themeFill="background1"/>
          </w:tcPr>
          <w:p w14:paraId="5233C039" w14:textId="77777777" w:rsidR="0039350E" w:rsidRPr="00DE058F" w:rsidRDefault="0039350E" w:rsidP="00C130D2">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 xml:space="preserve"> Непорески приходи</w:t>
            </w:r>
          </w:p>
        </w:tc>
        <w:tc>
          <w:tcPr>
            <w:tcW w:w="605" w:type="pct"/>
            <w:shd w:val="clear" w:color="auto" w:fill="FFFFFF" w:themeFill="background1"/>
          </w:tcPr>
          <w:p w14:paraId="266228E5"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4,3</w:t>
            </w:r>
          </w:p>
        </w:tc>
        <w:tc>
          <w:tcPr>
            <w:tcW w:w="606" w:type="pct"/>
            <w:shd w:val="clear" w:color="auto" w:fill="FFFFFF" w:themeFill="background1"/>
            <w:noWrap/>
          </w:tcPr>
          <w:p w14:paraId="1EC79908"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3,8</w:t>
            </w:r>
          </w:p>
        </w:tc>
        <w:tc>
          <w:tcPr>
            <w:tcW w:w="581" w:type="pct"/>
            <w:shd w:val="clear" w:color="auto" w:fill="FFFFFF" w:themeFill="background1"/>
            <w:noWrap/>
          </w:tcPr>
          <w:p w14:paraId="6A469874"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3,7</w:t>
            </w:r>
          </w:p>
        </w:tc>
        <w:tc>
          <w:tcPr>
            <w:tcW w:w="582" w:type="pct"/>
            <w:shd w:val="clear" w:color="auto" w:fill="FFFFFF" w:themeFill="background1"/>
            <w:noWrap/>
          </w:tcPr>
          <w:p w14:paraId="31537E19"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3,6</w:t>
            </w:r>
          </w:p>
        </w:tc>
        <w:tc>
          <w:tcPr>
            <w:tcW w:w="582" w:type="pct"/>
            <w:shd w:val="clear" w:color="auto" w:fill="FFFFFF" w:themeFill="background1"/>
            <w:noWrap/>
          </w:tcPr>
          <w:p w14:paraId="6B194465"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3,4</w:t>
            </w:r>
          </w:p>
        </w:tc>
      </w:tr>
      <w:tr w:rsidR="0039350E" w:rsidRPr="00DE058F" w14:paraId="17F922B2" w14:textId="77777777" w:rsidTr="00953528">
        <w:trPr>
          <w:cnfStyle w:val="000000100000" w:firstRow="0" w:lastRow="0" w:firstColumn="0" w:lastColumn="0" w:oddVBand="0" w:evenVBand="0" w:oddHBand="1" w:evenHBand="0" w:firstRowFirstColumn="0" w:firstRowLastColumn="0" w:lastRowFirstColumn="0" w:lastRowLastColumn="0"/>
          <w:trHeight w:val="253"/>
        </w:trPr>
        <w:tc>
          <w:tcPr>
            <w:tcW w:w="2043" w:type="pct"/>
            <w:tcBorders>
              <w:bottom w:val="single" w:sz="4" w:space="0" w:color="002060"/>
            </w:tcBorders>
            <w:shd w:val="clear" w:color="auto" w:fill="FFFFFF" w:themeFill="background1"/>
          </w:tcPr>
          <w:p w14:paraId="1889E2E1" w14:textId="77777777" w:rsidR="0039350E" w:rsidRPr="00DE058F" w:rsidRDefault="0039350E" w:rsidP="00C130D2">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Донације</w:t>
            </w:r>
          </w:p>
        </w:tc>
        <w:tc>
          <w:tcPr>
            <w:tcW w:w="605" w:type="pct"/>
            <w:tcBorders>
              <w:bottom w:val="single" w:sz="4" w:space="0" w:color="002060"/>
            </w:tcBorders>
            <w:shd w:val="clear" w:color="auto" w:fill="FFFFFF" w:themeFill="background1"/>
          </w:tcPr>
          <w:p w14:paraId="7CD18E6D"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0,3</w:t>
            </w:r>
          </w:p>
        </w:tc>
        <w:tc>
          <w:tcPr>
            <w:tcW w:w="606" w:type="pct"/>
            <w:tcBorders>
              <w:bottom w:val="single" w:sz="4" w:space="0" w:color="002060"/>
            </w:tcBorders>
            <w:shd w:val="clear" w:color="auto" w:fill="FFFFFF" w:themeFill="background1"/>
            <w:noWrap/>
          </w:tcPr>
          <w:p w14:paraId="0E51F0C0"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0,4</w:t>
            </w:r>
          </w:p>
        </w:tc>
        <w:tc>
          <w:tcPr>
            <w:tcW w:w="581" w:type="pct"/>
            <w:tcBorders>
              <w:bottom w:val="single" w:sz="4" w:space="0" w:color="002060"/>
            </w:tcBorders>
            <w:shd w:val="clear" w:color="auto" w:fill="FFFFFF" w:themeFill="background1"/>
            <w:noWrap/>
          </w:tcPr>
          <w:p w14:paraId="788DA0AE"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0,3</w:t>
            </w:r>
          </w:p>
        </w:tc>
        <w:tc>
          <w:tcPr>
            <w:tcW w:w="582" w:type="pct"/>
            <w:tcBorders>
              <w:bottom w:val="single" w:sz="4" w:space="0" w:color="002060"/>
            </w:tcBorders>
            <w:shd w:val="clear" w:color="auto" w:fill="FFFFFF" w:themeFill="background1"/>
            <w:noWrap/>
          </w:tcPr>
          <w:p w14:paraId="6C5A367C"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0,3</w:t>
            </w:r>
          </w:p>
        </w:tc>
        <w:tc>
          <w:tcPr>
            <w:tcW w:w="582" w:type="pct"/>
            <w:tcBorders>
              <w:bottom w:val="single" w:sz="4" w:space="0" w:color="002060"/>
            </w:tcBorders>
            <w:shd w:val="clear" w:color="auto" w:fill="FFFFFF" w:themeFill="background1"/>
            <w:noWrap/>
          </w:tcPr>
          <w:p w14:paraId="5BE915E0" w14:textId="77777777" w:rsidR="0039350E" w:rsidRPr="00DE058F" w:rsidRDefault="0039350E" w:rsidP="00C130D2">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0,3</w:t>
            </w:r>
          </w:p>
        </w:tc>
      </w:tr>
    </w:tbl>
    <w:p w14:paraId="4BB4C4DB" w14:textId="77777777" w:rsidR="0039350E" w:rsidRPr="00DE058F" w:rsidRDefault="0039350E" w:rsidP="00953528">
      <w:pPr>
        <w:spacing w:before="40" w:after="120" w:line="276" w:lineRule="auto"/>
        <w:jc w:val="left"/>
        <w:rPr>
          <w:rFonts w:cstheme="minorHAnsi"/>
          <w:sz w:val="16"/>
          <w:szCs w:val="20"/>
          <w:lang w:val="sr-Cyrl-CS"/>
        </w:rPr>
        <w:sectPr w:rsidR="0039350E" w:rsidRPr="00DE058F" w:rsidSect="00953528">
          <w:type w:val="continuous"/>
          <w:pgSz w:w="12240" w:h="15840" w:code="1"/>
          <w:pgMar w:top="1440" w:right="1440" w:bottom="1440" w:left="1440" w:header="720" w:footer="720" w:gutter="0"/>
          <w:cols w:space="720"/>
          <w:docGrid w:linePitch="360"/>
        </w:sectPr>
      </w:pPr>
      <w:r w:rsidRPr="00DE058F">
        <w:rPr>
          <w:rFonts w:eastAsia="Calibri" w:cstheme="minorHAnsi"/>
          <w:bCs/>
          <w:sz w:val="16"/>
          <w:szCs w:val="20"/>
          <w:lang w:val="sr-Cyrl-CS" w:eastAsia="ja-JP"/>
        </w:rPr>
        <w:t xml:space="preserve">Извор: </w:t>
      </w:r>
      <w:r w:rsidRPr="00DE058F">
        <w:rPr>
          <w:rFonts w:cstheme="minorHAnsi"/>
          <w:sz w:val="16"/>
          <w:szCs w:val="20"/>
          <w:lang w:val="sr-Cyrl-CS"/>
        </w:rPr>
        <w:t>Министарство финансија</w:t>
      </w:r>
    </w:p>
    <w:p w14:paraId="70F0D641" w14:textId="77777777" w:rsidR="0039350E" w:rsidRPr="00DE058F" w:rsidRDefault="0039350E" w:rsidP="00B51E6D">
      <w:pPr>
        <w:spacing w:before="40" w:after="120" w:line="276" w:lineRule="auto"/>
        <w:rPr>
          <w:rFonts w:eastAsia="MS PGothic" w:cstheme="minorHAnsi"/>
          <w:szCs w:val="20"/>
          <w:lang w:val="sr-Cyrl-CS" w:eastAsia="ja-JP"/>
        </w:rPr>
      </w:pPr>
      <w:r w:rsidRPr="00DE058F">
        <w:rPr>
          <w:rFonts w:eastAsia="MS PGothic" w:cstheme="minorHAnsi"/>
          <w:szCs w:val="20"/>
          <w:lang w:val="sr-Cyrl-CS" w:eastAsia="ja-JP"/>
        </w:rPr>
        <w:t>Опадајући тренд прихода у смислу учешћа у БДП је очекиван с обзиром на пројектовану структуру средњорочног раста српске привреде. Наплата одложених обавеза из 2020. године је повећала ниво прихода изнад трендног у 2021. и 2022. години, али ће, такође, појачати ефекат пада учешћа прихода у БДП у 2023. години. Пројекција пореских прихода подразумева одржавање постојећег степена наплате.</w:t>
      </w:r>
    </w:p>
    <w:p w14:paraId="62586D81" w14:textId="77777777" w:rsidR="0039350E" w:rsidRPr="00DE058F" w:rsidRDefault="0039350E" w:rsidP="00953528">
      <w:pPr>
        <w:rPr>
          <w:rFonts w:eastAsia="MS PGothic" w:cstheme="minorHAnsi"/>
          <w:szCs w:val="20"/>
          <w:lang w:val="sr-Cyrl-CS" w:eastAsia="ja-JP"/>
        </w:rPr>
      </w:pPr>
      <w:r w:rsidRPr="00DE058F">
        <w:rPr>
          <w:rFonts w:eastAsia="MS PGothic" w:cstheme="minorHAnsi"/>
          <w:szCs w:val="20"/>
          <w:lang w:val="sr-Cyrl-CS" w:eastAsia="ja-JP"/>
        </w:rPr>
        <w:t xml:space="preserve">Преовлађујући облик пореза на доходак је порез на зараде, тако да су кретање масе зарада и запослености главни фактори који утичу на кретање овог пореског облика. Ове приходе је у 2022. години (као и у 2021.) увећала наплата дела одложеног пореза на зараде из 2020. године у склопу пакета мера у борби против пандемије. Очекивано повећање минималне зараде ће, </w:t>
      </w:r>
      <w:r w:rsidRPr="00DE058F">
        <w:rPr>
          <w:rFonts w:eastAsia="MS PGothic" w:cstheme="minorHAnsi"/>
          <w:szCs w:val="20"/>
          <w:lang w:val="sr-Cyrl-CS" w:eastAsia="ja-JP"/>
        </w:rPr>
        <w:t>такође, утицати на раст укупне масе зарада у привреди, а самим тим и на ову пореску категорију.</w:t>
      </w:r>
    </w:p>
    <w:p w14:paraId="756DCB4C" w14:textId="77777777" w:rsidR="0039350E" w:rsidRPr="00DE058F" w:rsidRDefault="0039350E" w:rsidP="00953528">
      <w:pPr>
        <w:rPr>
          <w:rFonts w:eastAsia="MS PGothic" w:cstheme="minorHAnsi"/>
          <w:szCs w:val="20"/>
          <w:lang w:val="sr-Cyrl-CS" w:eastAsia="ja-JP"/>
        </w:rPr>
      </w:pPr>
      <w:r w:rsidRPr="00DE058F">
        <w:rPr>
          <w:rFonts w:eastAsia="MS PGothic" w:cstheme="minorHAnsi"/>
          <w:szCs w:val="20"/>
          <w:lang w:val="sr-Cyrl-CS" w:eastAsia="ja-JP"/>
        </w:rPr>
        <w:t>Остали облици пореза на доходак (порез на дивиденде, порез на приходе од камата, годишњи порез на доходак, итд.) ће расти спорије, то јест у складу са кретањем опште економске активности, тако да се очекује стабилан ниво прихода по основу укупног пореза на доходак, у смислу учешћа у БДП. Код пореза на зараде кључна је борба против сиве економије, с обзиром на знатан број непријављених радника и исплате зарада „на руке”. У последњим годинама интензивиране су контроле и појачане санкције што је дало резултате у сузбијању сиве економије у области рада и запошљавања, али је значајно да се на овом пољу настави са континуираним ангажманом и у наредном периоду.</w:t>
      </w:r>
    </w:p>
    <w:p w14:paraId="101D0FDC" w14:textId="77777777" w:rsidR="0039350E" w:rsidRPr="00DE058F" w:rsidRDefault="0039350E" w:rsidP="00953528">
      <w:pPr>
        <w:rPr>
          <w:rFonts w:eastAsia="MS PGothic" w:cstheme="minorHAnsi"/>
          <w:szCs w:val="20"/>
          <w:lang w:val="sr-Cyrl-CS" w:eastAsia="ja-JP"/>
        </w:rPr>
      </w:pPr>
      <w:r w:rsidRPr="00DE058F">
        <w:rPr>
          <w:rFonts w:eastAsia="MS PGothic" w:cstheme="minorHAnsi"/>
          <w:szCs w:val="20"/>
          <w:lang w:val="sr-Cyrl-CS" w:eastAsia="ja-JP"/>
        </w:rPr>
        <w:lastRenderedPageBreak/>
        <w:t>Кретање учешћа доприноса у БДП има сличну путању као и кретање учешћа пореза на зараде, с обзиром да су за њихову пројекцију коришћене исте претпоставке о кретању зарада и запослености. Део прихода од наплате одложених доприноса из 2020. године неће бити на располагању у 2023. години. Доприноси су пореска категорија код које је најизраженија пореска недисциплина и регистрован највећи дуг пореских обвезника, те су последице евентуалног повећања фискалне недисциплине највидљивије код овог пореског облика.</w:t>
      </w:r>
    </w:p>
    <w:p w14:paraId="45F6181B" w14:textId="74C344E0" w:rsidR="0039350E" w:rsidRPr="00DE058F" w:rsidRDefault="0039350E" w:rsidP="00953528">
      <w:pPr>
        <w:rPr>
          <w:rFonts w:eastAsia="MS PGothic" w:cstheme="minorHAnsi"/>
          <w:szCs w:val="20"/>
          <w:lang w:val="sr-Cyrl-CS" w:eastAsia="ja-JP"/>
        </w:rPr>
      </w:pPr>
      <w:r w:rsidRPr="00DE058F">
        <w:rPr>
          <w:rFonts w:eastAsia="MS PGothic" w:cstheme="minorHAnsi"/>
          <w:szCs w:val="20"/>
          <w:lang w:val="sr-Cyrl-CS" w:eastAsia="ja-JP"/>
        </w:rPr>
        <w:t>Приходи од пореза на добит правних лица у периоду 2023 – 2025. године зависиће од путање привредног раста, релативне стабилности курса динара и опште профитабилности привреде. Процена прихода по овом основу може бити неизвесна како због економских фактора, тако и због могућности коришћења пореског кредита или повраћаја, као и разлика у рачуноводственим и пореским билансима. Раст профитабилности привреде у 2020. години, и поред успоравања макроекономских активности, допринео је значајном скоку прихода од пореза на добит у 2021. години с обзиром да се део ових прихода у 2021. години односи на пренете обавезе из 2020. године. Очекује се да се у периоду 2022</w:t>
      </w:r>
      <w:r w:rsidR="002165A3" w:rsidRPr="00DE058F">
        <w:rPr>
          <w:rFonts w:eastAsia="MS PGothic" w:cstheme="minorHAnsi"/>
          <w:szCs w:val="20"/>
          <w:lang w:val="sr-Cyrl-CS" w:eastAsia="ja-JP"/>
        </w:rPr>
        <w:t>–</w:t>
      </w:r>
      <w:r w:rsidRPr="00DE058F">
        <w:rPr>
          <w:rFonts w:eastAsia="MS PGothic" w:cstheme="minorHAnsi"/>
          <w:szCs w:val="20"/>
          <w:lang w:val="sr-Cyrl-CS" w:eastAsia="ja-JP"/>
        </w:rPr>
        <w:t>2025. године наплата пореза на добит стабилизује у складу са кретањем БДП.</w:t>
      </w:r>
    </w:p>
    <w:p w14:paraId="0D078B98" w14:textId="77777777" w:rsidR="0039350E" w:rsidRPr="00DE058F" w:rsidRDefault="0039350E" w:rsidP="00953528">
      <w:pPr>
        <w:rPr>
          <w:rFonts w:eastAsia="MS PGothic" w:cstheme="minorHAnsi"/>
          <w:szCs w:val="20"/>
          <w:lang w:val="sr-Cyrl-CS" w:eastAsia="ja-JP"/>
        </w:rPr>
      </w:pPr>
      <w:r w:rsidRPr="00DE058F">
        <w:rPr>
          <w:rFonts w:eastAsia="MS PGothic" w:cstheme="minorHAnsi"/>
          <w:szCs w:val="20"/>
          <w:lang w:val="sr-Cyrl-CS" w:eastAsia="ja-JP"/>
        </w:rPr>
        <w:t>Главна детерминанта кретања ПДВ је домаћа тражња вођена расположивим дохотком становништва. Расположиви доходак као највећа детерминанта потрошње зависи од кретања зарада у јавном сектору, пензија, социјалне помоћи, кретања масе зарада у приватном сектору и осталих облика доходака, укључујући и дознаке, као и од динамике кредитне активности банака према становништву.</w:t>
      </w:r>
    </w:p>
    <w:p w14:paraId="7582FA24" w14:textId="6B5001A2" w:rsidR="0039350E" w:rsidRPr="00DE058F" w:rsidRDefault="0039350E" w:rsidP="00953528">
      <w:pPr>
        <w:rPr>
          <w:rFonts w:eastAsia="MS PGothic" w:cstheme="minorHAnsi"/>
          <w:szCs w:val="20"/>
          <w:lang w:val="sr-Cyrl-CS" w:eastAsia="ja-JP"/>
        </w:rPr>
      </w:pPr>
      <w:r w:rsidRPr="00DE058F">
        <w:rPr>
          <w:rFonts w:eastAsia="MS PGothic" w:cstheme="minorHAnsi"/>
          <w:szCs w:val="20"/>
          <w:lang w:val="sr-Cyrl-CS" w:eastAsia="ja-JP"/>
        </w:rPr>
        <w:t>У 2022. години неколико фактора је утицало на снажнији раст личне потрошње од очекиваног што је допринело ванредном повећању прихода од ПДВ, као што су стимулативне мере државе и одложена потрошња из претходних година.</w:t>
      </w:r>
    </w:p>
    <w:p w14:paraId="3CC3328F" w14:textId="77777777" w:rsidR="0039350E" w:rsidRPr="00DE058F" w:rsidRDefault="0039350E" w:rsidP="00953528">
      <w:pPr>
        <w:rPr>
          <w:rFonts w:eastAsia="MS PGothic" w:cstheme="minorHAnsi"/>
          <w:szCs w:val="20"/>
          <w:lang w:val="sr-Cyrl-CS" w:eastAsia="ja-JP"/>
        </w:rPr>
      </w:pPr>
      <w:r w:rsidRPr="00DE058F">
        <w:rPr>
          <w:rFonts w:eastAsia="MS PGothic" w:cstheme="minorHAnsi"/>
          <w:szCs w:val="20"/>
          <w:lang w:val="sr-Cyrl-CS" w:eastAsia="ja-JP"/>
        </w:rPr>
        <w:t xml:space="preserve">Као и код пореза на доходак грађана, ризици за остварење пројекције ПДВ у наредном периоду, поред неизвесности у вези пандемије, односе се </w:t>
      </w:r>
      <w:r w:rsidRPr="00DE058F">
        <w:rPr>
          <w:rFonts w:eastAsia="MS PGothic" w:cstheme="minorHAnsi"/>
          <w:szCs w:val="20"/>
          <w:lang w:val="sr-Cyrl-CS" w:eastAsia="ja-JP"/>
        </w:rPr>
        <w:t>на кретање зарада у приватном сектору, раст привредне активности, као и на степен сиве економије, односно ефикасност у њеном смањењу.</w:t>
      </w:r>
    </w:p>
    <w:p w14:paraId="27777EFA" w14:textId="77777777" w:rsidR="0039350E" w:rsidRPr="00DE058F" w:rsidRDefault="0039350E" w:rsidP="00953528">
      <w:pPr>
        <w:rPr>
          <w:rFonts w:eastAsia="MS PGothic" w:cstheme="minorHAnsi"/>
          <w:szCs w:val="20"/>
          <w:lang w:val="sr-Cyrl-CS" w:eastAsia="ja-JP"/>
        </w:rPr>
      </w:pPr>
      <w:r w:rsidRPr="00DE058F">
        <w:rPr>
          <w:rFonts w:eastAsia="MS PGothic" w:cstheme="minorHAnsi"/>
          <w:szCs w:val="20"/>
          <w:lang w:val="sr-Cyrl-CS" w:eastAsia="ja-JP"/>
        </w:rPr>
        <w:t>Резултати ефикасније наплате и контроле пореских обвезника су били евидентни у претходном периоду и очекује се да ће тај тренд бити настављен и даље, с тим што ефекти борбе против сиве економије нису експлицитно укључени у средњорочну пројекцију јавних прихода. Повећање степена ПДВ наплате у смислу спровођења независних антиевазионих мера у области ПДВ дало је резултате у протеклом периоду. У овом сегменту простор за даља побољшања створиће се јачањем и модернизацијом пореске администрације.</w:t>
      </w:r>
    </w:p>
    <w:p w14:paraId="2E4F0D4B" w14:textId="77777777" w:rsidR="0039350E" w:rsidRPr="00DE058F" w:rsidRDefault="0039350E" w:rsidP="00953528">
      <w:pPr>
        <w:rPr>
          <w:rFonts w:eastAsia="MS PGothic" w:cstheme="minorHAnsi"/>
          <w:szCs w:val="20"/>
          <w:lang w:val="sr-Cyrl-CS" w:eastAsia="ja-JP"/>
        </w:rPr>
      </w:pPr>
      <w:r w:rsidRPr="00DE058F">
        <w:rPr>
          <w:rFonts w:eastAsia="MS PGothic" w:cstheme="minorHAnsi"/>
          <w:szCs w:val="20"/>
          <w:lang w:val="sr-Cyrl-CS" w:eastAsia="ja-JP"/>
        </w:rPr>
        <w:t>Пројекција прихода од акциза сачињена је на основу важеће акцизне политике и пројектоване потрошње акцизних производа. У оквиру акцизне политике код дуванских производа очекује се даље постепено усклађивање са директивама ЕУ у складу са средњорочним планом поступног повећавања акцизног оптерећења. Код цигарета оно ће бити усмерено кроз постепено повећање акциза, како би се у прихватљивом временском року достигао ЕУ минимум од 1,8 евра по паклици</w:t>
      </w:r>
      <w:r w:rsidRPr="00DE058F">
        <w:rPr>
          <w:lang w:val="sr-Cyrl-CS"/>
        </w:rPr>
        <w:t xml:space="preserve"> </w:t>
      </w:r>
      <w:r w:rsidRPr="00DE058F">
        <w:rPr>
          <w:rFonts w:eastAsia="MS PGothic" w:cstheme="minorHAnsi"/>
          <w:szCs w:val="20"/>
          <w:lang w:val="sr-Cyrl-CS" w:eastAsia="ja-JP"/>
        </w:rPr>
        <w:t>у динарској противвредности прерачунато по званичном средњем курсу НБС. У наредном периоду је за потребе пројекције прихода од акциза, услед опрезности, предвиђен даљи природан пад тржишта дуванских производа, у просеку од око 3% годишње. За разлику од дуванских производа ситуација на тржишту нафтних деривата је знатно мање волатилна. Боља контрола и ефекти маркирања нафтних деривата смањили су могућност и исплативост нелегалних активности. У наредним годинама, услед опрезности, није претпостављен наставак раста потрошње нафтних деривата иако се очекује убрзање економске активности које ће допринети расту потрошње. Приходи од акциза на алкохолна пића, кафу и електричну енергију су пројектовани у складу са постојећом структуром потрошње. Тренутни номинални износи акциза на алкохолна пића и кафу усклађени су са очекиваним износима стопе инфлације у средњорочном периоду. Усклађивање акциза на алкохолна пића у складу са директивом ЕУ нема значајне фискалне ефекте.</w:t>
      </w:r>
    </w:p>
    <w:p w14:paraId="29BDD33C" w14:textId="77777777" w:rsidR="0039350E" w:rsidRPr="00DE058F" w:rsidRDefault="0039350E" w:rsidP="00953528">
      <w:pPr>
        <w:rPr>
          <w:rFonts w:eastAsia="MS PGothic" w:cstheme="minorHAnsi"/>
          <w:szCs w:val="20"/>
          <w:lang w:val="sr-Cyrl-CS" w:eastAsia="ja-JP"/>
        </w:rPr>
      </w:pPr>
      <w:r w:rsidRPr="00DE058F">
        <w:rPr>
          <w:rFonts w:eastAsia="MS PGothic" w:cstheme="minorHAnsi"/>
          <w:szCs w:val="20"/>
          <w:lang w:val="sr-Cyrl-CS" w:eastAsia="ja-JP"/>
        </w:rPr>
        <w:lastRenderedPageBreak/>
        <w:t>Приходи од царина ће се стабилизовати на нивоу од 1,1% БДП у наредном периоду. Пројекција наплате прихода од царина рађена је на бази пројектованог кретања увоза, девизног курса и потрошње.</w:t>
      </w:r>
    </w:p>
    <w:p w14:paraId="725D683B" w14:textId="77777777" w:rsidR="0039350E" w:rsidRPr="00DE058F" w:rsidRDefault="0039350E" w:rsidP="00953528">
      <w:pPr>
        <w:rPr>
          <w:rFonts w:eastAsia="MS PGothic" w:cstheme="minorHAnsi"/>
          <w:szCs w:val="20"/>
          <w:lang w:val="sr-Cyrl-CS" w:eastAsia="ja-JP"/>
        </w:rPr>
      </w:pPr>
      <w:r w:rsidRPr="00DE058F">
        <w:rPr>
          <w:rFonts w:eastAsia="MS PGothic" w:cstheme="minorHAnsi"/>
          <w:szCs w:val="20"/>
          <w:lang w:val="sr-Cyrl-CS" w:eastAsia="ja-JP"/>
        </w:rPr>
        <w:t>Пројектује се стабилизација учешћа у БДП осталих пореских прихода. Најзначајнији порески приход у овој категорији је порез на имовину чије учешће износи око 70%. Номинално повећање овог прихода може се очекивати по основу проширења основице. Повећање степена наплате, кроз повећање обухвата непокретности на које се порез плаћа (то јест по основу проширења пореске базе), није укључено у пројекције у средњем року и представља позитиван ризик. Поред пореза на имовину, у остале пореске приходе укључују се и порези на употребу, држање и ношење добара, те други облици пореза на локалном нивоу. Они су пројектовани у складу са кретањем инфлације, будући да је инфлаторна компонента уграђена у значајан део ових пореских облика.</w:t>
      </w:r>
    </w:p>
    <w:p w14:paraId="04748B8F" w14:textId="77777777" w:rsidR="0039350E" w:rsidRPr="00DE058F" w:rsidRDefault="0039350E" w:rsidP="00953528">
      <w:pPr>
        <w:rPr>
          <w:rFonts w:eastAsia="MS PGothic" w:cstheme="minorHAnsi"/>
          <w:szCs w:val="20"/>
          <w:lang w:val="sr-Cyrl-CS" w:eastAsia="ja-JP"/>
        </w:rPr>
      </w:pPr>
      <w:r w:rsidRPr="00DE058F">
        <w:rPr>
          <w:rFonts w:eastAsia="MS PGothic" w:cstheme="minorHAnsi"/>
          <w:szCs w:val="20"/>
          <w:lang w:val="sr-Cyrl-CS" w:eastAsia="ja-JP"/>
        </w:rPr>
        <w:t xml:space="preserve">Предвиђено је смањење учешћа непореских прихода у БДП, са 4,3% колико је приходовано у 2021. години на 3,4% колико се очекује да ће износити у 2025. години. Разлог за смањење пројектованог учешћа непореских прихода у БДП је искључивање из базне </w:t>
      </w:r>
      <w:r w:rsidRPr="00DE058F">
        <w:rPr>
          <w:rFonts w:eastAsia="MS PGothic" w:cstheme="minorHAnsi"/>
          <w:szCs w:val="20"/>
          <w:shd w:val="clear" w:color="auto" w:fill="FFFFFF" w:themeFill="background1"/>
          <w:lang w:val="sr-Cyrl-CS" w:eastAsia="ja-JP"/>
        </w:rPr>
        <w:t>2022.</w:t>
      </w:r>
      <w:r w:rsidRPr="00DE058F">
        <w:rPr>
          <w:rFonts w:eastAsia="MS PGothic" w:cstheme="minorHAnsi"/>
          <w:szCs w:val="20"/>
          <w:lang w:val="sr-Cyrl-CS" w:eastAsia="ja-JP"/>
        </w:rPr>
        <w:t xml:space="preserve"> године свих оних прихода који се не сматрају структурним тј. трајним, а првенствено се то односи на ванредне категорије непореских прихода. Ванредни непорески приходи су углавном једнократни, у одређеној мери неизвесни, како по питању износа, тако и по питању тренутка уплате. Највећи део ових прихода представљају ванредне уплате добити јавних предузећа и агенција, дивиденде </w:t>
      </w:r>
      <w:r w:rsidRPr="00DE058F">
        <w:rPr>
          <w:rFonts w:eastAsia="MS PGothic" w:cstheme="minorHAnsi"/>
          <w:szCs w:val="20"/>
          <w:lang w:val="sr-Cyrl-CS" w:eastAsia="ja-JP"/>
        </w:rPr>
        <w:t>буџета, приходи по основу наплаћених потраживања АОД, емисионе премије, итд. Редовни непорески приходи обухватају различите таксе, накнаде, казне, приходе органа и организација и све остале приходе који се остварују устаљеном динамиком током године. Ови непорески приходи индексирају се са оствареном инфлацијом у претходној години, или пак прате промену у вредности основе на које се примењују и услед тога се коригују пројектованом инфлацијом.</w:t>
      </w:r>
    </w:p>
    <w:p w14:paraId="061AA4A0" w14:textId="77777777" w:rsidR="0039350E" w:rsidRPr="00DE058F" w:rsidRDefault="0039350E" w:rsidP="00953528">
      <w:pPr>
        <w:rPr>
          <w:rFonts w:eastAsia="MS PGothic" w:cstheme="minorHAnsi"/>
          <w:szCs w:val="20"/>
          <w:lang w:val="sr-Cyrl-CS" w:eastAsia="ja-JP"/>
        </w:rPr>
      </w:pPr>
      <w:r w:rsidRPr="00DE058F">
        <w:rPr>
          <w:rFonts w:eastAsia="MS PGothic" w:cstheme="minorHAnsi"/>
          <w:szCs w:val="20"/>
          <w:lang w:val="sr-Cyrl-CS" w:eastAsia="ja-JP"/>
        </w:rPr>
        <w:t>Процесом приближавања државе чланству у ЕУ повећавају се расположива средства из ИПА и ИПАРД фондова која чине преовлађујући део прихода од донација. У пројектоване износе по основу донација укључена су и средства по основу секторске буџетске подршке ЕУ. Приходи по основу донација су неутрални у односу на резултат, с обзиром да су једнаки расходима по овом основу.</w:t>
      </w:r>
    </w:p>
    <w:p w14:paraId="472A4007" w14:textId="77777777" w:rsidR="0039350E" w:rsidRPr="00DE058F" w:rsidRDefault="0039350E" w:rsidP="00953528">
      <w:pPr>
        <w:rPr>
          <w:rFonts w:eastAsia="MS PGothic" w:cstheme="minorHAnsi"/>
          <w:szCs w:val="20"/>
          <w:lang w:val="sr-Cyrl-CS" w:eastAsia="ja-JP"/>
        </w:rPr>
      </w:pPr>
      <w:r w:rsidRPr="00DE058F">
        <w:rPr>
          <w:rFonts w:eastAsia="MS PGothic" w:cstheme="minorHAnsi"/>
          <w:szCs w:val="20"/>
          <w:lang w:val="sr-Cyrl-CS" w:eastAsia="ja-JP"/>
        </w:rPr>
        <w:t xml:space="preserve">Одговорном фискалном политиком у комбинацији са добрим макроекономским перформансама у протеклом периоду обезбеђено је релаксирање политике плата и пензија и значајно повећање капиталних инвестиција као битне компоненте развоја привреде. Посебна пажња је посвећена унапређењу ефикасности реализације капиталних инвестиција државе. Социјална компонента буџета је побољшана бољим таргетирањем програма социјалне помоћи и већим издвајањем за функције здравства и образовања. Дефинисан је и начин индексације пензија. Плате и пензије заједно чине преко </w:t>
      </w:r>
      <w:r w:rsidRPr="00DE058F">
        <w:rPr>
          <w:rFonts w:eastAsia="MS PGothic" w:cstheme="minorHAnsi"/>
          <w:szCs w:val="20"/>
          <w:shd w:val="clear" w:color="auto" w:fill="FFFFFF" w:themeFill="background1"/>
          <w:lang w:val="sr-Cyrl-CS" w:eastAsia="ja-JP"/>
        </w:rPr>
        <w:t>40%</w:t>
      </w:r>
      <w:r w:rsidRPr="00DE058F">
        <w:rPr>
          <w:rFonts w:eastAsia="MS PGothic" w:cstheme="minorHAnsi"/>
          <w:szCs w:val="20"/>
          <w:lang w:val="sr-Cyrl-CS" w:eastAsia="ja-JP"/>
        </w:rPr>
        <w:t xml:space="preserve"> расхода на нивоу опште државе и њихова стабилизација је од пресудног значаја за одрживост јавних финансија.</w:t>
      </w:r>
    </w:p>
    <w:p w14:paraId="3AE72555" w14:textId="77777777" w:rsidR="0039350E" w:rsidRPr="00DE058F" w:rsidRDefault="0039350E" w:rsidP="00953528">
      <w:pPr>
        <w:rPr>
          <w:rFonts w:eastAsia="MS PGothic" w:cstheme="minorHAnsi"/>
          <w:szCs w:val="20"/>
          <w:lang w:val="sr-Cyrl-CS" w:eastAsia="ja-JP"/>
        </w:rPr>
        <w:sectPr w:rsidR="0039350E" w:rsidRPr="00DE058F" w:rsidSect="00953528">
          <w:type w:val="continuous"/>
          <w:pgSz w:w="12240" w:h="15840" w:code="1"/>
          <w:pgMar w:top="1440" w:right="1440" w:bottom="1440" w:left="1440" w:header="720" w:footer="720" w:gutter="0"/>
          <w:cols w:num="2" w:space="720"/>
          <w:docGrid w:linePitch="360"/>
        </w:sectPr>
      </w:pPr>
    </w:p>
    <w:p w14:paraId="50901115" w14:textId="77777777" w:rsidR="0039350E" w:rsidRPr="00DE058F" w:rsidRDefault="0039350E" w:rsidP="00953528">
      <w:pPr>
        <w:rPr>
          <w:rFonts w:eastAsia="MS PGothic" w:cstheme="minorHAnsi"/>
          <w:szCs w:val="20"/>
          <w:lang w:val="sr-Cyrl-CS" w:eastAsia="ja-JP"/>
        </w:rPr>
      </w:pPr>
    </w:p>
    <w:p w14:paraId="41EC3F5A" w14:textId="4AD07EA9" w:rsidR="0039350E" w:rsidRPr="00DE058F" w:rsidRDefault="0039350E" w:rsidP="005E54B2">
      <w:pPr>
        <w:keepNext/>
        <w:spacing w:after="120" w:line="276" w:lineRule="auto"/>
        <w:jc w:val="center"/>
        <w:rPr>
          <w:rFonts w:eastAsia="MS PGothic" w:cstheme="minorHAnsi"/>
          <w:b/>
          <w:color w:val="002060"/>
          <w:szCs w:val="20"/>
          <w:lang w:val="sr-Cyrl-CS" w:eastAsia="ja-JP"/>
        </w:rPr>
      </w:pPr>
      <w:r w:rsidRPr="00DE058F">
        <w:rPr>
          <w:rFonts w:eastAsia="MS PGothic" w:cstheme="minorHAnsi"/>
          <w:b/>
          <w:color w:val="002060"/>
          <w:szCs w:val="20"/>
          <w:lang w:val="sr-Cyrl-CS" w:eastAsia="ja-JP"/>
        </w:rPr>
        <w:lastRenderedPageBreak/>
        <w:t>Табела 1</w:t>
      </w:r>
      <w:r w:rsidR="00623E62" w:rsidRPr="00DE058F">
        <w:rPr>
          <w:rFonts w:eastAsia="MS PGothic" w:cstheme="minorHAnsi"/>
          <w:b/>
          <w:color w:val="002060"/>
          <w:szCs w:val="20"/>
          <w:lang w:val="sr-Cyrl-CS" w:eastAsia="ja-JP"/>
        </w:rPr>
        <w:t>1</w:t>
      </w:r>
      <w:r w:rsidRPr="00DE058F">
        <w:rPr>
          <w:rFonts w:eastAsia="MS PGothic" w:cstheme="minorHAnsi"/>
          <w:b/>
          <w:color w:val="002060"/>
          <w:szCs w:val="20"/>
          <w:lang w:val="sr-Cyrl-CS" w:eastAsia="ja-JP"/>
        </w:rPr>
        <w:t>. Укупни расходи у периоду 2021–2025. године, % БДП</w:t>
      </w:r>
    </w:p>
    <w:tbl>
      <w:tblPr>
        <w:tblStyle w:val="LightShading-Accent1221"/>
        <w:tblW w:w="4952" w:type="pct"/>
        <w:tblLook w:val="0420" w:firstRow="1" w:lastRow="0" w:firstColumn="0" w:lastColumn="0" w:noHBand="0" w:noVBand="1"/>
      </w:tblPr>
      <w:tblGrid>
        <w:gridCol w:w="3647"/>
        <w:gridCol w:w="1194"/>
        <w:gridCol w:w="1194"/>
        <w:gridCol w:w="1077"/>
        <w:gridCol w:w="1077"/>
        <w:gridCol w:w="1081"/>
      </w:tblGrid>
      <w:tr w:rsidR="0039350E" w:rsidRPr="00DE058F" w14:paraId="4BE31C85" w14:textId="77777777" w:rsidTr="001940DA">
        <w:trPr>
          <w:cnfStyle w:val="100000000000" w:firstRow="1" w:lastRow="0" w:firstColumn="0" w:lastColumn="0" w:oddVBand="0" w:evenVBand="0" w:oddHBand="0" w:evenHBand="0" w:firstRowFirstColumn="0" w:firstRowLastColumn="0" w:lastRowFirstColumn="0" w:lastRowLastColumn="0"/>
          <w:trHeight w:val="49"/>
        </w:trPr>
        <w:tc>
          <w:tcPr>
            <w:tcW w:w="1967" w:type="pct"/>
            <w:tcBorders>
              <w:top w:val="single" w:sz="4" w:space="0" w:color="002060"/>
              <w:bottom w:val="single" w:sz="4" w:space="0" w:color="002060"/>
            </w:tcBorders>
            <w:noWrap/>
            <w:vAlign w:val="center"/>
          </w:tcPr>
          <w:p w14:paraId="1F4728AE" w14:textId="77777777" w:rsidR="0039350E" w:rsidRPr="00DE058F" w:rsidRDefault="0039350E" w:rsidP="00C130D2">
            <w:pPr>
              <w:keepNext/>
              <w:widowControl w:val="0"/>
              <w:shd w:val="clear" w:color="auto" w:fill="FFFFFF" w:themeFill="background1"/>
              <w:spacing w:line="276" w:lineRule="auto"/>
              <w:rPr>
                <w:rFonts w:asciiTheme="minorHAnsi" w:eastAsia="Times New Roman" w:hAnsiTheme="minorHAnsi" w:cstheme="minorHAnsi"/>
                <w:b w:val="0"/>
                <w:color w:val="002060"/>
                <w:sz w:val="18"/>
                <w:szCs w:val="18"/>
                <w:lang w:val="sr-Cyrl-CS"/>
              </w:rPr>
            </w:pPr>
            <w:r w:rsidRPr="00DE058F">
              <w:rPr>
                <w:rFonts w:asciiTheme="minorHAnsi" w:hAnsiTheme="minorHAnsi" w:cstheme="minorHAnsi"/>
                <w:b w:val="0"/>
                <w:color w:val="002060"/>
                <w:sz w:val="18"/>
                <w:lang w:val="sr-Cyrl-CS"/>
              </w:rPr>
              <w:t>Опис</w:t>
            </w:r>
          </w:p>
        </w:tc>
        <w:tc>
          <w:tcPr>
            <w:tcW w:w="644" w:type="pct"/>
            <w:tcBorders>
              <w:top w:val="single" w:sz="4" w:space="0" w:color="002060"/>
              <w:bottom w:val="single" w:sz="4" w:space="0" w:color="002060"/>
            </w:tcBorders>
            <w:vAlign w:val="center"/>
          </w:tcPr>
          <w:p w14:paraId="07F04B8B" w14:textId="77777777" w:rsidR="0039350E" w:rsidRPr="00DE058F" w:rsidRDefault="0039350E" w:rsidP="00C130D2">
            <w:pPr>
              <w:keepNext/>
              <w:widowControl w:val="0"/>
              <w:shd w:val="clear" w:color="auto" w:fill="FFFFFF" w:themeFill="background1"/>
              <w:spacing w:line="276" w:lineRule="auto"/>
              <w:jc w:val="right"/>
              <w:rPr>
                <w:rFonts w:asciiTheme="minorHAnsi" w:eastAsia="Times New Roman" w:hAnsiTheme="minorHAnsi" w:cstheme="minorHAnsi"/>
                <w:b w:val="0"/>
                <w:color w:val="002060"/>
                <w:sz w:val="18"/>
                <w:szCs w:val="18"/>
                <w:lang w:val="sr-Cyrl-CS"/>
              </w:rPr>
            </w:pPr>
            <w:r w:rsidRPr="00DE058F">
              <w:rPr>
                <w:rFonts w:asciiTheme="minorHAnsi" w:hAnsiTheme="minorHAnsi" w:cstheme="minorHAnsi"/>
                <w:b w:val="0"/>
                <w:color w:val="002060"/>
                <w:sz w:val="18"/>
                <w:lang w:val="sr-Cyrl-CS"/>
              </w:rPr>
              <w:t>Извршење</w:t>
            </w:r>
          </w:p>
        </w:tc>
        <w:tc>
          <w:tcPr>
            <w:tcW w:w="644" w:type="pct"/>
            <w:tcBorders>
              <w:top w:val="single" w:sz="4" w:space="0" w:color="002060"/>
              <w:bottom w:val="single" w:sz="4" w:space="0" w:color="002060"/>
            </w:tcBorders>
            <w:vAlign w:val="center"/>
          </w:tcPr>
          <w:p w14:paraId="288ECD0B" w14:textId="77777777" w:rsidR="0039350E" w:rsidRPr="00DE058F" w:rsidRDefault="0039350E" w:rsidP="00C130D2">
            <w:pPr>
              <w:keepNext/>
              <w:widowControl w:val="0"/>
              <w:shd w:val="clear" w:color="auto" w:fill="FFFFFF" w:themeFill="background1"/>
              <w:spacing w:line="276" w:lineRule="auto"/>
              <w:jc w:val="right"/>
              <w:rPr>
                <w:rFonts w:asciiTheme="minorHAnsi" w:eastAsia="Times New Roman" w:hAnsiTheme="minorHAnsi" w:cstheme="minorHAnsi"/>
                <w:b w:val="0"/>
                <w:color w:val="002060"/>
                <w:sz w:val="18"/>
                <w:szCs w:val="18"/>
                <w:lang w:val="sr-Cyrl-CS"/>
              </w:rPr>
            </w:pPr>
            <w:r w:rsidRPr="00DE058F">
              <w:rPr>
                <w:rFonts w:asciiTheme="minorHAnsi" w:hAnsiTheme="minorHAnsi" w:cstheme="minorHAnsi"/>
                <w:b w:val="0"/>
                <w:color w:val="002060"/>
                <w:sz w:val="18"/>
                <w:lang w:val="sr-Cyrl-CS"/>
              </w:rPr>
              <w:t>Процена</w:t>
            </w:r>
          </w:p>
        </w:tc>
        <w:tc>
          <w:tcPr>
            <w:tcW w:w="1745" w:type="pct"/>
            <w:gridSpan w:val="3"/>
            <w:tcBorders>
              <w:top w:val="single" w:sz="4" w:space="0" w:color="002060"/>
              <w:bottom w:val="single" w:sz="4" w:space="0" w:color="002060"/>
            </w:tcBorders>
            <w:vAlign w:val="center"/>
          </w:tcPr>
          <w:p w14:paraId="095CE5A8" w14:textId="77777777" w:rsidR="0039350E" w:rsidRPr="00DE058F" w:rsidRDefault="0039350E" w:rsidP="00C130D2">
            <w:pPr>
              <w:keepNext/>
              <w:widowControl w:val="0"/>
              <w:shd w:val="clear" w:color="auto" w:fill="FFFFFF" w:themeFill="background1"/>
              <w:spacing w:line="276" w:lineRule="auto"/>
              <w:jc w:val="center"/>
              <w:rPr>
                <w:rFonts w:asciiTheme="minorHAnsi" w:eastAsia="Times New Roman" w:hAnsiTheme="minorHAnsi" w:cstheme="minorHAnsi"/>
                <w:b w:val="0"/>
                <w:color w:val="002060"/>
                <w:sz w:val="18"/>
                <w:szCs w:val="18"/>
                <w:lang w:val="sr-Cyrl-CS"/>
              </w:rPr>
            </w:pPr>
            <w:r w:rsidRPr="00DE058F">
              <w:rPr>
                <w:rFonts w:asciiTheme="minorHAnsi" w:hAnsiTheme="minorHAnsi" w:cstheme="minorHAnsi"/>
                <w:b w:val="0"/>
                <w:color w:val="002060"/>
                <w:sz w:val="18"/>
                <w:lang w:val="sr-Cyrl-CS"/>
              </w:rPr>
              <w:t>Пројекција</w:t>
            </w:r>
          </w:p>
        </w:tc>
      </w:tr>
      <w:tr w:rsidR="0039350E" w:rsidRPr="00DE058F" w14:paraId="564456F8" w14:textId="77777777" w:rsidTr="00953528">
        <w:trPr>
          <w:cnfStyle w:val="000000100000" w:firstRow="0" w:lastRow="0" w:firstColumn="0" w:lastColumn="0" w:oddVBand="0" w:evenVBand="0" w:oddHBand="1" w:evenHBand="0" w:firstRowFirstColumn="0" w:firstRowLastColumn="0" w:lastRowFirstColumn="0" w:lastRowLastColumn="0"/>
          <w:trHeight w:val="49"/>
        </w:trPr>
        <w:tc>
          <w:tcPr>
            <w:tcW w:w="1967" w:type="pct"/>
            <w:tcBorders>
              <w:top w:val="single" w:sz="4" w:space="0" w:color="002060"/>
              <w:bottom w:val="nil"/>
            </w:tcBorders>
            <w:shd w:val="clear" w:color="auto" w:fill="FFFFFF" w:themeFill="background1"/>
            <w:noWrap/>
          </w:tcPr>
          <w:p w14:paraId="62CA06E3" w14:textId="77777777" w:rsidR="0039350E" w:rsidRPr="00DE058F" w:rsidRDefault="0039350E" w:rsidP="00953528">
            <w:pPr>
              <w:keepNext/>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p>
        </w:tc>
        <w:tc>
          <w:tcPr>
            <w:tcW w:w="644" w:type="pct"/>
            <w:tcBorders>
              <w:top w:val="single" w:sz="4" w:space="0" w:color="002060"/>
              <w:bottom w:val="single" w:sz="4" w:space="0" w:color="002060"/>
            </w:tcBorders>
            <w:shd w:val="clear" w:color="auto" w:fill="FFFFFF" w:themeFill="background1"/>
          </w:tcPr>
          <w:p w14:paraId="7B7713DE" w14:textId="77777777" w:rsidR="0039350E" w:rsidRPr="00DE058F" w:rsidRDefault="0039350E" w:rsidP="00953528">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2021</w:t>
            </w:r>
          </w:p>
        </w:tc>
        <w:tc>
          <w:tcPr>
            <w:tcW w:w="644" w:type="pct"/>
            <w:tcBorders>
              <w:top w:val="single" w:sz="4" w:space="0" w:color="002060"/>
              <w:bottom w:val="single" w:sz="4" w:space="0" w:color="002060"/>
            </w:tcBorders>
            <w:shd w:val="clear" w:color="auto" w:fill="FFFFFF" w:themeFill="background1"/>
          </w:tcPr>
          <w:p w14:paraId="224230F3" w14:textId="77777777" w:rsidR="0039350E" w:rsidRPr="00DE058F" w:rsidRDefault="0039350E" w:rsidP="00953528">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2022</w:t>
            </w:r>
          </w:p>
        </w:tc>
        <w:tc>
          <w:tcPr>
            <w:tcW w:w="581" w:type="pct"/>
            <w:tcBorders>
              <w:top w:val="single" w:sz="4" w:space="0" w:color="002060"/>
              <w:bottom w:val="single" w:sz="4" w:space="0" w:color="002060"/>
            </w:tcBorders>
            <w:shd w:val="clear" w:color="auto" w:fill="FFFFFF" w:themeFill="background1"/>
          </w:tcPr>
          <w:p w14:paraId="605C9325" w14:textId="77777777" w:rsidR="0039350E" w:rsidRPr="00DE058F" w:rsidRDefault="0039350E" w:rsidP="00953528">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2023</w:t>
            </w:r>
          </w:p>
        </w:tc>
        <w:tc>
          <w:tcPr>
            <w:tcW w:w="581" w:type="pct"/>
            <w:tcBorders>
              <w:top w:val="single" w:sz="4" w:space="0" w:color="002060"/>
              <w:bottom w:val="single" w:sz="4" w:space="0" w:color="002060"/>
            </w:tcBorders>
            <w:shd w:val="clear" w:color="auto" w:fill="FFFFFF" w:themeFill="background1"/>
          </w:tcPr>
          <w:p w14:paraId="5A85ED79" w14:textId="77777777" w:rsidR="0039350E" w:rsidRPr="00DE058F" w:rsidRDefault="0039350E" w:rsidP="00953528">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2024</w:t>
            </w:r>
          </w:p>
        </w:tc>
        <w:tc>
          <w:tcPr>
            <w:tcW w:w="583" w:type="pct"/>
            <w:tcBorders>
              <w:top w:val="single" w:sz="4" w:space="0" w:color="002060"/>
              <w:bottom w:val="single" w:sz="4" w:space="0" w:color="002060"/>
            </w:tcBorders>
            <w:shd w:val="clear" w:color="auto" w:fill="FFFFFF" w:themeFill="background1"/>
          </w:tcPr>
          <w:p w14:paraId="5EF41E89" w14:textId="77777777" w:rsidR="0039350E" w:rsidRPr="00DE058F" w:rsidRDefault="0039350E" w:rsidP="00953528">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2025</w:t>
            </w:r>
          </w:p>
        </w:tc>
      </w:tr>
      <w:tr w:rsidR="0039350E" w:rsidRPr="00DE058F" w14:paraId="6530AA70" w14:textId="77777777" w:rsidTr="00953528">
        <w:trPr>
          <w:trHeight w:val="49"/>
        </w:trPr>
        <w:tc>
          <w:tcPr>
            <w:tcW w:w="1967" w:type="pct"/>
            <w:tcBorders>
              <w:top w:val="nil"/>
            </w:tcBorders>
            <w:shd w:val="clear" w:color="auto" w:fill="FFFFFF" w:themeFill="background1"/>
          </w:tcPr>
          <w:p w14:paraId="16C942D6" w14:textId="77777777" w:rsidR="0039350E" w:rsidRPr="00DE058F" w:rsidRDefault="0039350E" w:rsidP="00953528">
            <w:pPr>
              <w:keepNext/>
              <w:widowControl w:val="0"/>
              <w:shd w:val="clear" w:color="auto" w:fill="FFFFFF" w:themeFill="background1"/>
              <w:spacing w:line="276" w:lineRule="auto"/>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ЈАВНИ РАСХОДИ</w:t>
            </w:r>
          </w:p>
        </w:tc>
        <w:tc>
          <w:tcPr>
            <w:tcW w:w="644" w:type="pct"/>
            <w:tcBorders>
              <w:top w:val="single" w:sz="4" w:space="0" w:color="002060"/>
            </w:tcBorders>
            <w:shd w:val="clear" w:color="auto" w:fill="FFFFFF" w:themeFill="background1"/>
          </w:tcPr>
          <w:p w14:paraId="4215BDF2"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47,4</w:t>
            </w:r>
          </w:p>
        </w:tc>
        <w:tc>
          <w:tcPr>
            <w:tcW w:w="644" w:type="pct"/>
            <w:tcBorders>
              <w:top w:val="single" w:sz="4" w:space="0" w:color="002060"/>
            </w:tcBorders>
            <w:shd w:val="clear" w:color="auto" w:fill="FFFFFF" w:themeFill="background1"/>
            <w:noWrap/>
          </w:tcPr>
          <w:p w14:paraId="5724BB37"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45,0</w:t>
            </w:r>
          </w:p>
        </w:tc>
        <w:tc>
          <w:tcPr>
            <w:tcW w:w="581" w:type="pct"/>
            <w:tcBorders>
              <w:top w:val="single" w:sz="4" w:space="0" w:color="002060"/>
            </w:tcBorders>
            <w:shd w:val="clear" w:color="auto" w:fill="FFFFFF" w:themeFill="background1"/>
            <w:noWrap/>
          </w:tcPr>
          <w:p w14:paraId="372EFFB4"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42,7</w:t>
            </w:r>
          </w:p>
        </w:tc>
        <w:tc>
          <w:tcPr>
            <w:tcW w:w="581" w:type="pct"/>
            <w:tcBorders>
              <w:top w:val="single" w:sz="4" w:space="0" w:color="002060"/>
            </w:tcBorders>
            <w:shd w:val="clear" w:color="auto" w:fill="FFFFFF" w:themeFill="background1"/>
            <w:noWrap/>
          </w:tcPr>
          <w:p w14:paraId="21146440"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41,7</w:t>
            </w:r>
          </w:p>
        </w:tc>
        <w:tc>
          <w:tcPr>
            <w:tcW w:w="583" w:type="pct"/>
            <w:tcBorders>
              <w:top w:val="single" w:sz="4" w:space="0" w:color="002060"/>
            </w:tcBorders>
            <w:shd w:val="clear" w:color="auto" w:fill="FFFFFF" w:themeFill="background1"/>
            <w:noWrap/>
          </w:tcPr>
          <w:p w14:paraId="2656A625"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40,6</w:t>
            </w:r>
          </w:p>
        </w:tc>
      </w:tr>
      <w:tr w:rsidR="0039350E" w:rsidRPr="00DE058F" w14:paraId="2F4ECF47" w14:textId="77777777" w:rsidTr="00953528">
        <w:trPr>
          <w:cnfStyle w:val="000000100000" w:firstRow="0" w:lastRow="0" w:firstColumn="0" w:lastColumn="0" w:oddVBand="0" w:evenVBand="0" w:oddHBand="1" w:evenHBand="0" w:firstRowFirstColumn="0" w:firstRowLastColumn="0" w:lastRowFirstColumn="0" w:lastRowLastColumn="0"/>
          <w:trHeight w:val="49"/>
        </w:trPr>
        <w:tc>
          <w:tcPr>
            <w:tcW w:w="1967" w:type="pct"/>
            <w:shd w:val="clear" w:color="auto" w:fill="FFFFFF" w:themeFill="background1"/>
          </w:tcPr>
          <w:p w14:paraId="17077217" w14:textId="77777777" w:rsidR="0039350E" w:rsidRPr="00DE058F" w:rsidRDefault="0039350E" w:rsidP="00953528">
            <w:pPr>
              <w:keepNext/>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 xml:space="preserve"> Текући расходи</w:t>
            </w:r>
          </w:p>
        </w:tc>
        <w:tc>
          <w:tcPr>
            <w:tcW w:w="644" w:type="pct"/>
            <w:shd w:val="clear" w:color="auto" w:fill="FFFFFF" w:themeFill="background1"/>
          </w:tcPr>
          <w:p w14:paraId="13B0A94F"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39,0</w:t>
            </w:r>
          </w:p>
        </w:tc>
        <w:tc>
          <w:tcPr>
            <w:tcW w:w="644" w:type="pct"/>
            <w:shd w:val="clear" w:color="auto" w:fill="FFFFFF" w:themeFill="background1"/>
            <w:noWrap/>
          </w:tcPr>
          <w:p w14:paraId="7B5C0414"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37,0</w:t>
            </w:r>
          </w:p>
        </w:tc>
        <w:tc>
          <w:tcPr>
            <w:tcW w:w="581" w:type="pct"/>
            <w:shd w:val="clear" w:color="auto" w:fill="FFFFFF" w:themeFill="background1"/>
            <w:noWrap/>
          </w:tcPr>
          <w:p w14:paraId="14155EF1"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35,3</w:t>
            </w:r>
          </w:p>
        </w:tc>
        <w:tc>
          <w:tcPr>
            <w:tcW w:w="581" w:type="pct"/>
            <w:shd w:val="clear" w:color="auto" w:fill="FFFFFF" w:themeFill="background1"/>
            <w:noWrap/>
          </w:tcPr>
          <w:p w14:paraId="12E7F7C7"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34,8</w:t>
            </w:r>
          </w:p>
        </w:tc>
        <w:tc>
          <w:tcPr>
            <w:tcW w:w="583" w:type="pct"/>
            <w:shd w:val="clear" w:color="auto" w:fill="FFFFFF" w:themeFill="background1"/>
            <w:noWrap/>
          </w:tcPr>
          <w:p w14:paraId="681957EB"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34,1</w:t>
            </w:r>
          </w:p>
        </w:tc>
      </w:tr>
      <w:tr w:rsidR="0039350E" w:rsidRPr="00DE058F" w14:paraId="02D1EF5F" w14:textId="77777777" w:rsidTr="00953528">
        <w:trPr>
          <w:trHeight w:val="49"/>
        </w:trPr>
        <w:tc>
          <w:tcPr>
            <w:tcW w:w="1967" w:type="pct"/>
            <w:shd w:val="clear" w:color="auto" w:fill="FFFFFF" w:themeFill="background1"/>
          </w:tcPr>
          <w:p w14:paraId="7D72A8C3" w14:textId="77777777" w:rsidR="0039350E" w:rsidRPr="00DE058F" w:rsidRDefault="0039350E" w:rsidP="00953528">
            <w:pPr>
              <w:keepNext/>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Расходи за запослене</w:t>
            </w:r>
          </w:p>
        </w:tc>
        <w:tc>
          <w:tcPr>
            <w:tcW w:w="644" w:type="pct"/>
            <w:shd w:val="clear" w:color="auto" w:fill="FFFFFF" w:themeFill="background1"/>
          </w:tcPr>
          <w:p w14:paraId="32C1361B"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10,0</w:t>
            </w:r>
          </w:p>
        </w:tc>
        <w:tc>
          <w:tcPr>
            <w:tcW w:w="644" w:type="pct"/>
            <w:shd w:val="clear" w:color="auto" w:fill="FFFFFF" w:themeFill="background1"/>
            <w:noWrap/>
          </w:tcPr>
          <w:p w14:paraId="394567A0"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9,8</w:t>
            </w:r>
          </w:p>
        </w:tc>
        <w:tc>
          <w:tcPr>
            <w:tcW w:w="581" w:type="pct"/>
            <w:shd w:val="clear" w:color="auto" w:fill="FFFFFF" w:themeFill="background1"/>
            <w:noWrap/>
          </w:tcPr>
          <w:p w14:paraId="36A53958"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9,8</w:t>
            </w:r>
          </w:p>
        </w:tc>
        <w:tc>
          <w:tcPr>
            <w:tcW w:w="581" w:type="pct"/>
            <w:shd w:val="clear" w:color="auto" w:fill="FFFFFF" w:themeFill="background1"/>
            <w:noWrap/>
          </w:tcPr>
          <w:p w14:paraId="7B95C519"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9,8</w:t>
            </w:r>
          </w:p>
        </w:tc>
        <w:tc>
          <w:tcPr>
            <w:tcW w:w="583" w:type="pct"/>
            <w:shd w:val="clear" w:color="auto" w:fill="FFFFFF" w:themeFill="background1"/>
            <w:noWrap/>
          </w:tcPr>
          <w:p w14:paraId="3BB75202"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9,8</w:t>
            </w:r>
          </w:p>
        </w:tc>
      </w:tr>
      <w:tr w:rsidR="0039350E" w:rsidRPr="00DE058F" w14:paraId="251F2FC2" w14:textId="77777777" w:rsidTr="00953528">
        <w:trPr>
          <w:cnfStyle w:val="000000100000" w:firstRow="0" w:lastRow="0" w:firstColumn="0" w:lastColumn="0" w:oddVBand="0" w:evenVBand="0" w:oddHBand="1" w:evenHBand="0" w:firstRowFirstColumn="0" w:firstRowLastColumn="0" w:lastRowFirstColumn="0" w:lastRowLastColumn="0"/>
          <w:trHeight w:val="49"/>
        </w:trPr>
        <w:tc>
          <w:tcPr>
            <w:tcW w:w="1967" w:type="pct"/>
            <w:shd w:val="clear" w:color="auto" w:fill="FFFFFF" w:themeFill="background1"/>
          </w:tcPr>
          <w:p w14:paraId="4AD8BE6B" w14:textId="77777777" w:rsidR="0039350E" w:rsidRPr="00DE058F" w:rsidRDefault="0039350E" w:rsidP="00953528">
            <w:pPr>
              <w:keepNext/>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Куповина робе и услуга</w:t>
            </w:r>
          </w:p>
        </w:tc>
        <w:tc>
          <w:tcPr>
            <w:tcW w:w="644" w:type="pct"/>
            <w:shd w:val="clear" w:color="auto" w:fill="FFFFFF" w:themeFill="background1"/>
          </w:tcPr>
          <w:p w14:paraId="780DDD78"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7,8</w:t>
            </w:r>
          </w:p>
        </w:tc>
        <w:tc>
          <w:tcPr>
            <w:tcW w:w="644" w:type="pct"/>
            <w:shd w:val="clear" w:color="auto" w:fill="FFFFFF" w:themeFill="background1"/>
            <w:noWrap/>
          </w:tcPr>
          <w:p w14:paraId="46F64A31"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7,7</w:t>
            </w:r>
          </w:p>
        </w:tc>
        <w:tc>
          <w:tcPr>
            <w:tcW w:w="581" w:type="pct"/>
            <w:shd w:val="clear" w:color="auto" w:fill="FFFFFF" w:themeFill="background1"/>
            <w:noWrap/>
          </w:tcPr>
          <w:p w14:paraId="71890E8B"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7,5</w:t>
            </w:r>
          </w:p>
        </w:tc>
        <w:tc>
          <w:tcPr>
            <w:tcW w:w="581" w:type="pct"/>
            <w:shd w:val="clear" w:color="auto" w:fill="FFFFFF" w:themeFill="background1"/>
            <w:noWrap/>
          </w:tcPr>
          <w:p w14:paraId="31FFD50C"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7,3</w:t>
            </w:r>
          </w:p>
        </w:tc>
        <w:tc>
          <w:tcPr>
            <w:tcW w:w="583" w:type="pct"/>
            <w:shd w:val="clear" w:color="auto" w:fill="FFFFFF" w:themeFill="background1"/>
            <w:noWrap/>
          </w:tcPr>
          <w:p w14:paraId="3E9CEC3A"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7,0</w:t>
            </w:r>
          </w:p>
        </w:tc>
      </w:tr>
      <w:tr w:rsidR="0039350E" w:rsidRPr="00DE058F" w14:paraId="3B437C7C" w14:textId="77777777" w:rsidTr="00953528">
        <w:trPr>
          <w:trHeight w:val="49"/>
        </w:trPr>
        <w:tc>
          <w:tcPr>
            <w:tcW w:w="1967" w:type="pct"/>
            <w:shd w:val="clear" w:color="auto" w:fill="FFFFFF" w:themeFill="background1"/>
          </w:tcPr>
          <w:p w14:paraId="3877F247" w14:textId="77777777" w:rsidR="0039350E" w:rsidRPr="00DE058F" w:rsidRDefault="0039350E" w:rsidP="00953528">
            <w:pPr>
              <w:keepNext/>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Отплата камата</w:t>
            </w:r>
          </w:p>
        </w:tc>
        <w:tc>
          <w:tcPr>
            <w:tcW w:w="644" w:type="pct"/>
            <w:shd w:val="clear" w:color="auto" w:fill="FFFFFF" w:themeFill="background1"/>
          </w:tcPr>
          <w:p w14:paraId="6C966E99"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1,7</w:t>
            </w:r>
          </w:p>
        </w:tc>
        <w:tc>
          <w:tcPr>
            <w:tcW w:w="644" w:type="pct"/>
            <w:shd w:val="clear" w:color="auto" w:fill="FFFFFF" w:themeFill="background1"/>
            <w:noWrap/>
          </w:tcPr>
          <w:p w14:paraId="621DD77F"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1,7</w:t>
            </w:r>
          </w:p>
        </w:tc>
        <w:tc>
          <w:tcPr>
            <w:tcW w:w="581" w:type="pct"/>
            <w:shd w:val="clear" w:color="auto" w:fill="FFFFFF" w:themeFill="background1"/>
            <w:noWrap/>
          </w:tcPr>
          <w:p w14:paraId="2DE0FCFA"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1,6</w:t>
            </w:r>
          </w:p>
        </w:tc>
        <w:tc>
          <w:tcPr>
            <w:tcW w:w="581" w:type="pct"/>
            <w:shd w:val="clear" w:color="auto" w:fill="FFFFFF" w:themeFill="background1"/>
            <w:noWrap/>
          </w:tcPr>
          <w:p w14:paraId="2B55D47E"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1,6</w:t>
            </w:r>
          </w:p>
        </w:tc>
        <w:tc>
          <w:tcPr>
            <w:tcW w:w="583" w:type="pct"/>
            <w:shd w:val="clear" w:color="auto" w:fill="FFFFFF" w:themeFill="background1"/>
            <w:noWrap/>
          </w:tcPr>
          <w:p w14:paraId="16C5BF2A"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1,6</w:t>
            </w:r>
          </w:p>
        </w:tc>
      </w:tr>
      <w:tr w:rsidR="0039350E" w:rsidRPr="00DE058F" w14:paraId="2BC8AB94" w14:textId="77777777" w:rsidTr="00953528">
        <w:trPr>
          <w:cnfStyle w:val="000000100000" w:firstRow="0" w:lastRow="0" w:firstColumn="0" w:lastColumn="0" w:oddVBand="0" w:evenVBand="0" w:oddHBand="1" w:evenHBand="0" w:firstRowFirstColumn="0" w:firstRowLastColumn="0" w:lastRowFirstColumn="0" w:lastRowLastColumn="0"/>
          <w:trHeight w:val="49"/>
        </w:trPr>
        <w:tc>
          <w:tcPr>
            <w:tcW w:w="1967" w:type="pct"/>
            <w:shd w:val="clear" w:color="auto" w:fill="FFFFFF" w:themeFill="background1"/>
          </w:tcPr>
          <w:p w14:paraId="270B6CCD" w14:textId="77777777" w:rsidR="0039350E" w:rsidRPr="00DE058F" w:rsidRDefault="0039350E" w:rsidP="00953528">
            <w:pPr>
              <w:keepNext/>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Субвенције</w:t>
            </w:r>
          </w:p>
        </w:tc>
        <w:tc>
          <w:tcPr>
            <w:tcW w:w="644" w:type="pct"/>
            <w:shd w:val="clear" w:color="auto" w:fill="FFFFFF" w:themeFill="background1"/>
          </w:tcPr>
          <w:p w14:paraId="7C59C072"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3,3</w:t>
            </w:r>
          </w:p>
        </w:tc>
        <w:tc>
          <w:tcPr>
            <w:tcW w:w="644" w:type="pct"/>
            <w:shd w:val="clear" w:color="auto" w:fill="FFFFFF" w:themeFill="background1"/>
            <w:noWrap/>
          </w:tcPr>
          <w:p w14:paraId="1A38DCAA"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2,4</w:t>
            </w:r>
          </w:p>
        </w:tc>
        <w:tc>
          <w:tcPr>
            <w:tcW w:w="581" w:type="pct"/>
            <w:shd w:val="clear" w:color="auto" w:fill="FFFFFF" w:themeFill="background1"/>
            <w:noWrap/>
          </w:tcPr>
          <w:p w14:paraId="127613FE"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2,1</w:t>
            </w:r>
          </w:p>
        </w:tc>
        <w:tc>
          <w:tcPr>
            <w:tcW w:w="581" w:type="pct"/>
            <w:shd w:val="clear" w:color="auto" w:fill="FFFFFF" w:themeFill="background1"/>
            <w:noWrap/>
          </w:tcPr>
          <w:p w14:paraId="56E9AD85"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1,9</w:t>
            </w:r>
          </w:p>
        </w:tc>
        <w:tc>
          <w:tcPr>
            <w:tcW w:w="583" w:type="pct"/>
            <w:shd w:val="clear" w:color="auto" w:fill="FFFFFF" w:themeFill="background1"/>
            <w:noWrap/>
          </w:tcPr>
          <w:p w14:paraId="5DB2B4A3"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1,8</w:t>
            </w:r>
          </w:p>
        </w:tc>
      </w:tr>
      <w:tr w:rsidR="0039350E" w:rsidRPr="00DE058F" w14:paraId="309D5905" w14:textId="77777777" w:rsidTr="00953528">
        <w:trPr>
          <w:trHeight w:val="49"/>
        </w:trPr>
        <w:tc>
          <w:tcPr>
            <w:tcW w:w="1967" w:type="pct"/>
            <w:shd w:val="clear" w:color="auto" w:fill="FFFFFF" w:themeFill="background1"/>
          </w:tcPr>
          <w:p w14:paraId="4C6B28DA" w14:textId="77777777" w:rsidR="0039350E" w:rsidRPr="00DE058F" w:rsidRDefault="0039350E" w:rsidP="00953528">
            <w:pPr>
              <w:keepNext/>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Социјална помоћ и трансфери</w:t>
            </w:r>
          </w:p>
        </w:tc>
        <w:tc>
          <w:tcPr>
            <w:tcW w:w="644" w:type="pct"/>
            <w:shd w:val="clear" w:color="auto" w:fill="FFFFFF" w:themeFill="background1"/>
          </w:tcPr>
          <w:p w14:paraId="460B161A"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13,6</w:t>
            </w:r>
          </w:p>
        </w:tc>
        <w:tc>
          <w:tcPr>
            <w:tcW w:w="644" w:type="pct"/>
            <w:shd w:val="clear" w:color="auto" w:fill="FFFFFF" w:themeFill="background1"/>
            <w:noWrap/>
          </w:tcPr>
          <w:p w14:paraId="325BB44B"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13,3</w:t>
            </w:r>
          </w:p>
        </w:tc>
        <w:tc>
          <w:tcPr>
            <w:tcW w:w="581" w:type="pct"/>
            <w:shd w:val="clear" w:color="auto" w:fill="FFFFFF" w:themeFill="background1"/>
            <w:noWrap/>
          </w:tcPr>
          <w:p w14:paraId="03207AB7"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12,8</w:t>
            </w:r>
          </w:p>
        </w:tc>
        <w:tc>
          <w:tcPr>
            <w:tcW w:w="581" w:type="pct"/>
            <w:shd w:val="clear" w:color="auto" w:fill="FFFFFF" w:themeFill="background1"/>
            <w:noWrap/>
          </w:tcPr>
          <w:p w14:paraId="10106D50"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12,8</w:t>
            </w:r>
          </w:p>
        </w:tc>
        <w:tc>
          <w:tcPr>
            <w:tcW w:w="583" w:type="pct"/>
            <w:shd w:val="clear" w:color="auto" w:fill="FFFFFF" w:themeFill="background1"/>
            <w:noWrap/>
          </w:tcPr>
          <w:p w14:paraId="613E5DB2"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12,5</w:t>
            </w:r>
          </w:p>
        </w:tc>
      </w:tr>
      <w:tr w:rsidR="0039350E" w:rsidRPr="00DE058F" w14:paraId="08A74B3A" w14:textId="77777777" w:rsidTr="00953528">
        <w:trPr>
          <w:cnfStyle w:val="000000100000" w:firstRow="0" w:lastRow="0" w:firstColumn="0" w:lastColumn="0" w:oddVBand="0" w:evenVBand="0" w:oddHBand="1" w:evenHBand="0" w:firstRowFirstColumn="0" w:firstRowLastColumn="0" w:lastRowFirstColumn="0" w:lastRowLastColumn="0"/>
          <w:trHeight w:val="104"/>
        </w:trPr>
        <w:tc>
          <w:tcPr>
            <w:tcW w:w="1967" w:type="pct"/>
            <w:shd w:val="clear" w:color="auto" w:fill="FFFFFF" w:themeFill="background1"/>
          </w:tcPr>
          <w:p w14:paraId="1F6CE91D" w14:textId="77777777" w:rsidR="0039350E" w:rsidRPr="00DE058F" w:rsidRDefault="0039350E" w:rsidP="00953528">
            <w:pPr>
              <w:keepNext/>
              <w:widowControl w:val="0"/>
              <w:shd w:val="clear" w:color="auto" w:fill="FFFFFF" w:themeFill="background1"/>
              <w:spacing w:line="276" w:lineRule="auto"/>
              <w:ind w:left="397"/>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од чега пензије</w:t>
            </w:r>
          </w:p>
        </w:tc>
        <w:tc>
          <w:tcPr>
            <w:tcW w:w="644" w:type="pct"/>
            <w:shd w:val="clear" w:color="auto" w:fill="FFFFFF" w:themeFill="background1"/>
          </w:tcPr>
          <w:p w14:paraId="3037BE46" w14:textId="77777777" w:rsidR="0039350E" w:rsidRPr="00DE058F" w:rsidRDefault="0039350E" w:rsidP="00953528">
            <w:pPr>
              <w:shd w:val="clear" w:color="auto" w:fill="FFFFFF" w:themeFill="background1"/>
              <w:spacing w:line="276" w:lineRule="auto"/>
              <w:jc w:val="right"/>
              <w:rPr>
                <w:rFonts w:asciiTheme="minorHAnsi" w:hAnsiTheme="minorHAnsi" w:cstheme="minorHAnsi"/>
                <w:i/>
                <w:color w:val="002060"/>
                <w:sz w:val="18"/>
                <w:szCs w:val="18"/>
                <w:lang w:val="sr-Cyrl-CS"/>
              </w:rPr>
            </w:pPr>
            <w:r w:rsidRPr="00DE058F">
              <w:rPr>
                <w:rFonts w:asciiTheme="minorHAnsi" w:hAnsiTheme="minorHAnsi" w:cstheme="minorHAnsi"/>
                <w:i/>
                <w:color w:val="002060"/>
                <w:sz w:val="18"/>
                <w:szCs w:val="18"/>
                <w:lang w:val="sr-Cyrl-CS"/>
              </w:rPr>
              <w:t>9,7</w:t>
            </w:r>
          </w:p>
        </w:tc>
        <w:tc>
          <w:tcPr>
            <w:tcW w:w="644" w:type="pct"/>
            <w:shd w:val="clear" w:color="auto" w:fill="FFFFFF" w:themeFill="background1"/>
            <w:noWrap/>
          </w:tcPr>
          <w:p w14:paraId="658B5ADE" w14:textId="77777777" w:rsidR="0039350E" w:rsidRPr="00DE058F" w:rsidRDefault="0039350E" w:rsidP="00953528">
            <w:pPr>
              <w:shd w:val="clear" w:color="auto" w:fill="FFFFFF" w:themeFill="background1"/>
              <w:spacing w:line="276" w:lineRule="auto"/>
              <w:jc w:val="right"/>
              <w:rPr>
                <w:rFonts w:asciiTheme="minorHAnsi" w:hAnsiTheme="minorHAnsi" w:cstheme="minorHAnsi"/>
                <w:i/>
                <w:color w:val="002060"/>
                <w:sz w:val="18"/>
                <w:szCs w:val="18"/>
                <w:lang w:val="sr-Cyrl-CS"/>
              </w:rPr>
            </w:pPr>
            <w:r w:rsidRPr="00DE058F">
              <w:rPr>
                <w:rFonts w:asciiTheme="minorHAnsi" w:hAnsiTheme="minorHAnsi" w:cstheme="minorHAnsi"/>
                <w:i/>
                <w:color w:val="002060"/>
                <w:sz w:val="18"/>
                <w:szCs w:val="18"/>
                <w:lang w:val="sr-Cyrl-CS"/>
              </w:rPr>
              <w:t>9,2</w:t>
            </w:r>
          </w:p>
        </w:tc>
        <w:tc>
          <w:tcPr>
            <w:tcW w:w="581" w:type="pct"/>
            <w:shd w:val="clear" w:color="auto" w:fill="FFFFFF" w:themeFill="background1"/>
            <w:noWrap/>
          </w:tcPr>
          <w:p w14:paraId="2E29F5E1" w14:textId="77777777" w:rsidR="0039350E" w:rsidRPr="00DE058F" w:rsidRDefault="0039350E" w:rsidP="00953528">
            <w:pPr>
              <w:shd w:val="clear" w:color="auto" w:fill="FFFFFF" w:themeFill="background1"/>
              <w:spacing w:line="276" w:lineRule="auto"/>
              <w:jc w:val="right"/>
              <w:rPr>
                <w:rFonts w:asciiTheme="minorHAnsi" w:hAnsiTheme="minorHAnsi" w:cstheme="minorHAnsi"/>
                <w:i/>
                <w:color w:val="002060"/>
                <w:sz w:val="18"/>
                <w:szCs w:val="18"/>
                <w:lang w:val="sr-Cyrl-CS"/>
              </w:rPr>
            </w:pPr>
            <w:r w:rsidRPr="00DE058F">
              <w:rPr>
                <w:rFonts w:asciiTheme="minorHAnsi" w:hAnsiTheme="minorHAnsi" w:cstheme="minorHAnsi"/>
                <w:i/>
                <w:color w:val="002060"/>
                <w:sz w:val="18"/>
                <w:szCs w:val="18"/>
                <w:lang w:val="sr-Cyrl-CS"/>
              </w:rPr>
              <w:t>9,3</w:t>
            </w:r>
          </w:p>
        </w:tc>
        <w:tc>
          <w:tcPr>
            <w:tcW w:w="581" w:type="pct"/>
            <w:shd w:val="clear" w:color="auto" w:fill="FFFFFF" w:themeFill="background1"/>
            <w:noWrap/>
          </w:tcPr>
          <w:p w14:paraId="1ACA7C8D" w14:textId="77777777" w:rsidR="0039350E" w:rsidRPr="00DE058F" w:rsidRDefault="0039350E" w:rsidP="00953528">
            <w:pPr>
              <w:shd w:val="clear" w:color="auto" w:fill="FFFFFF" w:themeFill="background1"/>
              <w:spacing w:line="276" w:lineRule="auto"/>
              <w:jc w:val="right"/>
              <w:rPr>
                <w:rFonts w:asciiTheme="minorHAnsi" w:hAnsiTheme="minorHAnsi" w:cstheme="minorHAnsi"/>
                <w:i/>
                <w:color w:val="002060"/>
                <w:sz w:val="18"/>
                <w:szCs w:val="18"/>
                <w:lang w:val="sr-Cyrl-CS"/>
              </w:rPr>
            </w:pPr>
            <w:r w:rsidRPr="00DE058F">
              <w:rPr>
                <w:rFonts w:asciiTheme="minorHAnsi" w:hAnsiTheme="minorHAnsi" w:cstheme="minorHAnsi"/>
                <w:i/>
                <w:color w:val="002060"/>
                <w:sz w:val="18"/>
                <w:szCs w:val="18"/>
                <w:lang w:val="sr-Cyrl-CS"/>
              </w:rPr>
              <w:t>9,4</w:t>
            </w:r>
          </w:p>
        </w:tc>
        <w:tc>
          <w:tcPr>
            <w:tcW w:w="583" w:type="pct"/>
            <w:shd w:val="clear" w:color="auto" w:fill="FFFFFF" w:themeFill="background1"/>
            <w:noWrap/>
          </w:tcPr>
          <w:p w14:paraId="6518EF75" w14:textId="77777777" w:rsidR="0039350E" w:rsidRPr="00DE058F" w:rsidRDefault="0039350E" w:rsidP="00953528">
            <w:pPr>
              <w:shd w:val="clear" w:color="auto" w:fill="FFFFFF" w:themeFill="background1"/>
              <w:spacing w:line="276" w:lineRule="auto"/>
              <w:jc w:val="right"/>
              <w:rPr>
                <w:rFonts w:asciiTheme="minorHAnsi" w:hAnsiTheme="minorHAnsi" w:cstheme="minorHAnsi"/>
                <w:i/>
                <w:color w:val="002060"/>
                <w:sz w:val="18"/>
                <w:szCs w:val="18"/>
                <w:lang w:val="sr-Cyrl-CS"/>
              </w:rPr>
            </w:pPr>
            <w:r w:rsidRPr="00DE058F">
              <w:rPr>
                <w:rFonts w:asciiTheme="minorHAnsi" w:hAnsiTheme="minorHAnsi" w:cstheme="minorHAnsi"/>
                <w:i/>
                <w:color w:val="002060"/>
                <w:sz w:val="18"/>
                <w:szCs w:val="18"/>
                <w:lang w:val="sr-Cyrl-CS"/>
              </w:rPr>
              <w:t>9,2</w:t>
            </w:r>
          </w:p>
        </w:tc>
      </w:tr>
      <w:tr w:rsidR="0039350E" w:rsidRPr="00DE058F" w14:paraId="79455D0F" w14:textId="77777777" w:rsidTr="00953528">
        <w:trPr>
          <w:trHeight w:val="49"/>
        </w:trPr>
        <w:tc>
          <w:tcPr>
            <w:tcW w:w="1967" w:type="pct"/>
            <w:shd w:val="clear" w:color="auto" w:fill="FFFFFF" w:themeFill="background1"/>
          </w:tcPr>
          <w:p w14:paraId="14FD9CE1" w14:textId="77777777" w:rsidR="0039350E" w:rsidRPr="00DE058F" w:rsidRDefault="0039350E" w:rsidP="00953528">
            <w:pPr>
              <w:keepNext/>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Остали текући расходи</w:t>
            </w:r>
          </w:p>
        </w:tc>
        <w:tc>
          <w:tcPr>
            <w:tcW w:w="644" w:type="pct"/>
            <w:shd w:val="clear" w:color="auto" w:fill="FFFFFF" w:themeFill="background1"/>
          </w:tcPr>
          <w:p w14:paraId="60782F0A"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2,6</w:t>
            </w:r>
          </w:p>
        </w:tc>
        <w:tc>
          <w:tcPr>
            <w:tcW w:w="644" w:type="pct"/>
            <w:shd w:val="clear" w:color="auto" w:fill="FFFFFF" w:themeFill="background1"/>
            <w:noWrap/>
          </w:tcPr>
          <w:p w14:paraId="7DB18186"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2,2</w:t>
            </w:r>
          </w:p>
        </w:tc>
        <w:tc>
          <w:tcPr>
            <w:tcW w:w="581" w:type="pct"/>
            <w:shd w:val="clear" w:color="auto" w:fill="FFFFFF" w:themeFill="background1"/>
            <w:noWrap/>
          </w:tcPr>
          <w:p w14:paraId="1DC2EB4A"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1,5</w:t>
            </w:r>
          </w:p>
        </w:tc>
        <w:tc>
          <w:tcPr>
            <w:tcW w:w="581" w:type="pct"/>
            <w:shd w:val="clear" w:color="auto" w:fill="FFFFFF" w:themeFill="background1"/>
            <w:noWrap/>
          </w:tcPr>
          <w:p w14:paraId="59C9483A"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1,4</w:t>
            </w:r>
          </w:p>
        </w:tc>
        <w:tc>
          <w:tcPr>
            <w:tcW w:w="583" w:type="pct"/>
            <w:shd w:val="clear" w:color="auto" w:fill="FFFFFF" w:themeFill="background1"/>
            <w:noWrap/>
          </w:tcPr>
          <w:p w14:paraId="19E4CAD0"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1,4</w:t>
            </w:r>
          </w:p>
        </w:tc>
      </w:tr>
      <w:tr w:rsidR="0039350E" w:rsidRPr="00DE058F" w14:paraId="1971FFFE" w14:textId="77777777" w:rsidTr="00953528">
        <w:trPr>
          <w:cnfStyle w:val="000000100000" w:firstRow="0" w:lastRow="0" w:firstColumn="0" w:lastColumn="0" w:oddVBand="0" w:evenVBand="0" w:oddHBand="1" w:evenHBand="0" w:firstRowFirstColumn="0" w:firstRowLastColumn="0" w:lastRowFirstColumn="0" w:lastRowLastColumn="0"/>
          <w:trHeight w:val="49"/>
        </w:trPr>
        <w:tc>
          <w:tcPr>
            <w:tcW w:w="1967" w:type="pct"/>
            <w:shd w:val="clear" w:color="auto" w:fill="FFFFFF" w:themeFill="background1"/>
          </w:tcPr>
          <w:p w14:paraId="750FFDEF" w14:textId="77777777" w:rsidR="0039350E" w:rsidRPr="00DE058F" w:rsidRDefault="0039350E" w:rsidP="00953528">
            <w:pPr>
              <w:keepNext/>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 xml:space="preserve"> Капитални расходи</w:t>
            </w:r>
          </w:p>
        </w:tc>
        <w:tc>
          <w:tcPr>
            <w:tcW w:w="644" w:type="pct"/>
            <w:shd w:val="clear" w:color="auto" w:fill="FFFFFF" w:themeFill="background1"/>
          </w:tcPr>
          <w:p w14:paraId="018DB2D6"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7,4</w:t>
            </w:r>
          </w:p>
        </w:tc>
        <w:tc>
          <w:tcPr>
            <w:tcW w:w="644" w:type="pct"/>
            <w:shd w:val="clear" w:color="auto" w:fill="FFFFFF" w:themeFill="background1"/>
            <w:noWrap/>
          </w:tcPr>
          <w:p w14:paraId="34127CB5"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7,2</w:t>
            </w:r>
          </w:p>
        </w:tc>
        <w:tc>
          <w:tcPr>
            <w:tcW w:w="581" w:type="pct"/>
            <w:shd w:val="clear" w:color="auto" w:fill="FFFFFF" w:themeFill="background1"/>
            <w:noWrap/>
          </w:tcPr>
          <w:p w14:paraId="4446F1BD"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6,9</w:t>
            </w:r>
          </w:p>
        </w:tc>
        <w:tc>
          <w:tcPr>
            <w:tcW w:w="581" w:type="pct"/>
            <w:shd w:val="clear" w:color="auto" w:fill="FFFFFF" w:themeFill="background1"/>
            <w:noWrap/>
          </w:tcPr>
          <w:p w14:paraId="70B4B7A9"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6,6</w:t>
            </w:r>
          </w:p>
        </w:tc>
        <w:tc>
          <w:tcPr>
            <w:tcW w:w="583" w:type="pct"/>
            <w:shd w:val="clear" w:color="auto" w:fill="FFFFFF" w:themeFill="background1"/>
            <w:noWrap/>
          </w:tcPr>
          <w:p w14:paraId="5FF6C860"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6,3</w:t>
            </w:r>
          </w:p>
        </w:tc>
      </w:tr>
      <w:tr w:rsidR="0039350E" w:rsidRPr="00DE058F" w14:paraId="7AA64980" w14:textId="77777777" w:rsidTr="00953528">
        <w:trPr>
          <w:trHeight w:val="49"/>
        </w:trPr>
        <w:tc>
          <w:tcPr>
            <w:tcW w:w="1967" w:type="pct"/>
            <w:tcBorders>
              <w:bottom w:val="nil"/>
            </w:tcBorders>
            <w:shd w:val="clear" w:color="auto" w:fill="FFFFFF" w:themeFill="background1"/>
            <w:noWrap/>
          </w:tcPr>
          <w:p w14:paraId="45766314" w14:textId="77777777" w:rsidR="0039350E" w:rsidRPr="00DE058F" w:rsidRDefault="0039350E" w:rsidP="00953528">
            <w:pPr>
              <w:keepNext/>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 xml:space="preserve"> Нето буџетске позајмице</w:t>
            </w:r>
          </w:p>
        </w:tc>
        <w:tc>
          <w:tcPr>
            <w:tcW w:w="644" w:type="pct"/>
            <w:tcBorders>
              <w:bottom w:val="nil"/>
            </w:tcBorders>
            <w:shd w:val="clear" w:color="auto" w:fill="FFFFFF" w:themeFill="background1"/>
          </w:tcPr>
          <w:p w14:paraId="69C3CBC2"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0,8</w:t>
            </w:r>
          </w:p>
        </w:tc>
        <w:tc>
          <w:tcPr>
            <w:tcW w:w="644" w:type="pct"/>
            <w:tcBorders>
              <w:bottom w:val="nil"/>
            </w:tcBorders>
            <w:shd w:val="clear" w:color="auto" w:fill="FFFFFF" w:themeFill="background1"/>
            <w:noWrap/>
          </w:tcPr>
          <w:p w14:paraId="176CB4FC"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0,6</w:t>
            </w:r>
          </w:p>
        </w:tc>
        <w:tc>
          <w:tcPr>
            <w:tcW w:w="581" w:type="pct"/>
            <w:tcBorders>
              <w:bottom w:val="nil"/>
            </w:tcBorders>
            <w:shd w:val="clear" w:color="auto" w:fill="FFFFFF" w:themeFill="background1"/>
            <w:noWrap/>
          </w:tcPr>
          <w:p w14:paraId="4067E36A"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0,1</w:t>
            </w:r>
          </w:p>
        </w:tc>
        <w:tc>
          <w:tcPr>
            <w:tcW w:w="581" w:type="pct"/>
            <w:tcBorders>
              <w:bottom w:val="nil"/>
            </w:tcBorders>
            <w:shd w:val="clear" w:color="auto" w:fill="FFFFFF" w:themeFill="background1"/>
            <w:noWrap/>
          </w:tcPr>
          <w:p w14:paraId="6C8C385D"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0,1</w:t>
            </w:r>
          </w:p>
        </w:tc>
        <w:tc>
          <w:tcPr>
            <w:tcW w:w="583" w:type="pct"/>
            <w:tcBorders>
              <w:bottom w:val="nil"/>
            </w:tcBorders>
            <w:shd w:val="clear" w:color="auto" w:fill="FFFFFF" w:themeFill="background1"/>
            <w:noWrap/>
          </w:tcPr>
          <w:p w14:paraId="5A5B4656"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0,1</w:t>
            </w:r>
          </w:p>
        </w:tc>
      </w:tr>
      <w:tr w:rsidR="0039350E" w:rsidRPr="00DE058F" w14:paraId="23396FE9" w14:textId="77777777" w:rsidTr="00953528">
        <w:trPr>
          <w:cnfStyle w:val="000000100000" w:firstRow="0" w:lastRow="0" w:firstColumn="0" w:lastColumn="0" w:oddVBand="0" w:evenVBand="0" w:oddHBand="1" w:evenHBand="0" w:firstRowFirstColumn="0" w:firstRowLastColumn="0" w:lastRowFirstColumn="0" w:lastRowLastColumn="0"/>
          <w:trHeight w:val="95"/>
        </w:trPr>
        <w:tc>
          <w:tcPr>
            <w:tcW w:w="1967" w:type="pct"/>
            <w:tcBorders>
              <w:top w:val="nil"/>
              <w:bottom w:val="single" w:sz="4" w:space="0" w:color="002060"/>
            </w:tcBorders>
            <w:shd w:val="clear" w:color="auto" w:fill="FFFFFF" w:themeFill="background1"/>
            <w:noWrap/>
          </w:tcPr>
          <w:p w14:paraId="585EA1CB" w14:textId="77777777" w:rsidR="0039350E" w:rsidRPr="00DE058F" w:rsidRDefault="0039350E" w:rsidP="00953528">
            <w:pPr>
              <w:keepNext/>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DE058F">
              <w:rPr>
                <w:rFonts w:asciiTheme="minorHAnsi" w:eastAsia="Times New Roman" w:hAnsiTheme="minorHAnsi" w:cstheme="minorHAnsi"/>
                <w:bCs/>
                <w:color w:val="002060"/>
                <w:sz w:val="18"/>
                <w:szCs w:val="18"/>
                <w:lang w:val="sr-Cyrl-CS"/>
              </w:rPr>
              <w:t xml:space="preserve"> Отплата по основу гаранција</w:t>
            </w:r>
          </w:p>
        </w:tc>
        <w:tc>
          <w:tcPr>
            <w:tcW w:w="644" w:type="pct"/>
            <w:tcBorders>
              <w:top w:val="nil"/>
              <w:bottom w:val="single" w:sz="4" w:space="0" w:color="002060"/>
            </w:tcBorders>
            <w:shd w:val="clear" w:color="auto" w:fill="FFFFFF" w:themeFill="background1"/>
          </w:tcPr>
          <w:p w14:paraId="4171D0F9"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0,1</w:t>
            </w:r>
          </w:p>
        </w:tc>
        <w:tc>
          <w:tcPr>
            <w:tcW w:w="644" w:type="pct"/>
            <w:tcBorders>
              <w:top w:val="nil"/>
              <w:bottom w:val="single" w:sz="4" w:space="0" w:color="002060"/>
            </w:tcBorders>
            <w:shd w:val="clear" w:color="auto" w:fill="FFFFFF" w:themeFill="background1"/>
            <w:noWrap/>
          </w:tcPr>
          <w:p w14:paraId="466AAD55"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0,2</w:t>
            </w:r>
          </w:p>
        </w:tc>
        <w:tc>
          <w:tcPr>
            <w:tcW w:w="581" w:type="pct"/>
            <w:tcBorders>
              <w:top w:val="nil"/>
              <w:bottom w:val="single" w:sz="4" w:space="0" w:color="002060"/>
            </w:tcBorders>
            <w:shd w:val="clear" w:color="auto" w:fill="FFFFFF" w:themeFill="background1"/>
            <w:noWrap/>
          </w:tcPr>
          <w:p w14:paraId="05887DA9"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0,3</w:t>
            </w:r>
          </w:p>
        </w:tc>
        <w:tc>
          <w:tcPr>
            <w:tcW w:w="581" w:type="pct"/>
            <w:tcBorders>
              <w:top w:val="nil"/>
              <w:bottom w:val="single" w:sz="4" w:space="0" w:color="002060"/>
            </w:tcBorders>
            <w:shd w:val="clear" w:color="auto" w:fill="FFFFFF" w:themeFill="background1"/>
            <w:noWrap/>
          </w:tcPr>
          <w:p w14:paraId="60495F76"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0,3</w:t>
            </w:r>
          </w:p>
        </w:tc>
        <w:tc>
          <w:tcPr>
            <w:tcW w:w="583" w:type="pct"/>
            <w:tcBorders>
              <w:top w:val="nil"/>
              <w:bottom w:val="single" w:sz="4" w:space="0" w:color="002060"/>
            </w:tcBorders>
            <w:shd w:val="clear" w:color="auto" w:fill="FFFFFF" w:themeFill="background1"/>
            <w:noWrap/>
          </w:tcPr>
          <w:p w14:paraId="79E00C01" w14:textId="77777777" w:rsidR="0039350E" w:rsidRPr="00DE058F" w:rsidRDefault="0039350E" w:rsidP="00953528">
            <w:pPr>
              <w:shd w:val="clear" w:color="auto" w:fill="FFFFFF" w:themeFill="background1"/>
              <w:spacing w:line="276" w:lineRule="auto"/>
              <w:jc w:val="right"/>
              <w:rPr>
                <w:rFonts w:asciiTheme="minorHAnsi" w:hAnsiTheme="minorHAnsi" w:cstheme="minorHAnsi"/>
                <w:color w:val="002060"/>
                <w:sz w:val="18"/>
                <w:szCs w:val="18"/>
                <w:lang w:val="sr-Cyrl-CS"/>
              </w:rPr>
            </w:pPr>
            <w:r w:rsidRPr="00DE058F">
              <w:rPr>
                <w:rFonts w:asciiTheme="minorHAnsi" w:hAnsiTheme="minorHAnsi" w:cstheme="minorHAnsi"/>
                <w:color w:val="002060"/>
                <w:sz w:val="18"/>
                <w:szCs w:val="18"/>
                <w:lang w:val="sr-Cyrl-CS"/>
              </w:rPr>
              <w:t>0,1</w:t>
            </w:r>
          </w:p>
        </w:tc>
      </w:tr>
    </w:tbl>
    <w:p w14:paraId="6D8706B2" w14:textId="77777777" w:rsidR="0039350E" w:rsidRPr="00DE058F" w:rsidRDefault="0039350E" w:rsidP="00D42008">
      <w:pPr>
        <w:spacing w:before="40" w:after="120" w:line="276" w:lineRule="auto"/>
        <w:jc w:val="left"/>
        <w:rPr>
          <w:rFonts w:cstheme="minorHAnsi"/>
          <w:sz w:val="16"/>
          <w:szCs w:val="20"/>
          <w:lang w:val="sr-Cyrl-CS"/>
        </w:rPr>
      </w:pPr>
      <w:r w:rsidRPr="00DE058F">
        <w:rPr>
          <w:rFonts w:eastAsia="Calibri" w:cstheme="minorHAnsi"/>
          <w:bCs/>
          <w:sz w:val="16"/>
          <w:szCs w:val="20"/>
          <w:lang w:val="sr-Cyrl-CS" w:eastAsia="ja-JP"/>
        </w:rPr>
        <w:t xml:space="preserve">Извор: </w:t>
      </w:r>
      <w:r w:rsidRPr="00DE058F">
        <w:rPr>
          <w:rFonts w:cstheme="minorHAnsi"/>
          <w:sz w:val="16"/>
          <w:szCs w:val="20"/>
          <w:lang w:val="sr-Cyrl-CS"/>
        </w:rPr>
        <w:t>Министарство финансија</w:t>
      </w:r>
    </w:p>
    <w:p w14:paraId="7018DEAF" w14:textId="77777777" w:rsidR="0039350E" w:rsidRPr="00DE058F" w:rsidRDefault="0039350E" w:rsidP="005D42AC">
      <w:pPr>
        <w:spacing w:before="40" w:after="120" w:line="276" w:lineRule="auto"/>
        <w:rPr>
          <w:rFonts w:eastAsia="Calibri" w:cstheme="minorHAnsi"/>
          <w:szCs w:val="20"/>
          <w:lang w:val="sr-Cyrl-CS" w:eastAsia="ja-JP"/>
        </w:rPr>
        <w:sectPr w:rsidR="0039350E" w:rsidRPr="00DE058F" w:rsidSect="00953528">
          <w:type w:val="continuous"/>
          <w:pgSz w:w="12240" w:h="15840" w:code="1"/>
          <w:pgMar w:top="1440" w:right="1440" w:bottom="1440" w:left="1440" w:header="720" w:footer="720" w:gutter="0"/>
          <w:cols w:space="720"/>
          <w:docGrid w:linePitch="360"/>
        </w:sectPr>
      </w:pPr>
    </w:p>
    <w:p w14:paraId="0523E1E1" w14:textId="3AB9ADD2" w:rsidR="0039350E" w:rsidRPr="00DE058F" w:rsidRDefault="0039350E" w:rsidP="005D42AC">
      <w:pPr>
        <w:spacing w:before="40" w:after="120" w:line="276" w:lineRule="auto"/>
        <w:rPr>
          <w:rFonts w:eastAsia="Calibri" w:cstheme="minorHAnsi"/>
          <w:szCs w:val="20"/>
          <w:lang w:val="sr-Cyrl-CS" w:eastAsia="ja-JP"/>
        </w:rPr>
      </w:pPr>
      <w:r w:rsidRPr="00DE058F">
        <w:rPr>
          <w:rFonts w:eastAsia="Calibri" w:cstheme="minorHAnsi"/>
          <w:szCs w:val="20"/>
          <w:lang w:val="sr-Cyrl-CS" w:eastAsia="ja-JP"/>
        </w:rPr>
        <w:t>У 2020. и 2021. години дошло је до промене тренда у јавним расходима с обзиром на размере кризе изазване пандемијом. Мере су биле значајне на расходној страни</w:t>
      </w:r>
      <w:r w:rsidR="00291CA6" w:rsidRPr="00DE058F">
        <w:rPr>
          <w:rFonts w:eastAsia="Calibri" w:cstheme="minorHAnsi"/>
          <w:szCs w:val="20"/>
          <w:lang w:val="sr-Cyrl-CS" w:eastAsia="ja-JP"/>
        </w:rPr>
        <w:t>,</w:t>
      </w:r>
      <w:r w:rsidRPr="00DE058F">
        <w:rPr>
          <w:rFonts w:eastAsia="Calibri" w:cstheme="minorHAnsi"/>
          <w:szCs w:val="20"/>
          <w:lang w:val="sr-Cyrl-CS" w:eastAsia="ja-JP"/>
        </w:rPr>
        <w:t xml:space="preserve"> што је довело до једнократног повећања учешћа расходне стране буџета у БДП.</w:t>
      </w:r>
    </w:p>
    <w:p w14:paraId="4C9D236B" w14:textId="77777777" w:rsidR="0039350E" w:rsidRPr="00DE058F" w:rsidRDefault="0039350E" w:rsidP="00C130D2">
      <w:pPr>
        <w:spacing w:after="120" w:line="276" w:lineRule="auto"/>
        <w:rPr>
          <w:rFonts w:eastAsia="Calibri" w:cstheme="minorHAnsi"/>
          <w:szCs w:val="20"/>
          <w:lang w:val="sr-Cyrl-CS" w:eastAsia="ja-JP"/>
        </w:rPr>
      </w:pPr>
      <w:r w:rsidRPr="00DE058F">
        <w:rPr>
          <w:rFonts w:eastAsia="Calibri" w:cstheme="minorHAnsi"/>
          <w:szCs w:val="20"/>
          <w:lang w:val="sr-Cyrl-CS" w:eastAsia="ja-JP"/>
        </w:rPr>
        <w:t>На повећање расхода за запослене, чије je учешће у БДП у 2020. години износило 10,5% БДП, утицало је ванредно повећањe зарада запослених у систему здравства, као и повећане исплате осталих облика дохотка као што су прековремени рад, награде и повећање броја запослених у овом сектору. С обзиром на ограничен фискални простор у наредном периоду зараде ће се повећавати умерено и контролисано, водећи рачуна о њиховом учешћу у БДП.</w:t>
      </w:r>
    </w:p>
    <w:p w14:paraId="43649FEE" w14:textId="2BB07360" w:rsidR="0039350E" w:rsidRPr="00DE058F" w:rsidRDefault="0039350E" w:rsidP="00C130D2">
      <w:pPr>
        <w:spacing w:after="120" w:line="276" w:lineRule="auto"/>
        <w:rPr>
          <w:rFonts w:eastAsia="Calibri" w:cstheme="minorHAnsi"/>
          <w:szCs w:val="20"/>
          <w:lang w:val="sr-Cyrl-CS" w:eastAsia="ja-JP"/>
        </w:rPr>
      </w:pPr>
      <w:r w:rsidRPr="00DE058F">
        <w:rPr>
          <w:rFonts w:eastAsia="Calibri" w:cstheme="minorHAnsi"/>
          <w:szCs w:val="20"/>
          <w:lang w:val="sr-Cyrl-CS" w:eastAsia="ja-JP"/>
        </w:rPr>
        <w:t>Законом о буџетском систему предвиђено је снижавање нивоа зарада без доприноса на терет послодавца до 7% БДП, међутим чини се да је тако таргетиран ниво зарада постављен доста ниско. Тренутно је учешће овако дефинисаних зарада у БДП око 8,4%. Просечан ниво зарада на нивоу опште државе у ЕУ је, пре пандемије, износио око 10% БДП, док је током 2020. године подигнут на скоро 11%</w:t>
      </w:r>
      <w:r w:rsidR="00837C44" w:rsidRPr="00DE058F">
        <w:rPr>
          <w:rFonts w:eastAsia="Calibri" w:cstheme="minorHAnsi"/>
          <w:szCs w:val="20"/>
          <w:lang w:val="sr-Cyrl-CS" w:eastAsia="ja-JP"/>
        </w:rPr>
        <w:t xml:space="preserve"> </w:t>
      </w:r>
      <w:r w:rsidRPr="00DE058F">
        <w:rPr>
          <w:rFonts w:eastAsia="Calibri" w:cstheme="minorHAnsi"/>
          <w:szCs w:val="20"/>
          <w:lang w:val="sr-Cyrl-CS" w:eastAsia="ja-JP"/>
        </w:rPr>
        <w:t>БДП. Као и у свим земљама ЕУ, током 2020. године, у Србији је учешће расхода за запослене у БДП повећано.</w:t>
      </w:r>
    </w:p>
    <w:p w14:paraId="0658420F" w14:textId="77777777" w:rsidR="0039350E" w:rsidRPr="00DE058F" w:rsidRDefault="0039350E" w:rsidP="00C130D2">
      <w:pPr>
        <w:spacing w:after="120" w:line="276" w:lineRule="auto"/>
        <w:rPr>
          <w:rFonts w:eastAsia="Calibri" w:cstheme="minorHAnsi"/>
          <w:color w:val="44546A"/>
          <w:szCs w:val="20"/>
          <w:lang w:val="sr-Cyrl-CS" w:eastAsia="ja-JP"/>
        </w:rPr>
      </w:pPr>
      <w:r w:rsidRPr="00DE058F">
        <w:rPr>
          <w:rFonts w:eastAsia="Calibri" w:cstheme="minorHAnsi"/>
          <w:szCs w:val="20"/>
          <w:lang w:val="sr-Cyrl-CS" w:eastAsia="ja-JP"/>
        </w:rPr>
        <w:t xml:space="preserve">У претходном периоду, започета је свеобухватна </w:t>
      </w:r>
      <w:r w:rsidRPr="00DE058F">
        <w:rPr>
          <w:rFonts w:eastAsia="Calibri" w:cstheme="minorHAnsi"/>
          <w:color w:val="44546A"/>
          <w:szCs w:val="20"/>
          <w:lang w:val="sr-Cyrl-CS" w:eastAsia="ja-JP"/>
        </w:rPr>
        <w:t xml:space="preserve">реформа система зарада у јавном сектору, која за </w:t>
      </w:r>
      <w:r w:rsidRPr="00DE058F">
        <w:rPr>
          <w:rFonts w:eastAsia="Calibri" w:cstheme="minorHAnsi"/>
          <w:color w:val="44546A"/>
          <w:szCs w:val="20"/>
          <w:lang w:val="sr-Cyrl-CS" w:eastAsia="ja-JP"/>
        </w:rPr>
        <w:t>циљ има обезбеђење правичности и смањење разлика између плата запослених у јавном сектору. С обзиром на ефекте пандемије на структуру запослених и нивое зараде у јавном сектору примена новог реформисаног система би требало да започне 2025. године.</w:t>
      </w:r>
    </w:p>
    <w:p w14:paraId="02EAEFB4" w14:textId="77777777" w:rsidR="0039350E" w:rsidRPr="00DE058F" w:rsidRDefault="0039350E" w:rsidP="00C130D2">
      <w:pPr>
        <w:spacing w:after="120" w:line="276" w:lineRule="auto"/>
        <w:rPr>
          <w:rFonts w:eastAsia="Calibri" w:cstheme="minorHAnsi"/>
          <w:szCs w:val="20"/>
          <w:lang w:val="sr-Cyrl-CS" w:eastAsia="ja-JP"/>
        </w:rPr>
      </w:pPr>
      <w:r w:rsidRPr="00DE058F">
        <w:rPr>
          <w:rFonts w:eastAsia="Calibri" w:cstheme="minorHAnsi"/>
          <w:szCs w:val="20"/>
          <w:lang w:val="sr-Cyrl-CS" w:eastAsia="ja-JP"/>
        </w:rPr>
        <w:t>Издаци за робе и услуге ће се постепено смањивати у средњорочном периоду у смислу учешћа у БДП, с обзиром да је предвиђено да номинално расту спорије од раста номиналног БДП. Висок ниво у 2021. и 2022. години у највећој мери је резултат већих расхода у здравству.</w:t>
      </w:r>
    </w:p>
    <w:p w14:paraId="09FA6CFD" w14:textId="77777777" w:rsidR="0039350E" w:rsidRPr="00DE058F" w:rsidRDefault="0039350E" w:rsidP="00C130D2">
      <w:pPr>
        <w:spacing w:after="120" w:line="276" w:lineRule="auto"/>
        <w:rPr>
          <w:rFonts w:eastAsia="Calibri" w:cstheme="minorHAnsi"/>
          <w:szCs w:val="20"/>
          <w:lang w:val="sr-Cyrl-CS" w:eastAsia="ja-JP"/>
        </w:rPr>
      </w:pPr>
      <w:r w:rsidRPr="00DE058F">
        <w:rPr>
          <w:rFonts w:eastAsia="Calibri" w:cstheme="minorHAnsi"/>
          <w:szCs w:val="20"/>
          <w:lang w:val="sr-Cyrl-CS" w:eastAsia="ja-JP"/>
        </w:rPr>
        <w:t>Смањење расхода за камате један је од најбољих показатеља успешног вођене фискалне и монетарне политике, као и њихове пуне координације у претходном периоду. Добри фискални резултати у претходном периоду смањили су потребе за задуживањем, што је уз ублажавање монетарне политике довело до пада каматних стопа. У наредном периоду ниво расхода за камате ће се смањити на 1,6% БДП.</w:t>
      </w:r>
    </w:p>
    <w:p w14:paraId="6733D9E9" w14:textId="0F482242" w:rsidR="0039350E" w:rsidRPr="00DE058F" w:rsidRDefault="0039350E" w:rsidP="00C130D2">
      <w:pPr>
        <w:spacing w:after="120" w:line="276" w:lineRule="auto"/>
        <w:rPr>
          <w:rFonts w:eastAsia="Calibri" w:cstheme="minorHAnsi"/>
          <w:szCs w:val="20"/>
          <w:lang w:val="sr-Cyrl-CS" w:eastAsia="ja-JP"/>
        </w:rPr>
      </w:pPr>
      <w:r w:rsidRPr="00DE058F">
        <w:rPr>
          <w:rFonts w:eastAsia="Calibri" w:cstheme="minorHAnsi"/>
          <w:szCs w:val="20"/>
          <w:lang w:val="sr-Cyrl-CS" w:eastAsia="ja-JP"/>
        </w:rPr>
        <w:t>Социјална помоћ и трансфери становништву представљају највећу расходну категорију буџета опште државе. Највећа појединачна ставка ове групе расхода, а уједно и највећа ставка свих расхода, су пензије, која је у 2020. години достигла ниво од 10,6% БДП. Од 2020. године пензије се усклађују с</w:t>
      </w:r>
      <w:r w:rsidR="002C4D04" w:rsidRPr="00DE058F">
        <w:rPr>
          <w:rFonts w:eastAsia="Calibri" w:cstheme="minorHAnsi"/>
          <w:szCs w:val="20"/>
          <w:lang w:val="sr-Cyrl-CS" w:eastAsia="ja-JP"/>
        </w:rPr>
        <w:t>е</w:t>
      </w:r>
      <w:r w:rsidRPr="00DE058F">
        <w:rPr>
          <w:rFonts w:eastAsia="Calibri" w:cstheme="minorHAnsi"/>
          <w:szCs w:val="20"/>
          <w:lang w:val="sr-Cyrl-CS" w:eastAsia="ja-JP"/>
        </w:rPr>
        <w:t xml:space="preserve"> </w:t>
      </w:r>
      <w:r w:rsidR="002C4D04" w:rsidRPr="00DE058F">
        <w:rPr>
          <w:rFonts w:eastAsia="Calibri" w:cstheme="minorHAnsi"/>
          <w:szCs w:val="20"/>
          <w:lang w:val="sr-Cyrl-CS" w:eastAsia="ja-JP"/>
        </w:rPr>
        <w:t>коришћењем</w:t>
      </w:r>
      <w:r w:rsidRPr="00DE058F">
        <w:rPr>
          <w:rFonts w:eastAsia="Calibri" w:cstheme="minorHAnsi"/>
          <w:szCs w:val="20"/>
          <w:lang w:val="sr-Cyrl-CS" w:eastAsia="ja-JP"/>
        </w:rPr>
        <w:t xml:space="preserve"> „швајцарск</w:t>
      </w:r>
      <w:r w:rsidR="002C4D04" w:rsidRPr="00DE058F">
        <w:rPr>
          <w:rFonts w:eastAsia="Calibri" w:cstheme="minorHAnsi"/>
          <w:szCs w:val="20"/>
          <w:lang w:val="sr-Cyrl-CS" w:eastAsia="ja-JP"/>
        </w:rPr>
        <w:t>е</w:t>
      </w:r>
      <w:r w:rsidRPr="00DE058F">
        <w:rPr>
          <w:rFonts w:eastAsia="Calibri" w:cstheme="minorHAnsi"/>
          <w:szCs w:val="20"/>
          <w:lang w:val="sr-Cyrl-CS" w:eastAsia="ja-JP"/>
        </w:rPr>
        <w:t xml:space="preserve"> формул</w:t>
      </w:r>
      <w:r w:rsidR="002C4D04" w:rsidRPr="00DE058F">
        <w:rPr>
          <w:rFonts w:eastAsia="Calibri" w:cstheme="minorHAnsi"/>
          <w:szCs w:val="20"/>
          <w:lang w:val="sr-Cyrl-CS" w:eastAsia="ja-JP"/>
        </w:rPr>
        <w:t>е</w:t>
      </w:r>
      <w:r w:rsidRPr="00DE058F">
        <w:rPr>
          <w:rFonts w:eastAsia="Calibri" w:cstheme="minorHAnsi"/>
          <w:szCs w:val="20"/>
          <w:lang w:val="sr-Cyrl-CS" w:eastAsia="ja-JP"/>
        </w:rPr>
        <w:t xml:space="preserve">”, како би се истовремено обезбедио раст животног </w:t>
      </w:r>
      <w:r w:rsidRPr="00DE058F">
        <w:rPr>
          <w:rFonts w:eastAsia="Calibri" w:cstheme="minorHAnsi"/>
          <w:szCs w:val="20"/>
          <w:lang w:val="sr-Cyrl-CS" w:eastAsia="ja-JP"/>
        </w:rPr>
        <w:lastRenderedPageBreak/>
        <w:t>стандарда пензионера и одрживост пензионог система и система јавних финансија. „Швајцарска формула” подразумева индексацију, односно увећање пензија једнако збиру половине стопе раста просечне зараде и полови</w:t>
      </w:r>
      <w:r w:rsidR="00140BC2" w:rsidRPr="00DE058F">
        <w:rPr>
          <w:rFonts w:eastAsia="Calibri" w:cstheme="minorHAnsi"/>
          <w:szCs w:val="20"/>
          <w:lang w:val="sr-Cyrl-CS" w:eastAsia="ja-JP"/>
        </w:rPr>
        <w:t>не стопе раста потрошачких цена</w:t>
      </w:r>
      <w:r w:rsidRPr="00DE058F">
        <w:rPr>
          <w:rFonts w:eastAsia="Calibri" w:cstheme="minorHAnsi"/>
          <w:szCs w:val="20"/>
          <w:lang w:val="sr-Cyrl-CS" w:eastAsia="ja-JP"/>
        </w:rPr>
        <w:t>. Остали облици социјалних давања и трансфера становништву у наредном периоду усклађиваће се применом прописане индексације, текућих и планираних измена политика у овој области и са пројектованим бројем корисника. Учешће расхода за социјална давања у БДП опада са 13,6%, колико износи у 2021. години, на 12,5% у 2025. години. У 2022. години исплаћена је једнократна исплата свим пензионерима у износу од по 20.000 динара, односно око 34 млрд динара укупно, што се одразило и на динамику учешћа расхода за социјалну заштиту у БДП.</w:t>
      </w:r>
    </w:p>
    <w:p w14:paraId="4B3BB2BA" w14:textId="77777777" w:rsidR="0039350E" w:rsidRPr="00DE058F" w:rsidRDefault="0039350E" w:rsidP="00C130D2">
      <w:pPr>
        <w:spacing w:after="120" w:line="276" w:lineRule="auto"/>
        <w:rPr>
          <w:rFonts w:eastAsia="Calibri" w:cstheme="minorHAnsi"/>
          <w:szCs w:val="20"/>
          <w:lang w:val="sr-Cyrl-CS" w:eastAsia="ja-JP"/>
        </w:rPr>
      </w:pPr>
      <w:r w:rsidRPr="00DE058F">
        <w:rPr>
          <w:rFonts w:eastAsia="Calibri" w:cstheme="minorHAnsi"/>
          <w:szCs w:val="20"/>
          <w:lang w:val="sr-Cyrl-CS" w:eastAsia="ja-JP"/>
        </w:rPr>
        <w:t>Смањење субвенција које служе као помоћ неефикасним сегментима јавног сектора омогућило је повећање оног дела субвенција које представљају праве подстицаје привреди, пре свега пољопривреди и малим и средњим предузећима, и које доводе до убрзања привредне активности. Циљ је да се субвенционисана средства преусмере ка развојним програмима у привреди и пољопривреди. Високи ниво субвенција у 2020. и 2021. години резултат је примене мера за превазилажење проблема изазваних пандемијском кризом.</w:t>
      </w:r>
    </w:p>
    <w:p w14:paraId="4C445420" w14:textId="77777777" w:rsidR="0039350E" w:rsidRPr="00DE058F" w:rsidRDefault="0039350E" w:rsidP="00C130D2">
      <w:pPr>
        <w:spacing w:after="120" w:line="276" w:lineRule="auto"/>
        <w:rPr>
          <w:rFonts w:eastAsia="Calibri" w:cstheme="minorHAnsi"/>
          <w:szCs w:val="20"/>
          <w:lang w:val="sr-Cyrl-CS" w:eastAsia="ja-JP"/>
        </w:rPr>
      </w:pPr>
      <w:r w:rsidRPr="00DE058F">
        <w:rPr>
          <w:rFonts w:eastAsia="Calibri" w:cstheme="minorHAnsi"/>
          <w:szCs w:val="20"/>
          <w:lang w:val="sr-Cyrl-CS" w:eastAsia="ja-JP"/>
        </w:rPr>
        <w:t>Категорије осталих текућих расхода чине различити издаци, као што су дотације удружењима, политичким странкама, верским и спортским организацијама, казне, накнада штете итд. Као и код субвенција једнократни раст је узрокован фискалном реакцијом на кризу, с обзиром да су се са ове позиције исплаћивали фискални стимулуси становништву, тако да се у наредном периоду очекује смањење ових расхода у БДП.</w:t>
      </w:r>
    </w:p>
    <w:p w14:paraId="745C1F32" w14:textId="77777777" w:rsidR="0039350E" w:rsidRPr="00DE058F" w:rsidRDefault="0039350E" w:rsidP="00C130D2">
      <w:pPr>
        <w:spacing w:after="120" w:line="276" w:lineRule="auto"/>
        <w:rPr>
          <w:rFonts w:eastAsia="Calibri" w:cstheme="minorHAnsi"/>
          <w:szCs w:val="20"/>
          <w:lang w:val="sr-Cyrl-CS" w:eastAsia="ja-JP"/>
        </w:rPr>
      </w:pPr>
      <w:r w:rsidRPr="00DE058F">
        <w:rPr>
          <w:rFonts w:eastAsia="Calibri" w:cstheme="minorHAnsi"/>
          <w:szCs w:val="20"/>
          <w:lang w:val="sr-Cyrl-CS" w:eastAsia="ja-JP"/>
        </w:rPr>
        <w:t xml:space="preserve">Током претходне три године значајно је побољшана ефикасност извршења јавних инвестиција. Капитални расходи су повећани на 5,3% БДП у 2020. години захваљујући отпочињању </w:t>
      </w:r>
      <w:r w:rsidRPr="00DE058F">
        <w:rPr>
          <w:rFonts w:eastAsia="Calibri" w:cstheme="minorHAnsi"/>
          <w:szCs w:val="20"/>
          <w:lang w:val="sr-Cyrl-CS" w:eastAsia="ja-JP"/>
        </w:rPr>
        <w:t>новог циклуса инфраструктурних пројеката, а у 2021. години су достигли чак 7,4% БДП, упркос проблемима које је проузроковала пандемија. У наредном средњорочном периоду очекује се ниво улагања у јавну инфраструктуру који је знатно виши од оног у претходним годинама. Најзначајнији радови су на путној, железничкој, комуналној и водној инфраструктури који се углавном финансирају из међународних кредита. Поред саобраћајне инфраструктуре обезбеђена су средства за додатна капитална улагања у здравству, заштити животне средине, просвети, култури, одбрани и другим областима које представљају најважније функције државе. Ово је све део новог инвестиционог циклуса на националном нивоу који је омогућен стварањем фискалног простора и подржан повољним условима за задуживање на међународном финансијском тржишту.</w:t>
      </w:r>
    </w:p>
    <w:p w14:paraId="0D25BDA0" w14:textId="228F3C2E" w:rsidR="0039350E" w:rsidRPr="00DE058F" w:rsidRDefault="0039350E" w:rsidP="00C130D2">
      <w:pPr>
        <w:spacing w:after="120" w:line="276" w:lineRule="auto"/>
        <w:rPr>
          <w:rFonts w:eastAsia="Calibri" w:cstheme="minorHAnsi"/>
          <w:szCs w:val="20"/>
          <w:lang w:val="sr-Cyrl-CS" w:eastAsia="ja-JP"/>
        </w:rPr>
      </w:pPr>
      <w:r w:rsidRPr="00DE058F">
        <w:rPr>
          <w:rFonts w:eastAsia="Calibri" w:cstheme="minorHAnsi"/>
          <w:szCs w:val="20"/>
          <w:lang w:val="sr-Cyrl-CS" w:eastAsia="ja-JP"/>
        </w:rPr>
        <w:t>Опште опредељење фискалне политике у средњем року јесте повећање улагања у инфраструктуру на свим нивоима власти. Кад је реч о локалном нивоу власти то се пре свега односи на улагања у водоводну и канализациону инфраструктуру, управљањ</w:t>
      </w:r>
      <w:r w:rsidR="00014BF7" w:rsidRPr="00DE058F">
        <w:rPr>
          <w:rFonts w:eastAsia="Calibri" w:cstheme="minorHAnsi"/>
          <w:szCs w:val="20"/>
          <w:lang w:val="sr-Cyrl-CS" w:eastAsia="ja-JP"/>
        </w:rPr>
        <w:t>е</w:t>
      </w:r>
      <w:r w:rsidRPr="00DE058F">
        <w:rPr>
          <w:rFonts w:eastAsia="Calibri" w:cstheme="minorHAnsi"/>
          <w:szCs w:val="20"/>
          <w:lang w:val="sr-Cyrl-CS" w:eastAsia="ja-JP"/>
        </w:rPr>
        <w:t xml:space="preserve"> отпадом, локалну путну инфраструктуру и друго.</w:t>
      </w:r>
    </w:p>
    <w:p w14:paraId="7BE84B5C" w14:textId="77777777" w:rsidR="0039350E" w:rsidRPr="00DE058F" w:rsidRDefault="0039350E" w:rsidP="00C130D2">
      <w:pPr>
        <w:spacing w:after="120" w:line="276" w:lineRule="auto"/>
        <w:rPr>
          <w:rFonts w:eastAsia="Calibri" w:cstheme="minorHAnsi"/>
          <w:szCs w:val="20"/>
          <w:lang w:val="sr-Cyrl-CS" w:eastAsia="ja-JP"/>
        </w:rPr>
      </w:pPr>
      <w:r w:rsidRPr="00DE058F">
        <w:rPr>
          <w:rFonts w:eastAsia="Calibri" w:cstheme="minorHAnsi"/>
          <w:szCs w:val="20"/>
          <w:lang w:val="sr-Cyrl-CS" w:eastAsia="ja-JP"/>
        </w:rPr>
        <w:t>У средњорочном фискалном оквиру, до краја 2025. године, пројектована је избалансирана укупна фискална позиција локалне самоуправе. То значи да у збиру сви градови и општине имају приближно избалансиран буџет. Пројекција је рађена на основу кретања у претходном периоду, у коме су збирно ЈЛС најчешће биле у суфициту. Овакво стање на нивоу свих локалних самоуправа је последица раздуживања у претходном периоду. То не значи да појединачне ЈЛС не могу ићи у дефицит, што зависи од фискалне позиције сваке појединачне општине и града.</w:t>
      </w:r>
    </w:p>
    <w:p w14:paraId="199FF705" w14:textId="77777777" w:rsidR="0039350E" w:rsidRPr="00DE058F" w:rsidRDefault="0039350E" w:rsidP="00C130D2">
      <w:pPr>
        <w:spacing w:after="120" w:line="276" w:lineRule="auto"/>
        <w:rPr>
          <w:rFonts w:eastAsia="Calibri" w:cstheme="minorHAnsi"/>
          <w:szCs w:val="20"/>
          <w:lang w:val="sr-Cyrl-CS" w:eastAsia="ja-JP"/>
        </w:rPr>
      </w:pPr>
      <w:r w:rsidRPr="00DE058F">
        <w:rPr>
          <w:rFonts w:eastAsia="Calibri" w:cstheme="minorHAnsi"/>
          <w:szCs w:val="20"/>
          <w:lang w:val="sr-Cyrl-CS" w:eastAsia="ja-JP"/>
        </w:rPr>
        <w:t xml:space="preserve">Пројектовано је смањивање нивоа буџетских позајмица и отплате дуга по основу гаранција у наредном средњорочном периоду. Укупно учешће ове две категорије у БДП сведено је на 0,4% БДП у 2019. години уз привремени раст у 2020. и 2021. години, услед кризе. До краја 2025. </w:t>
      </w:r>
      <w:r w:rsidRPr="00DE058F">
        <w:rPr>
          <w:rFonts w:eastAsia="Calibri" w:cstheme="minorHAnsi"/>
          <w:szCs w:val="20"/>
          <w:lang w:val="sr-Cyrl-CS" w:eastAsia="ja-JP"/>
        </w:rPr>
        <w:lastRenderedPageBreak/>
        <w:t>године ови издаци ће бити минимални, са учешћем до 0,1% БДП.</w:t>
      </w:r>
    </w:p>
    <w:p w14:paraId="28D43231" w14:textId="2EB836F8" w:rsidR="0039350E" w:rsidRPr="00DE058F" w:rsidRDefault="0039350E" w:rsidP="00C130D2">
      <w:pPr>
        <w:spacing w:after="120" w:line="276" w:lineRule="auto"/>
        <w:rPr>
          <w:rFonts w:eastAsia="Calibri" w:cstheme="minorHAnsi"/>
          <w:szCs w:val="20"/>
          <w:lang w:val="sr-Cyrl-CS" w:eastAsia="ja-JP"/>
        </w:rPr>
      </w:pPr>
      <w:r w:rsidRPr="00DE058F">
        <w:rPr>
          <w:rFonts w:eastAsia="Calibri" w:cstheme="minorHAnsi"/>
          <w:szCs w:val="20"/>
          <w:lang w:val="sr-Cyrl-CS" w:eastAsia="ja-JP"/>
        </w:rPr>
        <w:t>Отплата по основу издатих гаранција и плаћање гаранција по комерцијалним трансакцијама представљају обавезе по основу дуга јавних предузећа које је републички буџет преузео на себе, с обзиром да та предузећа нису могла самостално да их извршавају. Ови расходи су представљали велики терет за буџет с обзиром на дугогодишње неефикасно пословање великог броја државних предузећа и привредних друштава. У претходном периоду ови расходи су значајно смањени, а планом отплате предвиђено је да ће до 2025. године ови расходи бити на нивоу од 0,1</w:t>
      </w:r>
      <w:r w:rsidR="00760A36" w:rsidRPr="00DE058F">
        <w:rPr>
          <w:rFonts w:eastAsia="Calibri" w:cstheme="minorHAnsi"/>
          <w:szCs w:val="20"/>
          <w:lang w:val="sr-Cyrl-CS" w:eastAsia="ja-JP"/>
        </w:rPr>
        <w:t xml:space="preserve"> до </w:t>
      </w:r>
      <w:r w:rsidRPr="00DE058F">
        <w:rPr>
          <w:rFonts w:eastAsia="Calibri" w:cstheme="minorHAnsi"/>
          <w:szCs w:val="20"/>
          <w:lang w:val="sr-Cyrl-CS" w:eastAsia="ja-JP"/>
        </w:rPr>
        <w:t>0,3% БДП.</w:t>
      </w:r>
    </w:p>
    <w:p w14:paraId="6F963E31" w14:textId="77777777" w:rsidR="0039350E" w:rsidRPr="00DE058F" w:rsidRDefault="0039350E" w:rsidP="00BA4876">
      <w:pPr>
        <w:spacing w:after="120" w:line="276" w:lineRule="auto"/>
        <w:rPr>
          <w:rFonts w:eastAsia="Calibri" w:cstheme="minorHAnsi"/>
          <w:b/>
          <w:color w:val="2F5496" w:themeColor="accent1" w:themeShade="BF"/>
          <w:sz w:val="22"/>
          <w:szCs w:val="20"/>
          <w:lang w:val="sr-Cyrl-CS" w:eastAsia="ja-JP"/>
        </w:rPr>
      </w:pPr>
      <w:r w:rsidRPr="00DE058F">
        <w:rPr>
          <w:rFonts w:eastAsia="Calibri" w:cstheme="minorHAnsi"/>
          <w:b/>
          <w:color w:val="2F5496" w:themeColor="accent1" w:themeShade="BF"/>
          <w:sz w:val="22"/>
          <w:szCs w:val="20"/>
          <w:lang w:val="sr-Cyrl-CS" w:eastAsia="ja-JP"/>
        </w:rPr>
        <w:t>Структурне мере за унапређење стабилности и одрживости јавних финансија</w:t>
      </w:r>
      <w:r w:rsidRPr="00DE058F">
        <w:rPr>
          <w:rFonts w:eastAsia="Calibri" w:cstheme="minorHAnsi"/>
          <w:b/>
          <w:color w:val="2F5496" w:themeColor="accent1" w:themeShade="BF"/>
          <w:sz w:val="22"/>
          <w:szCs w:val="20"/>
          <w:vertAlign w:val="superscript"/>
          <w:lang w:val="sr-Cyrl-CS" w:eastAsia="ja-JP"/>
        </w:rPr>
        <w:footnoteReference w:id="4"/>
      </w:r>
    </w:p>
    <w:p w14:paraId="71DCC713" w14:textId="4D9BF122" w:rsidR="0039350E" w:rsidRPr="00DE058F" w:rsidRDefault="0039350E" w:rsidP="00953528">
      <w:pPr>
        <w:rPr>
          <w:rFonts w:ascii="Calibri" w:eastAsia="Calibri" w:hAnsi="Calibri" w:cs="Calibri"/>
          <w:color w:val="44546A"/>
          <w:szCs w:val="20"/>
          <w:lang w:val="sr-Cyrl-CS" w:eastAsia="ja-JP"/>
        </w:rPr>
      </w:pPr>
      <w:r w:rsidRPr="00DE058F">
        <w:rPr>
          <w:rFonts w:ascii="Calibri" w:eastAsia="Calibri" w:hAnsi="Calibri" w:cs="Calibri"/>
          <w:color w:val="44546A"/>
          <w:szCs w:val="20"/>
          <w:lang w:val="sr-Cyrl-CS" w:eastAsia="ja-JP"/>
        </w:rPr>
        <w:t xml:space="preserve">Након што је почетком прошле године успешно окончан аранжман с ММФ – Република Србија је у јуну 2021. године са овом институцијом склопила нови аранжман саветодавног карактера. Нови програм сарадње </w:t>
      </w:r>
      <w:r w:rsidR="002165A3" w:rsidRPr="00DE058F">
        <w:rPr>
          <w:rFonts w:ascii="Calibri" w:eastAsia="Calibri" w:hAnsi="Calibri" w:cs="Calibri"/>
          <w:color w:val="44546A"/>
          <w:szCs w:val="20"/>
          <w:lang w:val="sr-Cyrl-CS" w:eastAsia="ja-JP"/>
        </w:rPr>
        <w:t>–</w:t>
      </w:r>
      <w:r w:rsidRPr="00DE058F">
        <w:rPr>
          <w:rFonts w:ascii="Calibri" w:eastAsia="Calibri" w:hAnsi="Calibri" w:cs="Calibri"/>
          <w:color w:val="44546A"/>
          <w:szCs w:val="20"/>
          <w:lang w:val="sr-Cyrl-CS" w:eastAsia="ja-JP"/>
        </w:rPr>
        <w:t xml:space="preserve"> Инструмент за координацију политика (</w:t>
      </w:r>
      <w:r w:rsidRPr="00DE058F">
        <w:rPr>
          <w:rFonts w:ascii="Calibri" w:eastAsia="Calibri" w:hAnsi="Calibri" w:cs="Calibri"/>
          <w:i/>
          <w:color w:val="44546A"/>
          <w:szCs w:val="20"/>
          <w:lang w:val="sr-Cyrl-CS" w:eastAsia="ja-JP"/>
        </w:rPr>
        <w:t>Policy Coordination Instrument</w:t>
      </w:r>
      <w:r w:rsidRPr="00DE058F">
        <w:rPr>
          <w:rFonts w:ascii="Calibri" w:eastAsia="Calibri" w:hAnsi="Calibri" w:cs="Calibri"/>
          <w:color w:val="44546A"/>
          <w:szCs w:val="20"/>
          <w:lang w:val="sr-Cyrl-CS" w:eastAsia="ja-JP"/>
        </w:rPr>
        <w:t xml:space="preserve"> – PCI) потврђен је 18. јуна 2021.</w:t>
      </w:r>
      <w:r w:rsidR="00DE058F" w:rsidRPr="00DE058F">
        <w:rPr>
          <w:rFonts w:cstheme="minorHAnsi"/>
          <w:bCs/>
          <w:szCs w:val="72"/>
          <w:lang w:val="sr-Cyrl-RS"/>
        </w:rPr>
        <w:t xml:space="preserve"> </w:t>
      </w:r>
      <w:r w:rsidR="00DE058F" w:rsidRPr="00DE058F">
        <w:rPr>
          <w:rFonts w:ascii="Calibri" w:eastAsia="Calibri" w:hAnsi="Calibri" w:cs="Calibri"/>
          <w:bCs/>
          <w:color w:val="44546A"/>
          <w:szCs w:val="20"/>
          <w:lang w:val="sr-Cyrl-RS" w:eastAsia="ja-JP"/>
        </w:rPr>
        <w:t>године</w:t>
      </w:r>
      <w:r w:rsidRPr="00DE058F">
        <w:rPr>
          <w:rFonts w:ascii="Calibri" w:eastAsia="Calibri" w:hAnsi="Calibri" w:cs="Calibri"/>
          <w:color w:val="44546A"/>
          <w:szCs w:val="20"/>
          <w:lang w:val="sr-Cyrl-CS" w:eastAsia="ja-JP"/>
        </w:rPr>
        <w:t xml:space="preserve"> и трајаће до краја 2023. године, односно 30 месеци.</w:t>
      </w:r>
    </w:p>
    <w:p w14:paraId="3DCE05AF" w14:textId="02A41261" w:rsidR="0039350E" w:rsidRPr="00DE058F" w:rsidRDefault="0039350E" w:rsidP="00953528">
      <w:pPr>
        <w:rPr>
          <w:rFonts w:ascii="Calibri" w:eastAsia="Calibri" w:hAnsi="Calibri" w:cs="Calibri"/>
          <w:color w:val="44546A"/>
          <w:spacing w:val="-2"/>
          <w:szCs w:val="20"/>
          <w:lang w:val="sr-Cyrl-CS" w:eastAsia="ja-JP"/>
        </w:rPr>
      </w:pPr>
      <w:r w:rsidRPr="00DE058F">
        <w:rPr>
          <w:rFonts w:ascii="Calibri" w:eastAsia="Calibri" w:hAnsi="Calibri" w:cs="Calibri"/>
          <w:color w:val="44546A"/>
          <w:spacing w:val="-2"/>
          <w:szCs w:val="20"/>
          <w:lang w:val="sr-Cyrl-CS" w:eastAsia="ja-JP"/>
        </w:rPr>
        <w:t>Нови аранжман, који се спроводи у ванредним околностима изазваним како још</w:t>
      </w:r>
      <w:r w:rsidR="00DF3579" w:rsidRPr="00DE058F">
        <w:rPr>
          <w:rFonts w:ascii="Calibri" w:eastAsia="Calibri" w:hAnsi="Calibri" w:cs="Calibri"/>
          <w:color w:val="44546A"/>
          <w:spacing w:val="-2"/>
          <w:szCs w:val="20"/>
          <w:lang w:val="sr-Cyrl-CS" w:eastAsia="ja-JP"/>
        </w:rPr>
        <w:t xml:space="preserve"> увек присутном пандемијом COVID</w:t>
      </w:r>
      <w:r w:rsidRPr="00DE058F">
        <w:rPr>
          <w:rFonts w:ascii="Calibri" w:eastAsia="Calibri" w:hAnsi="Calibri" w:cs="Calibri"/>
          <w:color w:val="44546A"/>
          <w:spacing w:val="-2"/>
          <w:szCs w:val="20"/>
          <w:lang w:val="sr-Cyrl-CS" w:eastAsia="ja-JP"/>
        </w:rPr>
        <w:t>-19, тако и кризом у Украјини, која жестоко погађа ланце снабдевања, уз снажне инфлаторне притиске на тржиштима хране, енергије, сировина и других добара, наставља да пружа подршку очувању макроекономске и фискалне стабилности у условима геополитичке неизвесности, што би, заједно са наставком свеобухватних институционалних и структурних реформи требало да помогне Републици Србији на њеном европском путу и путу инклузивног и одрживог раста у средњем року.</w:t>
      </w:r>
    </w:p>
    <w:p w14:paraId="23BCE610" w14:textId="03C83B9D" w:rsidR="0039350E" w:rsidRPr="00DE058F" w:rsidRDefault="0039350E" w:rsidP="00953528">
      <w:pPr>
        <w:rPr>
          <w:rFonts w:ascii="Calibri" w:eastAsia="Calibri" w:hAnsi="Calibri" w:cs="Calibri"/>
          <w:color w:val="44546A"/>
          <w:spacing w:val="-2"/>
          <w:szCs w:val="20"/>
          <w:lang w:val="sr-Cyrl-CS" w:eastAsia="ja-JP"/>
        </w:rPr>
      </w:pPr>
      <w:r w:rsidRPr="00DE058F">
        <w:rPr>
          <w:rFonts w:ascii="Calibri" w:eastAsia="Calibri" w:hAnsi="Calibri" w:cs="Calibri"/>
          <w:color w:val="44546A"/>
          <w:spacing w:val="-2"/>
          <w:szCs w:val="20"/>
          <w:lang w:val="sr-Cyrl-CS" w:eastAsia="ja-JP"/>
        </w:rPr>
        <w:t xml:space="preserve">Како би се обезбедила стабилност и одрживост јавних финансија на дужи рок потребан је функционалан систем фискалних правила. Тренутно важећа фискална правила су уведена још 2010. године, али нису помогла у заустављању </w:t>
      </w:r>
      <w:r w:rsidRPr="00DE058F">
        <w:rPr>
          <w:rFonts w:ascii="Calibri" w:eastAsia="Calibri" w:hAnsi="Calibri" w:cs="Calibri"/>
          <w:color w:val="44546A"/>
          <w:spacing w:val="-2"/>
          <w:szCs w:val="20"/>
          <w:lang w:val="sr-Cyrl-CS" w:eastAsia="ja-JP"/>
        </w:rPr>
        <w:t xml:space="preserve">раста дефицита и јавног дуга. Због пандемије је одложено доношење новог сета фискалних правила. Од 2020. године поново је уведена индексација пензија, где се пензије усклађују коришћењем „швајцарске формуле”, уз поштовање лимита од 11% БДП за укупне расходе за пензије. До краја текуће године очекује се усвајање новог фискалног правила које дефинише ниво дефицита опште државе, у зависности од нивоа јавног дуга опште државе, које </w:t>
      </w:r>
      <w:r w:rsidR="00DF3579" w:rsidRPr="00DE058F">
        <w:rPr>
          <w:rFonts w:ascii="Calibri" w:eastAsia="Calibri" w:hAnsi="Calibri" w:cs="Calibri"/>
          <w:color w:val="44546A"/>
          <w:spacing w:val="-2"/>
          <w:szCs w:val="20"/>
          <w:lang w:val="sr-Cyrl-CS" w:eastAsia="ja-JP"/>
        </w:rPr>
        <w:t>би ступило на снагу заједно са з</w:t>
      </w:r>
      <w:r w:rsidRPr="00DE058F">
        <w:rPr>
          <w:rFonts w:ascii="Calibri" w:eastAsia="Calibri" w:hAnsi="Calibri" w:cs="Calibri"/>
          <w:color w:val="44546A"/>
          <w:spacing w:val="-2"/>
          <w:szCs w:val="20"/>
          <w:lang w:val="sr-Cyrl-CS" w:eastAsia="ja-JP"/>
        </w:rPr>
        <w:t>аконом о буџету за 2023. годину. У изради новог сета фискалних правила кључну улогу имају Министарство финансија, Фискални савет и ММФ.</w:t>
      </w:r>
    </w:p>
    <w:p w14:paraId="20D2C556" w14:textId="77777777" w:rsidR="0039350E" w:rsidRPr="00DE058F" w:rsidRDefault="0039350E" w:rsidP="00953528">
      <w:pPr>
        <w:rPr>
          <w:rFonts w:ascii="Calibri" w:eastAsia="Calibri" w:hAnsi="Calibri" w:cs="Calibri"/>
          <w:color w:val="44546A"/>
          <w:szCs w:val="20"/>
          <w:lang w:val="sr-Cyrl-CS" w:eastAsia="ja-JP"/>
        </w:rPr>
      </w:pPr>
      <w:r w:rsidRPr="00DE058F">
        <w:rPr>
          <w:rFonts w:ascii="Calibri" w:eastAsia="Calibri" w:hAnsi="Calibri" w:cs="Calibri"/>
          <w:color w:val="44546A"/>
          <w:szCs w:val="20"/>
          <w:lang w:val="sr-Cyrl-CS" w:eastAsia="ja-JP"/>
        </w:rPr>
        <w:t>У наредном периоду очекује се наставак реформи у области запошљавања, управљања кадровима и система плата у сектору државе. Циљ фискалне политике у средњем року је задржавање расхода за запослене на одрживом нивоу, уз адекватну структуру запослених, како би се обезбедио већи квалитет пружених услуга. У наредном средњорочном периоду акценат је на структурним мерама, које би преко планирања броја запослених с једне стране и успостављања новог система плата у сектору државе, с друге стране, допринеле повећању ефикасности и квалитету пружених јавних услуга.</w:t>
      </w:r>
    </w:p>
    <w:p w14:paraId="50E93FB2" w14:textId="77777777" w:rsidR="0039350E" w:rsidRPr="00DE058F" w:rsidRDefault="0039350E" w:rsidP="00953528">
      <w:pPr>
        <w:rPr>
          <w:rFonts w:ascii="Calibri" w:eastAsia="Calibri" w:hAnsi="Calibri" w:cs="Calibri"/>
          <w:szCs w:val="20"/>
          <w:lang w:val="sr-Cyrl-CS" w:eastAsia="ja-JP"/>
        </w:rPr>
      </w:pPr>
      <w:r w:rsidRPr="00DE058F">
        <w:rPr>
          <w:rFonts w:ascii="Calibri" w:eastAsia="Calibri" w:hAnsi="Calibri" w:cs="Calibri"/>
          <w:color w:val="44546A"/>
          <w:szCs w:val="20"/>
          <w:lang w:val="sr-Cyrl-CS" w:eastAsia="ja-JP"/>
        </w:rPr>
        <w:t>2016. године усвојен је Закон о систему плата у јавном сектору, а затим су усвојена и одговарајућа подзаконска акта, којима се на систематичан и транспарентан начин уређује ова област, с циљем да се у наредном периоду у целом јавном сектору обезбеди једнак ниво плата за исту врсту посла.</w:t>
      </w:r>
    </w:p>
    <w:p w14:paraId="1F3D6622" w14:textId="77777777" w:rsidR="0039350E" w:rsidRPr="00DE058F" w:rsidRDefault="0039350E" w:rsidP="00953528">
      <w:pPr>
        <w:rPr>
          <w:rFonts w:ascii="Calibri" w:eastAsia="Calibri" w:hAnsi="Calibri" w:cs="Calibri"/>
          <w:color w:val="44546A"/>
          <w:szCs w:val="20"/>
          <w:lang w:val="sr-Cyrl-CS" w:eastAsia="ja-JP"/>
        </w:rPr>
      </w:pPr>
      <w:r w:rsidRPr="00DE058F">
        <w:rPr>
          <w:rFonts w:ascii="Calibri" w:eastAsia="Calibri" w:hAnsi="Calibri" w:cs="Calibri"/>
          <w:color w:val="44546A"/>
          <w:szCs w:val="20"/>
          <w:lang w:val="sr-Cyrl-CS" w:eastAsia="ja-JP"/>
        </w:rPr>
        <w:t xml:space="preserve">Постојећи систем запошљавања, којим руководи Владина Комисија за давање сагласности за ново запошљавање и додатно радно ангажовање код корисника јавних средстава наставиће да функционише у прелазном периоду до 2023. године, односно све док нови систем не буде у потпуности оперативан. Крајем 2020. године усвојене су измене Закона о буџетском систему како би било омогућено да у прелазном периоду институције могу да ангажују нова лица до нивоа од 70% оних који напуштају институцију или одлазе у пензију, док је дозвола Комисије потребна уколико број новозапослених пређе </w:t>
      </w:r>
      <w:r w:rsidRPr="00DE058F">
        <w:rPr>
          <w:rFonts w:ascii="Calibri" w:eastAsia="Calibri" w:hAnsi="Calibri" w:cs="Calibri"/>
          <w:color w:val="44546A"/>
          <w:szCs w:val="20"/>
          <w:lang w:val="sr-Cyrl-CS" w:eastAsia="ja-JP"/>
        </w:rPr>
        <w:lastRenderedPageBreak/>
        <w:t>70%. Смисао ове мере је да се обезбеди већа флексибилност у запошљавању на нивоу самих институција, у складу с њиховим потребама за новим кадровима. Такође, постављен је и лимит од 1% за повећање укупног броја запослених на неодређено време у односу на ниво с краја 2020. године. У току је и израда електронског регистра запослених у јавном сектору „Искра”, који би требало да буде имплементиран до краја 2023. године, а пилот пројекат који обухвата запослене у Министарству финансија је већ оперативан. Суштина овог система је боље планирање, извршење и контрола расхода за плате запослених, већа транспарентност и боље управљање људским ресурсима. Системом ће бити обухваћено преко 450.000 запослених у јавном сектору, а ван система ће остати само запослени у сектору одбране, безбедности и унутрашњих послова и институције вишег и високог образовања.</w:t>
      </w:r>
    </w:p>
    <w:p w14:paraId="1183F15C" w14:textId="25A9EEF0" w:rsidR="0039350E" w:rsidRPr="00DE058F" w:rsidRDefault="0039350E" w:rsidP="00953528">
      <w:pPr>
        <w:rPr>
          <w:rFonts w:ascii="Calibri" w:eastAsia="Calibri" w:hAnsi="Calibri" w:cs="Calibri"/>
          <w:color w:val="44546A"/>
          <w:szCs w:val="20"/>
          <w:lang w:val="sr-Cyrl-CS" w:eastAsia="ja-JP"/>
        </w:rPr>
      </w:pPr>
      <w:r w:rsidRPr="00DE058F">
        <w:rPr>
          <w:rFonts w:ascii="Calibri" w:eastAsia="Calibri" w:hAnsi="Calibri" w:cs="Calibri"/>
          <w:color w:val="44546A"/>
          <w:szCs w:val="20"/>
          <w:lang w:val="sr-Cyrl-CS" w:eastAsia="ja-JP"/>
        </w:rPr>
        <w:t xml:space="preserve">У циљу смањења различитих облика буџетске подршке јавним и државним предузећима наставља се са њиховим реформама. Смањење буџетске подршке овим предузећима подразумева: а) ограничење директних и индиректних субвенција, б) забрану издавања гаранција за подршку ликвидности (осим у случају осигурања неометаног снабдевања тржишта </w:t>
      </w:r>
      <w:r w:rsidR="00B73348" w:rsidRPr="00DE058F">
        <w:rPr>
          <w:rFonts w:ascii="Calibri" w:eastAsia="Calibri" w:hAnsi="Calibri" w:cs="Calibri"/>
          <w:color w:val="44546A"/>
          <w:szCs w:val="20"/>
          <w:lang w:val="sr-Cyrl-CS" w:eastAsia="ja-JP"/>
        </w:rPr>
        <w:t xml:space="preserve">енергентима </w:t>
      </w:r>
      <w:r w:rsidRPr="00DE058F">
        <w:rPr>
          <w:rFonts w:ascii="Calibri" w:eastAsia="Calibri" w:hAnsi="Calibri" w:cs="Calibri"/>
          <w:color w:val="44546A"/>
          <w:szCs w:val="20"/>
          <w:lang w:val="sr-Cyrl-CS" w:eastAsia="ja-JP"/>
        </w:rPr>
        <w:t>у тренутним веома неповољним околностима, када је почетком године издата гаранција за ЈП „Србијагас”) и в) јачање одговорности и транспарентности у пословању ових предузећа, укључујући и контролу и смањење доцњи у плаћањима, нарочито према ЈП ЕПС и ЈП „Србијагас” и превенцију њиховог гомилања у будућности, уз наставак праксе објављивања листе 20 највећих дужника овим двема компанијама.</w:t>
      </w:r>
    </w:p>
    <w:p w14:paraId="0DCF0315" w14:textId="19711283" w:rsidR="0039350E" w:rsidRPr="00DE058F" w:rsidRDefault="0039350E" w:rsidP="00953528">
      <w:pPr>
        <w:rPr>
          <w:rFonts w:ascii="Calibri" w:eastAsia="Calibri" w:hAnsi="Calibri" w:cs="Calibri"/>
          <w:szCs w:val="20"/>
          <w:lang w:val="sr-Cyrl-CS" w:eastAsia="ja-JP"/>
        </w:rPr>
      </w:pPr>
      <w:r w:rsidRPr="00DE058F">
        <w:rPr>
          <w:rFonts w:ascii="Calibri" w:eastAsia="Calibri" w:hAnsi="Calibri" w:cs="Calibri"/>
          <w:szCs w:val="20"/>
          <w:lang w:val="sr-Cyrl-CS" w:eastAsia="ja-JP"/>
        </w:rPr>
        <w:t>Статус предузећа из портфолија бивше Агенције за приватизацију решава се кроз поступак стечаја или приватизације. До фебруара 2022. године проглашен је стечај за више од 31</w:t>
      </w:r>
      <w:r w:rsidR="00815CC2" w:rsidRPr="00DE058F">
        <w:rPr>
          <w:rFonts w:ascii="Calibri" w:eastAsia="Calibri" w:hAnsi="Calibri" w:cs="Calibri"/>
          <w:szCs w:val="20"/>
          <w:lang w:val="sr-Cyrl-CS" w:eastAsia="ja-JP"/>
        </w:rPr>
        <w:t>5</w:t>
      </w:r>
      <w:r w:rsidRPr="00DE058F">
        <w:rPr>
          <w:rFonts w:ascii="Calibri" w:eastAsia="Calibri" w:hAnsi="Calibri" w:cs="Calibri"/>
          <w:szCs w:val="20"/>
          <w:lang w:val="sr-Cyrl-CS" w:eastAsia="ja-JP"/>
        </w:rPr>
        <w:t xml:space="preserve"> предузећа, док је </w:t>
      </w:r>
      <w:r w:rsidR="00815CC2" w:rsidRPr="00DE058F">
        <w:rPr>
          <w:rFonts w:ascii="Calibri" w:eastAsia="Calibri" w:hAnsi="Calibri" w:cs="Calibri"/>
          <w:szCs w:val="20"/>
          <w:lang w:val="sr-Cyrl-CS" w:eastAsia="ja-JP"/>
        </w:rPr>
        <w:t xml:space="preserve">74 </w:t>
      </w:r>
      <w:r w:rsidRPr="00DE058F">
        <w:rPr>
          <w:rFonts w:ascii="Calibri" w:eastAsia="Calibri" w:hAnsi="Calibri" w:cs="Calibri"/>
          <w:szCs w:val="20"/>
          <w:lang w:val="sr-Cyrl-CS" w:eastAsia="ja-JP"/>
        </w:rPr>
        <w:t>приватизовано од краја 2014. године. Око 36.600 запослених из 365 предузећа прихватило је социјални програм. Интензивно се ради на проналажењу решења за још 6</w:t>
      </w:r>
      <w:r w:rsidR="00815CC2" w:rsidRPr="00DE058F">
        <w:rPr>
          <w:rFonts w:ascii="Calibri" w:eastAsia="Calibri" w:hAnsi="Calibri" w:cs="Calibri"/>
          <w:szCs w:val="20"/>
          <w:lang w:val="sr-Cyrl-CS" w:eastAsia="ja-JP"/>
        </w:rPr>
        <w:t>2</w:t>
      </w:r>
      <w:r w:rsidRPr="00DE058F">
        <w:rPr>
          <w:rFonts w:ascii="Calibri" w:eastAsia="Calibri" w:hAnsi="Calibri" w:cs="Calibri"/>
          <w:szCs w:val="20"/>
          <w:lang w:val="sr-Cyrl-CS" w:eastAsia="ja-JP"/>
        </w:rPr>
        <w:t xml:space="preserve"> предузећа са готово 2</w:t>
      </w:r>
      <w:r w:rsidR="00815CC2" w:rsidRPr="00DE058F">
        <w:rPr>
          <w:rFonts w:ascii="Calibri" w:eastAsia="Calibri" w:hAnsi="Calibri" w:cs="Calibri"/>
          <w:szCs w:val="20"/>
          <w:lang w:val="sr-Cyrl-CS" w:eastAsia="ja-JP"/>
        </w:rPr>
        <w:t>6</w:t>
      </w:r>
      <w:r w:rsidRPr="00DE058F">
        <w:rPr>
          <w:rFonts w:ascii="Calibri" w:eastAsia="Calibri" w:hAnsi="Calibri" w:cs="Calibri"/>
          <w:szCs w:val="20"/>
          <w:lang w:val="sr-Cyrl-CS" w:eastAsia="ja-JP"/>
        </w:rPr>
        <w:t>.000 запослених.</w:t>
      </w:r>
    </w:p>
    <w:p w14:paraId="59B5F9FE" w14:textId="77777777" w:rsidR="0039350E" w:rsidRPr="00DE058F" w:rsidRDefault="0039350E" w:rsidP="00953528">
      <w:pPr>
        <w:rPr>
          <w:rFonts w:ascii="Calibri" w:eastAsia="Calibri" w:hAnsi="Calibri" w:cs="Calibri"/>
          <w:szCs w:val="20"/>
          <w:lang w:val="sr-Cyrl-CS" w:eastAsia="ja-JP"/>
        </w:rPr>
      </w:pPr>
      <w:r w:rsidRPr="00DE058F">
        <w:rPr>
          <w:rFonts w:ascii="Calibri" w:eastAsia="Calibri" w:hAnsi="Calibri" w:cs="Calibri"/>
          <w:szCs w:val="20"/>
          <w:lang w:val="sr-Cyrl-CS" w:eastAsia="ja-JP"/>
        </w:rPr>
        <w:t>Влада је, уз подршку ЕБРД, усвојила Стратегију државног власништва и управљања привредним субјектима који су у власништву Републике Србије за период од 2021. до 2027. године као јединствени акт који пружа стратешку визију и упутства у вези са циљевима власничког управљања, циљевима финансијских и јавних политика, као и принципима корпоративног управљања и праксама надзора у складу са међународним стандардима и најбољом праксом.</w:t>
      </w:r>
    </w:p>
    <w:p w14:paraId="35447C69" w14:textId="77777777" w:rsidR="0039350E" w:rsidRPr="00DE058F" w:rsidRDefault="0039350E" w:rsidP="00953528">
      <w:pPr>
        <w:rPr>
          <w:rFonts w:ascii="Calibri" w:eastAsia="Calibri" w:hAnsi="Calibri" w:cs="Calibri"/>
          <w:szCs w:val="20"/>
          <w:lang w:val="sr-Cyrl-CS" w:eastAsia="ja-JP"/>
        </w:rPr>
      </w:pPr>
      <w:r w:rsidRPr="00DE058F">
        <w:rPr>
          <w:rFonts w:ascii="Calibri" w:eastAsia="Calibri" w:hAnsi="Calibri" w:cs="Calibri"/>
          <w:szCs w:val="20"/>
          <w:lang w:val="sr-Cyrl-CS" w:eastAsia="ja-JP"/>
        </w:rPr>
        <w:t>За предузећа која чине стратешке компаније из портфолија бивше Агенције за приватизацију, решење се налази или кроз приватизационе тендере, или кроз стечај. За саобраћајно предузеће „Ласта” АД Београд тражиће се компаније заинтересоване за приватизацију или стратешко партнерство. Уз подршку Светске банке дефинисан је акциони план за ЈП ПЕУ „Ресавица”, чије спровођење укључује проналажење решења за затварање економски неодрживих рудника и план рационализације, уз могућност добровољног одласка уз обезбеђена средства за социјални програм и средства за подршку пословању како не би дошло до гомилања доцњи у плаћањима, нарочито према ЈП ЕПС. За ХИП – Петрохемија споразум о приватизацији је постигнут у децембру 2021. године с компанијом НИС, а окончање поступка је планирано до јула ове године. ХИП Азотара је у мају 2021. године продата компанији Промист д.о.о. док се за МСК Кикинда решење тражи у налажењу стратешких партнера или инвеститора.</w:t>
      </w:r>
    </w:p>
    <w:p w14:paraId="1F659AA5" w14:textId="77777777" w:rsidR="0039350E" w:rsidRPr="00DE058F" w:rsidRDefault="0039350E" w:rsidP="00953528">
      <w:pPr>
        <w:rPr>
          <w:rFonts w:ascii="Calibri" w:eastAsia="Calibri" w:hAnsi="Calibri" w:cs="Calibri"/>
          <w:color w:val="44546A"/>
          <w:szCs w:val="20"/>
          <w:lang w:val="sr-Cyrl-CS" w:eastAsia="ja-JP"/>
        </w:rPr>
      </w:pPr>
      <w:r w:rsidRPr="00DE058F">
        <w:rPr>
          <w:rFonts w:ascii="Calibri" w:eastAsia="Calibri" w:hAnsi="Calibri" w:cs="Calibri"/>
          <w:color w:val="44546A"/>
          <w:szCs w:val="20"/>
          <w:lang w:val="sr-Cyrl-CS" w:eastAsia="ja-JP"/>
        </w:rPr>
        <w:t>За одређени број компанија у државном власништву се траже стратешки партнери или други модели приватизације, односно спровођење унапред припремљених планова реорганизације (УППР).</w:t>
      </w:r>
    </w:p>
    <w:p w14:paraId="17EA5EE5" w14:textId="77777777" w:rsidR="0039350E" w:rsidRPr="00DE058F" w:rsidRDefault="0039350E" w:rsidP="00953528">
      <w:pPr>
        <w:rPr>
          <w:rFonts w:ascii="Calibri" w:eastAsia="Calibri" w:hAnsi="Calibri" w:cs="Calibri"/>
          <w:color w:val="44546A"/>
          <w:szCs w:val="20"/>
          <w:lang w:val="sr-Cyrl-CS" w:eastAsia="ja-JP"/>
        </w:rPr>
      </w:pPr>
      <w:r w:rsidRPr="00DE058F">
        <w:rPr>
          <w:rFonts w:ascii="Calibri" w:eastAsia="Calibri" w:hAnsi="Calibri" w:cs="Calibri"/>
          <w:color w:val="44546A"/>
          <w:szCs w:val="20"/>
          <w:lang w:val="sr-Cyrl-CS" w:eastAsia="ja-JP"/>
        </w:rPr>
        <w:t>Побољшање управљања јавним финансијама је нужно не само као подршка мерама фискалне стабилизације и структурним реформама, већ као процес који подиже квалитет државне управе и осигурава привлачан амбијент за инвеститоре. Нови Програм реформе управљања јавним финансијама за период од 2021–2025. године усвојен је у јуну 2021. године.</w:t>
      </w:r>
    </w:p>
    <w:p w14:paraId="15473E73" w14:textId="77777777" w:rsidR="0039350E" w:rsidRPr="00DE058F" w:rsidRDefault="0039350E" w:rsidP="00953528">
      <w:pPr>
        <w:rPr>
          <w:rFonts w:ascii="Calibri" w:eastAsia="Calibri" w:hAnsi="Calibri" w:cs="Calibri"/>
          <w:color w:val="44546A"/>
          <w:szCs w:val="20"/>
          <w:lang w:val="sr-Cyrl-CS" w:eastAsia="ja-JP"/>
        </w:rPr>
      </w:pPr>
      <w:r w:rsidRPr="00DE058F">
        <w:rPr>
          <w:rFonts w:ascii="Calibri" w:eastAsia="Calibri" w:hAnsi="Calibri" w:cs="Calibri"/>
          <w:color w:val="44546A"/>
          <w:szCs w:val="20"/>
          <w:lang w:val="sr-Cyrl-CS" w:eastAsia="ja-JP"/>
        </w:rPr>
        <w:lastRenderedPageBreak/>
        <w:t>Информациони систем извршења буџета – ИСИБ, је део система управљања јавним финансијама који обухвата процесе и поступке који се спроводе електронском комуникацијом са Управом за трезор у саставу Министарства финансија. Развој овог система ће омогућити укључивање свих индиректних корисника централног нивоа власти. У систем су укључени директни корисници јавних средстава, правосудни органи и индиректни корисници Министарства културе и информисања, Министарства за рад, запошљавање, борачка и социјална питања и Управе за извршење кривичних санкција, који нису били део претходног система (ФМИС), којег је ИСИБ заменио почетком 2018. године. Ван система се налазе индиректни корисници Министарства просвете, науке и технолошког развоја, чије се укључивање очекује у наредном периоду. Систем је оспособљен да убудуће омогући интеграцију нових корисника.</w:t>
      </w:r>
    </w:p>
    <w:p w14:paraId="693391A6" w14:textId="77777777" w:rsidR="0039350E" w:rsidRPr="00DE058F" w:rsidRDefault="0039350E" w:rsidP="00953528">
      <w:pPr>
        <w:rPr>
          <w:rFonts w:ascii="Calibri" w:eastAsia="Calibri" w:hAnsi="Calibri" w:cs="Calibri"/>
          <w:color w:val="44546A"/>
          <w:szCs w:val="20"/>
          <w:lang w:val="sr-Cyrl-CS" w:eastAsia="ja-JP"/>
        </w:rPr>
      </w:pPr>
      <w:r w:rsidRPr="00DE058F">
        <w:rPr>
          <w:rFonts w:ascii="Calibri" w:eastAsia="Calibri" w:hAnsi="Calibri" w:cs="Calibri"/>
          <w:color w:val="44546A"/>
          <w:szCs w:val="20"/>
          <w:lang w:val="sr-Cyrl-CS" w:eastAsia="ja-JP"/>
        </w:rPr>
        <w:t>Област управљања јавним финансијама којој је озбиљно посвећена пажња и на чијем се унапређењу ради је управљање јавним инвестицијама. Јачањем оквира управљања јавним инвестицијама интензивирају се нови инфраструктурни пројекти и подиже квалитет постојеће инфраструктуре. У априлу 2018. године усвојен је Закон о планском систему Републике Србије, којим је успостављен национални оквир за планирање и којим су дефинисани План развоја и Инвестициони план. Систем управљања јавним инвестицијама, који се развија уз помоћ Светске банке, укључује интегрисану базу података о инвестиционим пројектима, која је тренутно у развоју и успостављену јединствену листу приоритетних пројеката (</w:t>
      </w:r>
      <w:r w:rsidRPr="00DE058F">
        <w:rPr>
          <w:rFonts w:ascii="Calibri" w:eastAsia="Calibri" w:hAnsi="Calibri" w:cs="Calibri"/>
          <w:i/>
          <w:color w:val="44546A"/>
          <w:szCs w:val="20"/>
          <w:lang w:val="sr-Cyrl-CS" w:eastAsia="ja-JP"/>
        </w:rPr>
        <w:t>Single Project Pipeline</w:t>
      </w:r>
      <w:r w:rsidRPr="00DE058F">
        <w:rPr>
          <w:rFonts w:ascii="Calibri" w:eastAsia="Calibri" w:hAnsi="Calibri" w:cs="Calibri"/>
          <w:color w:val="44546A"/>
          <w:szCs w:val="20"/>
          <w:lang w:val="sr-Cyrl-CS" w:eastAsia="ja-JP"/>
        </w:rPr>
        <w:t>), како би систем до краја године постао потпуно функционалан за пројекте који су у фази имплементације, да би у наредном периоду укључио пројекте који су у фази која претходи имплементацији и да би затим проширио свој обухват на национални ниво, укључујући и локалне информационе системе.</w:t>
      </w:r>
    </w:p>
    <w:p w14:paraId="7A677F44" w14:textId="77777777" w:rsidR="0039350E" w:rsidRPr="00DE058F" w:rsidRDefault="0039350E" w:rsidP="00953528">
      <w:pPr>
        <w:rPr>
          <w:rFonts w:ascii="Calibri" w:eastAsia="Calibri" w:hAnsi="Calibri" w:cs="Calibri"/>
          <w:color w:val="44546A"/>
          <w:spacing w:val="-2"/>
          <w:szCs w:val="20"/>
          <w:lang w:val="sr-Cyrl-CS" w:eastAsia="ja-JP"/>
        </w:rPr>
      </w:pPr>
      <w:r w:rsidRPr="00DE058F">
        <w:rPr>
          <w:rFonts w:ascii="Calibri" w:eastAsia="Calibri" w:hAnsi="Calibri" w:cs="Calibri"/>
          <w:color w:val="44546A"/>
          <w:spacing w:val="-2"/>
          <w:szCs w:val="20"/>
          <w:lang w:val="sr-Cyrl-CS" w:eastAsia="ja-JP"/>
        </w:rPr>
        <w:t>Јавно-приватна партнерства (</w:t>
      </w:r>
      <w:r w:rsidRPr="00DE058F">
        <w:rPr>
          <w:rFonts w:ascii="Calibri" w:eastAsia="Calibri" w:hAnsi="Calibri" w:cs="Calibri"/>
          <w:i/>
          <w:color w:val="44546A"/>
          <w:spacing w:val="-2"/>
          <w:szCs w:val="20"/>
          <w:lang w:val="sr-Cyrl-CS" w:eastAsia="ja-JP"/>
        </w:rPr>
        <w:t>Public-Private Partnerships</w:t>
      </w:r>
      <w:r w:rsidRPr="00DE058F">
        <w:rPr>
          <w:rFonts w:ascii="Calibri" w:eastAsia="Calibri" w:hAnsi="Calibri" w:cs="Calibri"/>
          <w:color w:val="44546A"/>
          <w:spacing w:val="-2"/>
          <w:szCs w:val="20"/>
          <w:lang w:val="sr-Cyrl-CS" w:eastAsia="ja-JP"/>
        </w:rPr>
        <w:t xml:space="preserve"> – PPP), као специфичан вид сарадње државе и приватног сектора захтевају посебну пажњу и опрез, стога ће Министарство финансија </w:t>
      </w:r>
      <w:r w:rsidRPr="00DE058F">
        <w:rPr>
          <w:rFonts w:ascii="Calibri" w:eastAsia="Calibri" w:hAnsi="Calibri" w:cs="Calibri"/>
          <w:color w:val="44546A"/>
          <w:spacing w:val="-2"/>
          <w:szCs w:val="20"/>
          <w:lang w:val="sr-Cyrl-CS" w:eastAsia="ja-JP"/>
        </w:rPr>
        <w:t>убудуће вршити процену свих предлога с гледишта анализе трошкова и користи и поделе ризика.</w:t>
      </w:r>
    </w:p>
    <w:p w14:paraId="6F8A5E78" w14:textId="77777777" w:rsidR="0039350E" w:rsidRPr="00DE058F" w:rsidRDefault="0039350E" w:rsidP="00953528">
      <w:pPr>
        <w:rPr>
          <w:rFonts w:ascii="Calibri" w:eastAsia="Calibri" w:hAnsi="Calibri" w:cs="Calibri"/>
          <w:color w:val="44546A"/>
          <w:szCs w:val="20"/>
          <w:lang w:val="sr-Cyrl-CS" w:eastAsia="ja-JP"/>
        </w:rPr>
      </w:pPr>
      <w:r w:rsidRPr="00DE058F">
        <w:rPr>
          <w:rFonts w:ascii="Calibri" w:eastAsia="Calibri" w:hAnsi="Calibri" w:cs="Calibri"/>
          <w:color w:val="44546A"/>
          <w:szCs w:val="20"/>
          <w:lang w:val="sr-Cyrl-CS" w:eastAsia="ja-JP"/>
        </w:rPr>
        <w:t>Нови Акциони план трансформације Пореске управе за период 2021–2025. године усвојен у мају 2021. године, дефинише стратешке смернице и временске рокове у којим ће бити спроведене активности потребне за стварање модерне пореске администрације, која ће, уз коришћење савремених електронских процеса, пружити бољу и свеобухватнију услугу пореским обвезницима и бољу контролу и наплату прихода, односно поспешити борбу против сиве економије, заједно са реформом и модернизацијом инспекцијског надзора. Спроведено је организационо раздвајање основних активности од оних које се сматрају споредним, с тим да се основне активности сад обављају у мањем броју организационих јединица, односно извршена је њихова консолидација. Анализа пословних процеса и потребних ресурса, омогућиће развијање адекватне организационе структуре и менаџмента, унапређење управљања пројектима и дизајн адекватне структуре запослених. Следећа фаза реформи је усмерена на информационе системе. У мају ове године уведен је нови модел фискализације (е-фискализација), који ће омогућити контролу у реалном времену, смањити трошкове, повећати ефикасност и створити боље пословно окружење. Систем за електронску размену фактура је следећи корак и очекује се да буде имплементиран до почетка 2023. године. Наставља се спровођење мера чији је циљ смањење просечног времена за повраћај ПДВ које је већ сад значајно смањено у односу на законске рокове. Центар за велике пореске обвезнике (ЦВПО) ће проширити свој делокруг, односно биће повећан број субјеката који своје пореске обавезе измирују преко овог система, а истовремено се ради и на јачању капацитета ове веома значајне организационе јединице у оквиру Пореске управе, као и на јачању капацитета целе Пореске управе. Усвајањем Закона о утврђивању порекла имовине и посебном порезу и образовањем посебне организационе јединице Пореске управе, створили су се услови за унакрсну анализу имовине и прихода лица, а резултати првих истрага које се спроводе биће познати већ крајем године.</w:t>
      </w:r>
    </w:p>
    <w:p w14:paraId="2A570AB8" w14:textId="77777777" w:rsidR="0039350E" w:rsidRPr="00DE058F" w:rsidRDefault="0039350E" w:rsidP="00953528">
      <w:pPr>
        <w:rPr>
          <w:rFonts w:ascii="Calibri" w:eastAsia="Calibri" w:hAnsi="Calibri" w:cs="Calibri"/>
          <w:color w:val="44546A"/>
          <w:szCs w:val="20"/>
          <w:lang w:val="sr-Cyrl-CS" w:eastAsia="ja-JP"/>
        </w:rPr>
      </w:pPr>
      <w:r w:rsidRPr="00DE058F">
        <w:rPr>
          <w:rFonts w:ascii="Calibri" w:eastAsia="Calibri" w:hAnsi="Calibri" w:cs="Calibri"/>
          <w:color w:val="44546A"/>
          <w:szCs w:val="20"/>
          <w:lang w:val="sr-Cyrl-CS" w:eastAsia="ja-JP"/>
        </w:rPr>
        <w:lastRenderedPageBreak/>
        <w:t>Побољшање квалитета и транспарентности националне статистике се врши кроз унапређење свеобухватне, правовремене и аутоматске размене података између надлежних институција. У априлу 2018. године објављена је листа институција које чине сектор опште државе, као и остале секторе, у складу са Европским системом рачуна (ESA) 2010 и GFSM 2014, на основу чега је РЗС (у сарадњи са Министарством финансија и НБС) почео с достављањем података у Проширени општи систем дисеминације података (e-GDDS). Ови подаци се објављују у складу са методологијом GFSM 2014. Сектор за макроекономске и фискалне анализе и пројекције Министарства финансија у сарадњи са ММФ је први покренуо поступак конверзије података о јавним финансијама из националне методологије у методологију GFSM 2014 и израду консолидованих извештаја за ниво опште државе и по нивоима власти и њихово публиковање преко националне странице сумарних података (</w:t>
      </w:r>
      <w:r w:rsidRPr="00DE058F">
        <w:rPr>
          <w:rFonts w:ascii="Calibri" w:eastAsia="Calibri" w:hAnsi="Calibri" w:cs="Calibri"/>
          <w:i/>
          <w:color w:val="44546A"/>
          <w:szCs w:val="20"/>
          <w:lang w:val="sr-Cyrl-CS" w:eastAsia="ja-JP"/>
        </w:rPr>
        <w:t>National Summary Data Page</w:t>
      </w:r>
      <w:r w:rsidRPr="00DE058F">
        <w:rPr>
          <w:rFonts w:ascii="Calibri" w:eastAsia="Calibri" w:hAnsi="Calibri" w:cs="Calibri"/>
          <w:color w:val="44546A"/>
          <w:szCs w:val="20"/>
          <w:lang w:val="sr-Cyrl-CS" w:eastAsia="ja-JP"/>
        </w:rPr>
        <w:t xml:space="preserve"> – NSDP), која је доступна на веб-сајту РЗС, као и у билтену ММФ о стандардима </w:t>
      </w:r>
      <w:r w:rsidRPr="00DE058F">
        <w:rPr>
          <w:rFonts w:ascii="Calibri" w:eastAsia="Calibri" w:hAnsi="Calibri" w:cs="Calibri"/>
          <w:color w:val="44546A"/>
          <w:szCs w:val="20"/>
          <w:lang w:val="sr-Cyrl-CS" w:eastAsia="ja-JP"/>
        </w:rPr>
        <w:t>дисеминације (</w:t>
      </w:r>
      <w:r w:rsidRPr="00DE058F">
        <w:rPr>
          <w:rFonts w:ascii="Calibri" w:eastAsia="Calibri" w:hAnsi="Calibri" w:cs="Calibri"/>
          <w:i/>
          <w:color w:val="44546A"/>
          <w:szCs w:val="20"/>
          <w:lang w:val="sr-Cyrl-CS" w:eastAsia="ja-JP"/>
        </w:rPr>
        <w:t>Dissemination Standards Bulletin Board</w:t>
      </w:r>
      <w:r w:rsidRPr="00DE058F">
        <w:rPr>
          <w:rFonts w:ascii="Calibri" w:eastAsia="Calibri" w:hAnsi="Calibri" w:cs="Calibri"/>
          <w:color w:val="44546A"/>
          <w:szCs w:val="20"/>
          <w:lang w:val="sr-Cyrl-CS" w:eastAsia="ja-JP"/>
        </w:rPr>
        <w:t xml:space="preserve"> – DSBB).</w:t>
      </w:r>
    </w:p>
    <w:p w14:paraId="684308B0" w14:textId="77777777" w:rsidR="0039350E" w:rsidRPr="00DE058F" w:rsidRDefault="0039350E" w:rsidP="005D42AC">
      <w:pPr>
        <w:spacing w:line="276" w:lineRule="auto"/>
        <w:rPr>
          <w:rFonts w:cstheme="minorHAnsi"/>
          <w:b/>
          <w:bCs/>
          <w:color w:val="2F5496" w:themeColor="accent1" w:themeShade="BF"/>
          <w:sz w:val="22"/>
          <w:szCs w:val="20"/>
          <w:lang w:val="sr-Cyrl-CS"/>
        </w:rPr>
      </w:pPr>
      <w:r w:rsidRPr="00DE058F">
        <w:rPr>
          <w:rFonts w:cstheme="minorHAnsi"/>
          <w:b/>
          <w:bCs/>
          <w:color w:val="2F5496" w:themeColor="accent1" w:themeShade="BF"/>
          <w:sz w:val="22"/>
          <w:szCs w:val="20"/>
          <w:lang w:val="sr-Cyrl-CS"/>
        </w:rPr>
        <w:t>Поређење са претходним програмом</w:t>
      </w:r>
    </w:p>
    <w:p w14:paraId="6EB12B97" w14:textId="3ACFB843" w:rsidR="0039350E" w:rsidRPr="00DE058F" w:rsidRDefault="0039350E" w:rsidP="005D42AC">
      <w:pPr>
        <w:rPr>
          <w:rFonts w:cstheme="minorHAnsi"/>
          <w:bCs/>
          <w:szCs w:val="20"/>
          <w:lang w:val="sr-Cyrl-CS"/>
        </w:rPr>
      </w:pPr>
      <w:r w:rsidRPr="00DE058F">
        <w:rPr>
          <w:rFonts w:cstheme="minorHAnsi"/>
          <w:bCs/>
          <w:szCs w:val="20"/>
          <w:lang w:val="sr-Cyrl-CS"/>
        </w:rPr>
        <w:t>Средњорочни фискални оквир није значајно промењен у односу на прошлогодишњи документ</w:t>
      </w:r>
      <w:r w:rsidRPr="00DE058F">
        <w:rPr>
          <w:rFonts w:cstheme="minorHAnsi"/>
          <w:bCs/>
          <w:szCs w:val="20"/>
          <w:vertAlign w:val="superscript"/>
          <w:lang w:val="sr-Cyrl-CS"/>
        </w:rPr>
        <w:footnoteReference w:id="5"/>
      </w:r>
      <w:r w:rsidRPr="00DE058F">
        <w:rPr>
          <w:rFonts w:cstheme="minorHAnsi"/>
          <w:bCs/>
          <w:szCs w:val="20"/>
          <w:lang w:val="sr-Cyrl-CS"/>
        </w:rPr>
        <w:t xml:space="preserve"> с обзиром да су средњорочни циљани фискални резултати остали исти, посматрано према учешћ</w:t>
      </w:r>
      <w:r w:rsidR="00A87FC1" w:rsidRPr="00DE058F">
        <w:rPr>
          <w:rFonts w:cstheme="minorHAnsi"/>
          <w:bCs/>
          <w:szCs w:val="20"/>
          <w:lang w:val="sr-Cyrl-CS"/>
        </w:rPr>
        <w:t>у</w:t>
      </w:r>
      <w:r w:rsidRPr="00DE058F">
        <w:rPr>
          <w:rFonts w:cstheme="minorHAnsi"/>
          <w:bCs/>
          <w:szCs w:val="20"/>
          <w:lang w:val="sr-Cyrl-CS"/>
        </w:rPr>
        <w:t xml:space="preserve"> фискалних агрегата у БДП. Иако је ревизија серије БДП смањила учешћа фискалних агрегата, боља наплата прихода и повећање расхода у 2022. години вратили су ова учешћа на нивое сличне оним из претходног програма. Ревизија номиналног БДП, ипак, довела је до смањења нивоа јавног дуга тако да је циљани ниво дуга у 2024. години ревидиран са 53,8% БДП на 52%</w:t>
      </w:r>
      <w:r w:rsidR="00837C44" w:rsidRPr="00DE058F">
        <w:rPr>
          <w:rFonts w:cstheme="minorHAnsi"/>
          <w:bCs/>
          <w:szCs w:val="20"/>
          <w:lang w:val="sr-Cyrl-CS"/>
        </w:rPr>
        <w:t xml:space="preserve"> </w:t>
      </w:r>
      <w:r w:rsidRPr="00DE058F">
        <w:rPr>
          <w:rFonts w:cstheme="minorHAnsi"/>
          <w:bCs/>
          <w:szCs w:val="20"/>
          <w:lang w:val="sr-Cyrl-CS"/>
        </w:rPr>
        <w:t>БДП. У наредном периоду приходи и расходи ће се постепено смањивати у смислу учешћа у БДП, с тим да, док год траје неизвесност везана за пандемију и сукоб у Украјини, могуће су фискалне интервенције у циљу амортизовања негативних ефеката. Планирани дефицити омогућавају даље смањивање учешћа јавног дуга у БДП.</w:t>
      </w:r>
    </w:p>
    <w:p w14:paraId="1DE23007" w14:textId="77777777" w:rsidR="0039350E" w:rsidRPr="00DE058F" w:rsidRDefault="0039350E" w:rsidP="00451097">
      <w:pPr>
        <w:spacing w:before="360"/>
        <w:jc w:val="center"/>
        <w:rPr>
          <w:rFonts w:eastAsia="MS PGothic" w:cstheme="minorHAnsi"/>
          <w:b/>
          <w:color w:val="002060"/>
          <w:szCs w:val="20"/>
          <w:lang w:val="sr-Cyrl-CS" w:eastAsia="ja-JP"/>
        </w:rPr>
        <w:sectPr w:rsidR="0039350E" w:rsidRPr="00DE058F" w:rsidSect="00953528">
          <w:headerReference w:type="default" r:id="rId132"/>
          <w:footerReference w:type="even" r:id="rId133"/>
          <w:footerReference w:type="default" r:id="rId134"/>
          <w:headerReference w:type="first" r:id="rId135"/>
          <w:type w:val="continuous"/>
          <w:pgSz w:w="12240" w:h="15840" w:code="1"/>
          <w:pgMar w:top="1440" w:right="1440" w:bottom="1440" w:left="1440" w:header="720" w:footer="720" w:gutter="0"/>
          <w:cols w:num="2" w:space="720"/>
          <w:docGrid w:linePitch="360"/>
          <w15:footnoteColumns w:val="1"/>
        </w:sectPr>
      </w:pPr>
    </w:p>
    <w:p w14:paraId="09592CE0" w14:textId="50330A2F" w:rsidR="0039350E" w:rsidRPr="00DE058F" w:rsidRDefault="0039350E" w:rsidP="00451097">
      <w:pPr>
        <w:spacing w:before="360"/>
        <w:jc w:val="center"/>
        <w:rPr>
          <w:rFonts w:eastAsia="MS PGothic" w:cstheme="minorHAnsi"/>
          <w:b/>
          <w:color w:val="002060"/>
          <w:szCs w:val="20"/>
          <w:lang w:val="sr-Cyrl-CS" w:eastAsia="ja-JP"/>
        </w:rPr>
      </w:pPr>
      <w:r w:rsidRPr="00DE058F">
        <w:rPr>
          <w:rFonts w:eastAsia="MS PGothic" w:cstheme="minorHAnsi"/>
          <w:b/>
          <w:color w:val="002060"/>
          <w:szCs w:val="20"/>
          <w:lang w:val="sr-Cyrl-CS" w:eastAsia="ja-JP"/>
        </w:rPr>
        <w:t>Табела 1</w:t>
      </w:r>
      <w:r w:rsidR="00623E62" w:rsidRPr="00DE058F">
        <w:rPr>
          <w:rFonts w:eastAsia="MS PGothic" w:cstheme="minorHAnsi"/>
          <w:b/>
          <w:color w:val="002060"/>
          <w:szCs w:val="20"/>
          <w:lang w:val="sr-Cyrl-CS" w:eastAsia="ja-JP"/>
        </w:rPr>
        <w:t>2</w:t>
      </w:r>
      <w:r w:rsidRPr="00DE058F">
        <w:rPr>
          <w:rFonts w:eastAsia="MS PGothic" w:cstheme="minorHAnsi"/>
          <w:b/>
          <w:color w:val="002060"/>
          <w:szCs w:val="20"/>
          <w:lang w:val="sr-Cyrl-CS" w:eastAsia="ja-JP"/>
        </w:rPr>
        <w:t>. Поређење фискалних показатеља два програма, у % БДП</w:t>
      </w:r>
    </w:p>
    <w:tbl>
      <w:tblPr>
        <w:tblStyle w:val="ListTable6Colorful-Accent610"/>
        <w:tblW w:w="5000" w:type="pct"/>
        <w:tblLook w:val="04A0" w:firstRow="1" w:lastRow="0" w:firstColumn="1" w:lastColumn="0" w:noHBand="0" w:noVBand="1"/>
      </w:tblPr>
      <w:tblGrid>
        <w:gridCol w:w="3666"/>
        <w:gridCol w:w="1139"/>
        <w:gridCol w:w="1139"/>
        <w:gridCol w:w="1138"/>
        <w:gridCol w:w="1138"/>
        <w:gridCol w:w="1140"/>
      </w:tblGrid>
      <w:tr w:rsidR="0039350E" w:rsidRPr="00DE058F" w14:paraId="1146B3F1" w14:textId="77777777" w:rsidTr="00953528">
        <w:trPr>
          <w:cnfStyle w:val="100000000000" w:firstRow="1" w:lastRow="0" w:firstColumn="0" w:lastColumn="0" w:oddVBand="0" w:evenVBand="0" w:oddHBand="0"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957" w:type="pct"/>
            <w:tcBorders>
              <w:top w:val="single" w:sz="4" w:space="0" w:color="002060"/>
              <w:bottom w:val="single" w:sz="4" w:space="0" w:color="FFFFFF" w:themeColor="background1"/>
            </w:tcBorders>
            <w:shd w:val="clear" w:color="auto" w:fill="FFFFFF" w:themeFill="background1"/>
            <w:noWrap/>
            <w:hideMark/>
          </w:tcPr>
          <w:p w14:paraId="3D1B46EC" w14:textId="77777777" w:rsidR="0039350E" w:rsidRPr="00DE058F" w:rsidRDefault="0039350E"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p>
        </w:tc>
        <w:tc>
          <w:tcPr>
            <w:tcW w:w="608" w:type="pct"/>
            <w:tcBorders>
              <w:top w:val="single" w:sz="4" w:space="0" w:color="002060"/>
              <w:bottom w:val="single" w:sz="4" w:space="0" w:color="002060"/>
            </w:tcBorders>
            <w:shd w:val="clear" w:color="auto" w:fill="FFFFFF" w:themeFill="background1"/>
            <w:noWrap/>
            <w:hideMark/>
          </w:tcPr>
          <w:p w14:paraId="5A7C9264" w14:textId="77777777" w:rsidR="0039350E" w:rsidRPr="00DE058F" w:rsidRDefault="0039350E" w:rsidP="00953528">
            <w:pPr>
              <w:keepNext/>
              <w:widowControl w:val="0"/>
              <w:shd w:val="clear" w:color="auto" w:fill="FFFFFF" w:themeFill="background1"/>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002060"/>
                <w:sz w:val="18"/>
                <w:szCs w:val="18"/>
                <w:lang w:val="sr-Cyrl-CS"/>
              </w:rPr>
            </w:pPr>
            <w:r w:rsidRPr="00DE058F">
              <w:rPr>
                <w:rFonts w:eastAsia="Times New Roman" w:cstheme="minorHAnsi"/>
                <w:b w:val="0"/>
                <w:color w:val="002060"/>
                <w:sz w:val="18"/>
                <w:szCs w:val="18"/>
                <w:lang w:val="sr-Cyrl-CS"/>
              </w:rPr>
              <w:t>2021</w:t>
            </w:r>
          </w:p>
        </w:tc>
        <w:tc>
          <w:tcPr>
            <w:tcW w:w="608" w:type="pct"/>
            <w:tcBorders>
              <w:top w:val="single" w:sz="4" w:space="0" w:color="002060"/>
              <w:bottom w:val="single" w:sz="4" w:space="0" w:color="002060"/>
            </w:tcBorders>
            <w:shd w:val="clear" w:color="auto" w:fill="FFFFFF" w:themeFill="background1"/>
            <w:noWrap/>
            <w:hideMark/>
          </w:tcPr>
          <w:p w14:paraId="7808EB2E" w14:textId="77777777" w:rsidR="0039350E" w:rsidRPr="00DE058F" w:rsidRDefault="0039350E" w:rsidP="00953528">
            <w:pPr>
              <w:keepNext/>
              <w:widowControl w:val="0"/>
              <w:shd w:val="clear" w:color="auto" w:fill="FFFFFF" w:themeFill="background1"/>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002060"/>
                <w:sz w:val="18"/>
                <w:szCs w:val="18"/>
                <w:lang w:val="sr-Cyrl-CS"/>
              </w:rPr>
            </w:pPr>
            <w:r w:rsidRPr="00DE058F">
              <w:rPr>
                <w:rFonts w:eastAsia="Times New Roman" w:cstheme="minorHAnsi"/>
                <w:b w:val="0"/>
                <w:color w:val="002060"/>
                <w:sz w:val="18"/>
                <w:szCs w:val="18"/>
                <w:lang w:val="sr-Cyrl-CS"/>
              </w:rPr>
              <w:t>2022</w:t>
            </w:r>
          </w:p>
        </w:tc>
        <w:tc>
          <w:tcPr>
            <w:tcW w:w="608" w:type="pct"/>
            <w:tcBorders>
              <w:top w:val="single" w:sz="4" w:space="0" w:color="002060"/>
              <w:bottom w:val="single" w:sz="4" w:space="0" w:color="002060"/>
            </w:tcBorders>
            <w:shd w:val="clear" w:color="auto" w:fill="FFFFFF" w:themeFill="background1"/>
            <w:noWrap/>
            <w:hideMark/>
          </w:tcPr>
          <w:p w14:paraId="09333049" w14:textId="77777777" w:rsidR="0039350E" w:rsidRPr="00DE058F" w:rsidRDefault="0039350E" w:rsidP="00953528">
            <w:pPr>
              <w:keepNext/>
              <w:widowControl w:val="0"/>
              <w:shd w:val="clear" w:color="auto" w:fill="FFFFFF" w:themeFill="background1"/>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002060"/>
                <w:sz w:val="18"/>
                <w:szCs w:val="18"/>
                <w:lang w:val="sr-Cyrl-CS"/>
              </w:rPr>
            </w:pPr>
            <w:r w:rsidRPr="00DE058F">
              <w:rPr>
                <w:rFonts w:eastAsia="Times New Roman" w:cstheme="minorHAnsi"/>
                <w:b w:val="0"/>
                <w:color w:val="002060"/>
                <w:sz w:val="18"/>
                <w:szCs w:val="18"/>
                <w:lang w:val="sr-Cyrl-CS"/>
              </w:rPr>
              <w:t>2023</w:t>
            </w:r>
          </w:p>
        </w:tc>
        <w:tc>
          <w:tcPr>
            <w:tcW w:w="608" w:type="pct"/>
            <w:tcBorders>
              <w:top w:val="single" w:sz="4" w:space="0" w:color="002060"/>
              <w:bottom w:val="single" w:sz="4" w:space="0" w:color="002060"/>
            </w:tcBorders>
            <w:shd w:val="clear" w:color="auto" w:fill="FFFFFF" w:themeFill="background1"/>
            <w:noWrap/>
            <w:hideMark/>
          </w:tcPr>
          <w:p w14:paraId="0BD01BA4" w14:textId="77777777" w:rsidR="0039350E" w:rsidRPr="00DE058F" w:rsidRDefault="0039350E" w:rsidP="00953528">
            <w:pPr>
              <w:keepNext/>
              <w:widowControl w:val="0"/>
              <w:shd w:val="clear" w:color="auto" w:fill="FFFFFF" w:themeFill="background1"/>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002060"/>
                <w:sz w:val="18"/>
                <w:szCs w:val="18"/>
                <w:lang w:val="sr-Cyrl-CS"/>
              </w:rPr>
            </w:pPr>
            <w:r w:rsidRPr="00DE058F">
              <w:rPr>
                <w:rFonts w:eastAsia="Times New Roman" w:cstheme="minorHAnsi"/>
                <w:b w:val="0"/>
                <w:color w:val="002060"/>
                <w:sz w:val="18"/>
                <w:szCs w:val="18"/>
                <w:lang w:val="sr-Cyrl-CS"/>
              </w:rPr>
              <w:t>2024</w:t>
            </w:r>
          </w:p>
        </w:tc>
        <w:tc>
          <w:tcPr>
            <w:tcW w:w="609" w:type="pct"/>
            <w:tcBorders>
              <w:top w:val="single" w:sz="4" w:space="0" w:color="002060"/>
              <w:bottom w:val="single" w:sz="4" w:space="0" w:color="002060"/>
            </w:tcBorders>
            <w:shd w:val="clear" w:color="auto" w:fill="FFFFFF" w:themeFill="background1"/>
            <w:noWrap/>
            <w:hideMark/>
          </w:tcPr>
          <w:p w14:paraId="49C1221E" w14:textId="77777777" w:rsidR="0039350E" w:rsidRPr="00DE058F" w:rsidRDefault="0039350E" w:rsidP="00953528">
            <w:pPr>
              <w:keepNext/>
              <w:widowControl w:val="0"/>
              <w:shd w:val="clear" w:color="auto" w:fill="FFFFFF" w:themeFill="background1"/>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002060"/>
                <w:sz w:val="18"/>
                <w:szCs w:val="18"/>
                <w:lang w:val="sr-Cyrl-CS"/>
              </w:rPr>
            </w:pPr>
            <w:r w:rsidRPr="00DE058F">
              <w:rPr>
                <w:rFonts w:eastAsia="Times New Roman" w:cstheme="minorHAnsi"/>
                <w:b w:val="0"/>
                <w:color w:val="002060"/>
                <w:sz w:val="18"/>
                <w:szCs w:val="18"/>
                <w:lang w:val="sr-Cyrl-CS"/>
              </w:rPr>
              <w:t>2025</w:t>
            </w:r>
          </w:p>
        </w:tc>
      </w:tr>
      <w:tr w:rsidR="0039350E" w:rsidRPr="00DE058F" w14:paraId="6A5FF8AD" w14:textId="77777777" w:rsidTr="00953528">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957" w:type="pct"/>
            <w:tcBorders>
              <w:top w:val="single" w:sz="4" w:space="0" w:color="FFFFFF" w:themeColor="background1"/>
            </w:tcBorders>
            <w:shd w:val="clear" w:color="auto" w:fill="FFFFFF" w:themeFill="background1"/>
            <w:noWrap/>
            <w:hideMark/>
          </w:tcPr>
          <w:p w14:paraId="6071CC43" w14:textId="77777777" w:rsidR="0039350E" w:rsidRPr="00DE058F" w:rsidRDefault="0039350E"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r w:rsidRPr="00DE058F">
              <w:rPr>
                <w:rFonts w:eastAsia="Times New Roman" w:cstheme="minorHAnsi"/>
                <w:b w:val="0"/>
                <w:color w:val="002060"/>
                <w:sz w:val="18"/>
                <w:szCs w:val="18"/>
                <w:lang w:val="sr-Cyrl-CS"/>
              </w:rPr>
              <w:t>Ревидирана Фискална стратегија 2022–2024</w:t>
            </w:r>
          </w:p>
        </w:tc>
        <w:tc>
          <w:tcPr>
            <w:tcW w:w="608" w:type="pct"/>
            <w:tcBorders>
              <w:top w:val="single" w:sz="4" w:space="0" w:color="002060"/>
            </w:tcBorders>
            <w:shd w:val="clear" w:color="auto" w:fill="FFFFFF" w:themeFill="background1"/>
            <w:noWrap/>
            <w:hideMark/>
          </w:tcPr>
          <w:p w14:paraId="08B60A86"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8" w:type="pct"/>
            <w:tcBorders>
              <w:top w:val="single" w:sz="4" w:space="0" w:color="002060"/>
            </w:tcBorders>
            <w:shd w:val="clear" w:color="auto" w:fill="FFFFFF" w:themeFill="background1"/>
            <w:noWrap/>
            <w:hideMark/>
          </w:tcPr>
          <w:p w14:paraId="4ABE6489"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8" w:type="pct"/>
            <w:tcBorders>
              <w:top w:val="single" w:sz="4" w:space="0" w:color="002060"/>
            </w:tcBorders>
            <w:shd w:val="clear" w:color="auto" w:fill="FFFFFF" w:themeFill="background1"/>
            <w:noWrap/>
            <w:hideMark/>
          </w:tcPr>
          <w:p w14:paraId="0523BBE8"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8" w:type="pct"/>
            <w:tcBorders>
              <w:top w:val="single" w:sz="4" w:space="0" w:color="002060"/>
            </w:tcBorders>
            <w:shd w:val="clear" w:color="auto" w:fill="FFFFFF" w:themeFill="background1"/>
            <w:noWrap/>
            <w:hideMark/>
          </w:tcPr>
          <w:p w14:paraId="46EC687B"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9" w:type="pct"/>
            <w:tcBorders>
              <w:top w:val="single" w:sz="4" w:space="0" w:color="002060"/>
            </w:tcBorders>
            <w:shd w:val="clear" w:color="auto" w:fill="FFFFFF" w:themeFill="background1"/>
            <w:noWrap/>
            <w:hideMark/>
          </w:tcPr>
          <w:p w14:paraId="76710F2C"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r>
      <w:tr w:rsidR="0039350E" w:rsidRPr="00DE058F" w14:paraId="2066BF14" w14:textId="77777777" w:rsidTr="00953528">
        <w:trPr>
          <w:trHeight w:val="241"/>
        </w:trPr>
        <w:tc>
          <w:tcPr>
            <w:cnfStyle w:val="001000000000" w:firstRow="0" w:lastRow="0" w:firstColumn="1" w:lastColumn="0" w:oddVBand="0" w:evenVBand="0" w:oddHBand="0" w:evenHBand="0" w:firstRowFirstColumn="0" w:firstRowLastColumn="0" w:lastRowFirstColumn="0" w:lastRowLastColumn="0"/>
            <w:tcW w:w="1957" w:type="pct"/>
            <w:shd w:val="clear" w:color="auto" w:fill="FFFFFF" w:themeFill="background1"/>
            <w:noWrap/>
            <w:hideMark/>
          </w:tcPr>
          <w:p w14:paraId="7ED4020D" w14:textId="77777777" w:rsidR="0039350E" w:rsidRPr="00DE058F" w:rsidRDefault="0039350E"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r w:rsidRPr="00DE058F">
              <w:rPr>
                <w:rFonts w:eastAsia="Times New Roman" w:cstheme="minorHAnsi"/>
                <w:b w:val="0"/>
                <w:color w:val="002060"/>
                <w:sz w:val="18"/>
                <w:szCs w:val="18"/>
                <w:lang w:val="sr-Cyrl-CS"/>
              </w:rPr>
              <w:t>Приходи</w:t>
            </w:r>
          </w:p>
        </w:tc>
        <w:tc>
          <w:tcPr>
            <w:tcW w:w="608" w:type="pct"/>
            <w:shd w:val="clear" w:color="auto" w:fill="FFFFFF" w:themeFill="background1"/>
            <w:noWrap/>
            <w:hideMark/>
          </w:tcPr>
          <w:p w14:paraId="265F9A92"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43,5</w:t>
            </w:r>
          </w:p>
        </w:tc>
        <w:tc>
          <w:tcPr>
            <w:tcW w:w="608" w:type="pct"/>
            <w:shd w:val="clear" w:color="auto" w:fill="FFFFFF" w:themeFill="background1"/>
            <w:noWrap/>
            <w:hideMark/>
          </w:tcPr>
          <w:p w14:paraId="3CB9919B"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42,2</w:t>
            </w:r>
          </w:p>
        </w:tc>
        <w:tc>
          <w:tcPr>
            <w:tcW w:w="608" w:type="pct"/>
            <w:shd w:val="clear" w:color="auto" w:fill="FFFFFF" w:themeFill="background1"/>
            <w:noWrap/>
            <w:hideMark/>
          </w:tcPr>
          <w:p w14:paraId="3613B47C"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41,4</w:t>
            </w:r>
          </w:p>
        </w:tc>
        <w:tc>
          <w:tcPr>
            <w:tcW w:w="608" w:type="pct"/>
            <w:shd w:val="clear" w:color="auto" w:fill="FFFFFF" w:themeFill="background1"/>
            <w:noWrap/>
            <w:hideMark/>
          </w:tcPr>
          <w:p w14:paraId="2CFFD656"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41,1</w:t>
            </w:r>
          </w:p>
        </w:tc>
        <w:tc>
          <w:tcPr>
            <w:tcW w:w="609" w:type="pct"/>
            <w:shd w:val="clear" w:color="auto" w:fill="FFFFFF" w:themeFill="background1"/>
            <w:noWrap/>
            <w:hideMark/>
          </w:tcPr>
          <w:p w14:paraId="6DCE5A2F"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w:t>
            </w:r>
          </w:p>
        </w:tc>
      </w:tr>
      <w:tr w:rsidR="0039350E" w:rsidRPr="00DE058F" w14:paraId="3DD39F01" w14:textId="77777777" w:rsidTr="00953528">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957" w:type="pct"/>
            <w:shd w:val="clear" w:color="auto" w:fill="FFFFFF" w:themeFill="background1"/>
            <w:noWrap/>
            <w:hideMark/>
          </w:tcPr>
          <w:p w14:paraId="20BD1B70" w14:textId="77777777" w:rsidR="0039350E" w:rsidRPr="00DE058F" w:rsidRDefault="0039350E"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r w:rsidRPr="00DE058F">
              <w:rPr>
                <w:rFonts w:eastAsia="Times New Roman" w:cstheme="minorHAnsi"/>
                <w:b w:val="0"/>
                <w:color w:val="002060"/>
                <w:sz w:val="18"/>
                <w:szCs w:val="18"/>
                <w:lang w:val="sr-Cyrl-CS"/>
              </w:rPr>
              <w:t>Расходи</w:t>
            </w:r>
          </w:p>
        </w:tc>
        <w:tc>
          <w:tcPr>
            <w:tcW w:w="608" w:type="pct"/>
            <w:shd w:val="clear" w:color="auto" w:fill="FFFFFF" w:themeFill="background1"/>
            <w:noWrap/>
            <w:hideMark/>
          </w:tcPr>
          <w:p w14:paraId="11D261DF"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48,4</w:t>
            </w:r>
          </w:p>
        </w:tc>
        <w:tc>
          <w:tcPr>
            <w:tcW w:w="608" w:type="pct"/>
            <w:shd w:val="clear" w:color="auto" w:fill="FFFFFF" w:themeFill="background1"/>
            <w:noWrap/>
            <w:hideMark/>
          </w:tcPr>
          <w:p w14:paraId="4F0154BE"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45,3</w:t>
            </w:r>
          </w:p>
        </w:tc>
        <w:tc>
          <w:tcPr>
            <w:tcW w:w="608" w:type="pct"/>
            <w:shd w:val="clear" w:color="auto" w:fill="FFFFFF" w:themeFill="background1"/>
            <w:noWrap/>
            <w:hideMark/>
          </w:tcPr>
          <w:p w14:paraId="011CE7BA"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42,9</w:t>
            </w:r>
          </w:p>
        </w:tc>
        <w:tc>
          <w:tcPr>
            <w:tcW w:w="608" w:type="pct"/>
            <w:shd w:val="clear" w:color="auto" w:fill="FFFFFF" w:themeFill="background1"/>
            <w:noWrap/>
            <w:hideMark/>
          </w:tcPr>
          <w:p w14:paraId="4CF270DC"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42,1</w:t>
            </w:r>
          </w:p>
        </w:tc>
        <w:tc>
          <w:tcPr>
            <w:tcW w:w="609" w:type="pct"/>
            <w:shd w:val="clear" w:color="auto" w:fill="FFFFFF" w:themeFill="background1"/>
            <w:noWrap/>
            <w:hideMark/>
          </w:tcPr>
          <w:p w14:paraId="0BE07ACC"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w:t>
            </w:r>
          </w:p>
        </w:tc>
      </w:tr>
      <w:tr w:rsidR="0039350E" w:rsidRPr="00DE058F" w14:paraId="1022C61A" w14:textId="77777777" w:rsidTr="00953528">
        <w:trPr>
          <w:trHeight w:val="241"/>
        </w:trPr>
        <w:tc>
          <w:tcPr>
            <w:cnfStyle w:val="001000000000" w:firstRow="0" w:lastRow="0" w:firstColumn="1" w:lastColumn="0" w:oddVBand="0" w:evenVBand="0" w:oddHBand="0" w:evenHBand="0" w:firstRowFirstColumn="0" w:firstRowLastColumn="0" w:lastRowFirstColumn="0" w:lastRowLastColumn="0"/>
            <w:tcW w:w="1957" w:type="pct"/>
            <w:shd w:val="clear" w:color="auto" w:fill="FFFFFF" w:themeFill="background1"/>
            <w:noWrap/>
            <w:hideMark/>
          </w:tcPr>
          <w:p w14:paraId="7A87BA5C" w14:textId="77777777" w:rsidR="0039350E" w:rsidRPr="00DE058F" w:rsidRDefault="0039350E"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r w:rsidRPr="00DE058F">
              <w:rPr>
                <w:rFonts w:eastAsia="Times New Roman" w:cstheme="minorHAnsi"/>
                <w:b w:val="0"/>
                <w:color w:val="002060"/>
                <w:sz w:val="18"/>
                <w:szCs w:val="18"/>
                <w:lang w:val="sr-Cyrl-CS"/>
              </w:rPr>
              <w:t>Резултат</w:t>
            </w:r>
          </w:p>
        </w:tc>
        <w:tc>
          <w:tcPr>
            <w:tcW w:w="608" w:type="pct"/>
            <w:shd w:val="clear" w:color="auto" w:fill="FFFFFF" w:themeFill="background1"/>
            <w:noWrap/>
            <w:hideMark/>
          </w:tcPr>
          <w:p w14:paraId="440542D3"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-4,9</w:t>
            </w:r>
          </w:p>
        </w:tc>
        <w:tc>
          <w:tcPr>
            <w:tcW w:w="608" w:type="pct"/>
            <w:shd w:val="clear" w:color="auto" w:fill="FFFFFF" w:themeFill="background1"/>
            <w:noWrap/>
            <w:hideMark/>
          </w:tcPr>
          <w:p w14:paraId="18E1659B"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-3,0</w:t>
            </w:r>
          </w:p>
        </w:tc>
        <w:tc>
          <w:tcPr>
            <w:tcW w:w="608" w:type="pct"/>
            <w:shd w:val="clear" w:color="auto" w:fill="FFFFFF" w:themeFill="background1"/>
            <w:noWrap/>
            <w:hideMark/>
          </w:tcPr>
          <w:p w14:paraId="1A03B3B1"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-1,5</w:t>
            </w:r>
          </w:p>
        </w:tc>
        <w:tc>
          <w:tcPr>
            <w:tcW w:w="608" w:type="pct"/>
            <w:shd w:val="clear" w:color="auto" w:fill="FFFFFF" w:themeFill="background1"/>
            <w:noWrap/>
            <w:hideMark/>
          </w:tcPr>
          <w:p w14:paraId="1B11529D"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-1,0</w:t>
            </w:r>
          </w:p>
        </w:tc>
        <w:tc>
          <w:tcPr>
            <w:tcW w:w="609" w:type="pct"/>
            <w:shd w:val="clear" w:color="auto" w:fill="FFFFFF" w:themeFill="background1"/>
            <w:noWrap/>
            <w:hideMark/>
          </w:tcPr>
          <w:p w14:paraId="029B0530"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w:t>
            </w:r>
          </w:p>
        </w:tc>
      </w:tr>
      <w:tr w:rsidR="0039350E" w:rsidRPr="00DE058F" w14:paraId="6B5B2D5C" w14:textId="77777777" w:rsidTr="00953528">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957" w:type="pct"/>
            <w:shd w:val="clear" w:color="auto" w:fill="FFFFFF" w:themeFill="background1"/>
            <w:noWrap/>
            <w:hideMark/>
          </w:tcPr>
          <w:p w14:paraId="211687C0" w14:textId="77777777" w:rsidR="0039350E" w:rsidRPr="00DE058F" w:rsidRDefault="0039350E"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r w:rsidRPr="00DE058F">
              <w:rPr>
                <w:rFonts w:eastAsia="Times New Roman" w:cstheme="minorHAnsi"/>
                <w:b w:val="0"/>
                <w:color w:val="002060"/>
                <w:sz w:val="18"/>
                <w:szCs w:val="18"/>
                <w:lang w:val="sr-Cyrl-CS"/>
              </w:rPr>
              <w:t>Фискална стратегија 2023–2025</w:t>
            </w:r>
          </w:p>
        </w:tc>
        <w:tc>
          <w:tcPr>
            <w:tcW w:w="608" w:type="pct"/>
            <w:shd w:val="clear" w:color="auto" w:fill="FFFFFF" w:themeFill="background1"/>
            <w:noWrap/>
            <w:hideMark/>
          </w:tcPr>
          <w:p w14:paraId="786292FC"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8" w:type="pct"/>
            <w:shd w:val="clear" w:color="auto" w:fill="FFFFFF" w:themeFill="background1"/>
            <w:noWrap/>
            <w:hideMark/>
          </w:tcPr>
          <w:p w14:paraId="78ADBD43"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8" w:type="pct"/>
            <w:tcBorders>
              <w:bottom w:val="nil"/>
            </w:tcBorders>
            <w:shd w:val="clear" w:color="auto" w:fill="FFFFFF" w:themeFill="background1"/>
            <w:noWrap/>
            <w:hideMark/>
          </w:tcPr>
          <w:p w14:paraId="3C42ACF3"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8" w:type="pct"/>
            <w:tcBorders>
              <w:bottom w:val="nil"/>
            </w:tcBorders>
            <w:shd w:val="clear" w:color="auto" w:fill="FFFFFF" w:themeFill="background1"/>
            <w:noWrap/>
            <w:hideMark/>
          </w:tcPr>
          <w:p w14:paraId="64F1B89F"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9" w:type="pct"/>
            <w:tcBorders>
              <w:bottom w:val="nil"/>
            </w:tcBorders>
            <w:shd w:val="clear" w:color="auto" w:fill="FFFFFF" w:themeFill="background1"/>
            <w:noWrap/>
            <w:hideMark/>
          </w:tcPr>
          <w:p w14:paraId="28449D81"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r>
      <w:tr w:rsidR="0039350E" w:rsidRPr="00DE058F" w14:paraId="062913C9" w14:textId="77777777" w:rsidTr="00953528">
        <w:trPr>
          <w:trHeight w:val="241"/>
        </w:trPr>
        <w:tc>
          <w:tcPr>
            <w:cnfStyle w:val="001000000000" w:firstRow="0" w:lastRow="0" w:firstColumn="1" w:lastColumn="0" w:oddVBand="0" w:evenVBand="0" w:oddHBand="0" w:evenHBand="0" w:firstRowFirstColumn="0" w:firstRowLastColumn="0" w:lastRowFirstColumn="0" w:lastRowLastColumn="0"/>
            <w:tcW w:w="1957" w:type="pct"/>
            <w:shd w:val="clear" w:color="auto" w:fill="FFFFFF" w:themeFill="background1"/>
            <w:noWrap/>
            <w:hideMark/>
          </w:tcPr>
          <w:p w14:paraId="23E817E9" w14:textId="77777777" w:rsidR="0039350E" w:rsidRPr="00DE058F" w:rsidRDefault="0039350E"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r w:rsidRPr="00DE058F">
              <w:rPr>
                <w:rFonts w:eastAsia="Times New Roman" w:cstheme="minorHAnsi"/>
                <w:b w:val="0"/>
                <w:color w:val="002060"/>
                <w:sz w:val="18"/>
                <w:szCs w:val="18"/>
                <w:lang w:val="sr-Cyrl-CS"/>
              </w:rPr>
              <w:t>Приходи</w:t>
            </w:r>
          </w:p>
        </w:tc>
        <w:tc>
          <w:tcPr>
            <w:tcW w:w="608" w:type="pct"/>
            <w:shd w:val="clear" w:color="auto" w:fill="FFFFFF" w:themeFill="background1"/>
            <w:noWrap/>
            <w:hideMark/>
          </w:tcPr>
          <w:p w14:paraId="19EA184B"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43,3</w:t>
            </w:r>
          </w:p>
        </w:tc>
        <w:tc>
          <w:tcPr>
            <w:tcW w:w="608" w:type="pct"/>
            <w:shd w:val="clear" w:color="auto" w:fill="FFFFFF" w:themeFill="background1"/>
            <w:noWrap/>
            <w:hideMark/>
          </w:tcPr>
          <w:p w14:paraId="44B2B622"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42,0</w:t>
            </w:r>
          </w:p>
        </w:tc>
        <w:tc>
          <w:tcPr>
            <w:tcW w:w="608" w:type="pct"/>
            <w:tcBorders>
              <w:top w:val="nil"/>
              <w:bottom w:val="nil"/>
            </w:tcBorders>
            <w:shd w:val="clear" w:color="auto" w:fill="auto"/>
            <w:noWrap/>
            <w:vAlign w:val="center"/>
            <w:hideMark/>
          </w:tcPr>
          <w:p w14:paraId="17021BBB"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cstheme="minorHAnsi"/>
                <w:color w:val="002060"/>
                <w:sz w:val="18"/>
                <w:szCs w:val="18"/>
                <w:lang w:val="sr-Cyrl-CS"/>
              </w:rPr>
              <w:t>41,2</w:t>
            </w:r>
          </w:p>
        </w:tc>
        <w:tc>
          <w:tcPr>
            <w:tcW w:w="608" w:type="pct"/>
            <w:tcBorders>
              <w:top w:val="nil"/>
              <w:bottom w:val="nil"/>
            </w:tcBorders>
            <w:shd w:val="clear" w:color="auto" w:fill="auto"/>
            <w:noWrap/>
            <w:vAlign w:val="center"/>
            <w:hideMark/>
          </w:tcPr>
          <w:p w14:paraId="46EEA58E"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cstheme="minorHAnsi"/>
                <w:color w:val="002060"/>
                <w:sz w:val="18"/>
                <w:szCs w:val="18"/>
                <w:lang w:val="sr-Cyrl-CS"/>
              </w:rPr>
              <w:t>40,7</w:t>
            </w:r>
          </w:p>
        </w:tc>
        <w:tc>
          <w:tcPr>
            <w:tcW w:w="609" w:type="pct"/>
            <w:tcBorders>
              <w:top w:val="nil"/>
              <w:bottom w:val="nil"/>
            </w:tcBorders>
            <w:shd w:val="clear" w:color="auto" w:fill="auto"/>
            <w:noWrap/>
            <w:vAlign w:val="center"/>
            <w:hideMark/>
          </w:tcPr>
          <w:p w14:paraId="4C522382"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cstheme="minorHAnsi"/>
                <w:color w:val="002060"/>
                <w:sz w:val="18"/>
                <w:szCs w:val="18"/>
                <w:lang w:val="sr-Cyrl-CS"/>
              </w:rPr>
              <w:t>40,1</w:t>
            </w:r>
          </w:p>
        </w:tc>
      </w:tr>
      <w:tr w:rsidR="0039350E" w:rsidRPr="00DE058F" w14:paraId="7AD8DCBF" w14:textId="77777777" w:rsidTr="00953528">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957" w:type="pct"/>
            <w:shd w:val="clear" w:color="auto" w:fill="FFFFFF" w:themeFill="background1"/>
            <w:noWrap/>
            <w:hideMark/>
          </w:tcPr>
          <w:p w14:paraId="70E8CC86" w14:textId="77777777" w:rsidR="0039350E" w:rsidRPr="00DE058F" w:rsidRDefault="0039350E"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r w:rsidRPr="00DE058F">
              <w:rPr>
                <w:rFonts w:eastAsia="Times New Roman" w:cstheme="minorHAnsi"/>
                <w:b w:val="0"/>
                <w:color w:val="002060"/>
                <w:sz w:val="18"/>
                <w:szCs w:val="18"/>
                <w:lang w:val="sr-Cyrl-CS"/>
              </w:rPr>
              <w:t>Расходи</w:t>
            </w:r>
          </w:p>
        </w:tc>
        <w:tc>
          <w:tcPr>
            <w:tcW w:w="608" w:type="pct"/>
            <w:shd w:val="clear" w:color="auto" w:fill="FFFFFF" w:themeFill="background1"/>
            <w:noWrap/>
            <w:hideMark/>
          </w:tcPr>
          <w:p w14:paraId="2DFB2DF6"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47,4</w:t>
            </w:r>
          </w:p>
        </w:tc>
        <w:tc>
          <w:tcPr>
            <w:tcW w:w="608" w:type="pct"/>
            <w:shd w:val="clear" w:color="auto" w:fill="FFFFFF" w:themeFill="background1"/>
            <w:noWrap/>
            <w:hideMark/>
          </w:tcPr>
          <w:p w14:paraId="181F04D2"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45,0</w:t>
            </w:r>
          </w:p>
        </w:tc>
        <w:tc>
          <w:tcPr>
            <w:tcW w:w="608" w:type="pct"/>
            <w:tcBorders>
              <w:top w:val="nil"/>
            </w:tcBorders>
            <w:shd w:val="clear" w:color="auto" w:fill="auto"/>
            <w:noWrap/>
            <w:vAlign w:val="center"/>
            <w:hideMark/>
          </w:tcPr>
          <w:p w14:paraId="7908A695"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DE058F">
              <w:rPr>
                <w:rFonts w:cstheme="minorHAnsi"/>
                <w:color w:val="002060"/>
                <w:sz w:val="18"/>
                <w:szCs w:val="18"/>
                <w:lang w:val="sr-Cyrl-CS"/>
              </w:rPr>
              <w:t>42,7</w:t>
            </w:r>
          </w:p>
        </w:tc>
        <w:tc>
          <w:tcPr>
            <w:tcW w:w="608" w:type="pct"/>
            <w:tcBorders>
              <w:top w:val="nil"/>
            </w:tcBorders>
            <w:shd w:val="clear" w:color="auto" w:fill="auto"/>
            <w:noWrap/>
            <w:vAlign w:val="center"/>
            <w:hideMark/>
          </w:tcPr>
          <w:p w14:paraId="5BEB881B"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DE058F">
              <w:rPr>
                <w:rFonts w:cstheme="minorHAnsi"/>
                <w:color w:val="002060"/>
                <w:sz w:val="18"/>
                <w:szCs w:val="18"/>
                <w:lang w:val="sr-Cyrl-CS"/>
              </w:rPr>
              <w:t>41,7</w:t>
            </w:r>
          </w:p>
        </w:tc>
        <w:tc>
          <w:tcPr>
            <w:tcW w:w="609" w:type="pct"/>
            <w:tcBorders>
              <w:top w:val="nil"/>
            </w:tcBorders>
            <w:shd w:val="clear" w:color="auto" w:fill="auto"/>
            <w:noWrap/>
            <w:vAlign w:val="center"/>
            <w:hideMark/>
          </w:tcPr>
          <w:p w14:paraId="75D155E3"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DE058F">
              <w:rPr>
                <w:rFonts w:cstheme="minorHAnsi"/>
                <w:color w:val="002060"/>
                <w:sz w:val="18"/>
                <w:szCs w:val="18"/>
                <w:lang w:val="sr-Cyrl-CS"/>
              </w:rPr>
              <w:t>40,6</w:t>
            </w:r>
          </w:p>
        </w:tc>
      </w:tr>
      <w:tr w:rsidR="0039350E" w:rsidRPr="00DE058F" w14:paraId="5C6555A4" w14:textId="77777777" w:rsidTr="00953528">
        <w:trPr>
          <w:trHeight w:val="241"/>
        </w:trPr>
        <w:tc>
          <w:tcPr>
            <w:cnfStyle w:val="001000000000" w:firstRow="0" w:lastRow="0" w:firstColumn="1" w:lastColumn="0" w:oddVBand="0" w:evenVBand="0" w:oddHBand="0" w:evenHBand="0" w:firstRowFirstColumn="0" w:firstRowLastColumn="0" w:lastRowFirstColumn="0" w:lastRowLastColumn="0"/>
            <w:tcW w:w="1957" w:type="pct"/>
            <w:shd w:val="clear" w:color="auto" w:fill="FFFFFF" w:themeFill="background1"/>
            <w:noWrap/>
            <w:hideMark/>
          </w:tcPr>
          <w:p w14:paraId="6C99922E" w14:textId="77777777" w:rsidR="0039350E" w:rsidRPr="00DE058F" w:rsidRDefault="0039350E"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r w:rsidRPr="00DE058F">
              <w:rPr>
                <w:rFonts w:eastAsia="Times New Roman" w:cstheme="minorHAnsi"/>
                <w:b w:val="0"/>
                <w:color w:val="002060"/>
                <w:sz w:val="18"/>
                <w:szCs w:val="18"/>
                <w:lang w:val="sr-Cyrl-CS"/>
              </w:rPr>
              <w:t>Резултат</w:t>
            </w:r>
          </w:p>
        </w:tc>
        <w:tc>
          <w:tcPr>
            <w:tcW w:w="608" w:type="pct"/>
            <w:shd w:val="clear" w:color="auto" w:fill="FFFFFF" w:themeFill="background1"/>
            <w:noWrap/>
            <w:hideMark/>
          </w:tcPr>
          <w:p w14:paraId="5A89E638"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-4,1</w:t>
            </w:r>
          </w:p>
        </w:tc>
        <w:tc>
          <w:tcPr>
            <w:tcW w:w="608" w:type="pct"/>
            <w:shd w:val="clear" w:color="auto" w:fill="FFFFFF" w:themeFill="background1"/>
            <w:noWrap/>
            <w:hideMark/>
          </w:tcPr>
          <w:p w14:paraId="7751E7C1"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-3,0</w:t>
            </w:r>
          </w:p>
        </w:tc>
        <w:tc>
          <w:tcPr>
            <w:tcW w:w="608" w:type="pct"/>
            <w:shd w:val="clear" w:color="auto" w:fill="FFFFFF" w:themeFill="background1"/>
            <w:noWrap/>
            <w:hideMark/>
          </w:tcPr>
          <w:p w14:paraId="1C34C928"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-1,5</w:t>
            </w:r>
          </w:p>
        </w:tc>
        <w:tc>
          <w:tcPr>
            <w:tcW w:w="608" w:type="pct"/>
            <w:shd w:val="clear" w:color="auto" w:fill="FFFFFF" w:themeFill="background1"/>
            <w:noWrap/>
            <w:hideMark/>
          </w:tcPr>
          <w:p w14:paraId="3015C8B1"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-1,0</w:t>
            </w:r>
          </w:p>
        </w:tc>
        <w:tc>
          <w:tcPr>
            <w:tcW w:w="609" w:type="pct"/>
            <w:shd w:val="clear" w:color="auto" w:fill="FFFFFF" w:themeFill="background1"/>
            <w:noWrap/>
            <w:hideMark/>
          </w:tcPr>
          <w:p w14:paraId="4EC0FAE0"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color w:val="002060"/>
                <w:sz w:val="18"/>
                <w:szCs w:val="18"/>
                <w:lang w:val="sr-Cyrl-CS"/>
              </w:rPr>
              <w:t>-0,5</w:t>
            </w:r>
          </w:p>
        </w:tc>
      </w:tr>
      <w:tr w:rsidR="0039350E" w:rsidRPr="00DE058F" w14:paraId="1ADECABE" w14:textId="77777777" w:rsidTr="00953528">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957" w:type="pct"/>
            <w:shd w:val="clear" w:color="auto" w:fill="FFFFFF" w:themeFill="background1"/>
            <w:noWrap/>
            <w:hideMark/>
          </w:tcPr>
          <w:p w14:paraId="36934E7E" w14:textId="77777777" w:rsidR="0039350E" w:rsidRPr="00DE058F" w:rsidRDefault="0039350E"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r w:rsidRPr="00DE058F">
              <w:rPr>
                <w:rFonts w:eastAsia="Times New Roman" w:cstheme="minorHAnsi"/>
                <w:b w:val="0"/>
                <w:color w:val="002060"/>
                <w:sz w:val="18"/>
                <w:szCs w:val="18"/>
                <w:lang w:val="sr-Cyrl-CS"/>
              </w:rPr>
              <w:t>Разлика</w:t>
            </w:r>
          </w:p>
        </w:tc>
        <w:tc>
          <w:tcPr>
            <w:tcW w:w="608" w:type="pct"/>
            <w:shd w:val="clear" w:color="auto" w:fill="FFFFFF" w:themeFill="background1"/>
            <w:noWrap/>
            <w:hideMark/>
          </w:tcPr>
          <w:p w14:paraId="4C37106A"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8" w:type="pct"/>
            <w:shd w:val="clear" w:color="auto" w:fill="FFFFFF" w:themeFill="background1"/>
            <w:noWrap/>
            <w:hideMark/>
          </w:tcPr>
          <w:p w14:paraId="777D87C6"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8" w:type="pct"/>
            <w:shd w:val="clear" w:color="auto" w:fill="FFFFFF" w:themeFill="background1"/>
            <w:noWrap/>
            <w:hideMark/>
          </w:tcPr>
          <w:p w14:paraId="25CEABE5"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8" w:type="pct"/>
            <w:shd w:val="clear" w:color="auto" w:fill="FFFFFF" w:themeFill="background1"/>
            <w:noWrap/>
            <w:hideMark/>
          </w:tcPr>
          <w:p w14:paraId="04A53880"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c>
          <w:tcPr>
            <w:tcW w:w="609" w:type="pct"/>
            <w:shd w:val="clear" w:color="auto" w:fill="FFFFFF" w:themeFill="background1"/>
            <w:noWrap/>
            <w:hideMark/>
          </w:tcPr>
          <w:p w14:paraId="517544D7"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p>
        </w:tc>
      </w:tr>
      <w:tr w:rsidR="0039350E" w:rsidRPr="00DE058F" w14:paraId="52D82AB4" w14:textId="77777777" w:rsidTr="00953528">
        <w:trPr>
          <w:trHeight w:val="241"/>
        </w:trPr>
        <w:tc>
          <w:tcPr>
            <w:cnfStyle w:val="001000000000" w:firstRow="0" w:lastRow="0" w:firstColumn="1" w:lastColumn="0" w:oddVBand="0" w:evenVBand="0" w:oddHBand="0" w:evenHBand="0" w:firstRowFirstColumn="0" w:firstRowLastColumn="0" w:lastRowFirstColumn="0" w:lastRowLastColumn="0"/>
            <w:tcW w:w="1957" w:type="pct"/>
            <w:shd w:val="clear" w:color="auto" w:fill="FFFFFF" w:themeFill="background1"/>
            <w:noWrap/>
            <w:hideMark/>
          </w:tcPr>
          <w:p w14:paraId="70149E4E" w14:textId="77777777" w:rsidR="0039350E" w:rsidRPr="00DE058F" w:rsidRDefault="0039350E"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r w:rsidRPr="00DE058F">
              <w:rPr>
                <w:rFonts w:eastAsia="Times New Roman" w:cstheme="minorHAnsi"/>
                <w:b w:val="0"/>
                <w:color w:val="002060"/>
                <w:sz w:val="18"/>
                <w:szCs w:val="18"/>
                <w:lang w:val="sr-Cyrl-CS"/>
              </w:rPr>
              <w:t>Приходи</w:t>
            </w:r>
          </w:p>
        </w:tc>
        <w:tc>
          <w:tcPr>
            <w:tcW w:w="608" w:type="pct"/>
            <w:shd w:val="clear" w:color="auto" w:fill="FFFFFF" w:themeFill="background1"/>
            <w:noWrap/>
            <w:hideMark/>
          </w:tcPr>
          <w:p w14:paraId="620A1AE2"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bCs/>
                <w:color w:val="002060"/>
                <w:sz w:val="18"/>
                <w:szCs w:val="18"/>
                <w:lang w:val="sr-Cyrl-CS"/>
              </w:rPr>
              <w:t>-0,2</w:t>
            </w:r>
          </w:p>
        </w:tc>
        <w:tc>
          <w:tcPr>
            <w:tcW w:w="608" w:type="pct"/>
            <w:shd w:val="clear" w:color="auto" w:fill="FFFFFF" w:themeFill="background1"/>
            <w:noWrap/>
            <w:hideMark/>
          </w:tcPr>
          <w:p w14:paraId="38B63661"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bCs/>
                <w:color w:val="002060"/>
                <w:sz w:val="18"/>
                <w:szCs w:val="18"/>
                <w:lang w:val="sr-Cyrl-CS"/>
              </w:rPr>
              <w:t>-0,2</w:t>
            </w:r>
          </w:p>
        </w:tc>
        <w:tc>
          <w:tcPr>
            <w:tcW w:w="608" w:type="pct"/>
            <w:shd w:val="clear" w:color="auto" w:fill="FFFFFF" w:themeFill="background1"/>
            <w:noWrap/>
            <w:hideMark/>
          </w:tcPr>
          <w:p w14:paraId="4150FEC1"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2060"/>
                <w:sz w:val="18"/>
                <w:szCs w:val="18"/>
                <w:lang w:val="sr-Cyrl-CS"/>
              </w:rPr>
            </w:pPr>
            <w:r w:rsidRPr="00DE058F">
              <w:rPr>
                <w:rFonts w:eastAsia="Times New Roman" w:cstheme="minorHAnsi"/>
                <w:bCs/>
                <w:color w:val="002060"/>
                <w:sz w:val="18"/>
                <w:szCs w:val="18"/>
                <w:lang w:val="sr-Cyrl-CS"/>
              </w:rPr>
              <w:t>-0,2</w:t>
            </w:r>
          </w:p>
        </w:tc>
        <w:tc>
          <w:tcPr>
            <w:tcW w:w="608" w:type="pct"/>
            <w:shd w:val="clear" w:color="auto" w:fill="FFFFFF" w:themeFill="background1"/>
            <w:noWrap/>
            <w:hideMark/>
          </w:tcPr>
          <w:p w14:paraId="5B4A11F2"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bCs/>
                <w:color w:val="002060"/>
                <w:sz w:val="18"/>
                <w:szCs w:val="18"/>
                <w:lang w:val="sr-Cyrl-CS"/>
              </w:rPr>
            </w:pPr>
            <w:r w:rsidRPr="00DE058F">
              <w:rPr>
                <w:rFonts w:eastAsia="Times New Roman" w:cstheme="minorHAnsi"/>
                <w:bCs/>
                <w:color w:val="002060"/>
                <w:sz w:val="18"/>
                <w:szCs w:val="18"/>
                <w:lang w:val="sr-Cyrl-CS"/>
              </w:rPr>
              <w:t>-0,4</w:t>
            </w:r>
          </w:p>
        </w:tc>
        <w:tc>
          <w:tcPr>
            <w:tcW w:w="609" w:type="pct"/>
            <w:shd w:val="clear" w:color="auto" w:fill="FFFFFF" w:themeFill="background1"/>
            <w:noWrap/>
            <w:hideMark/>
          </w:tcPr>
          <w:p w14:paraId="439F56F7"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bCs/>
                <w:color w:val="002060"/>
                <w:sz w:val="18"/>
                <w:szCs w:val="18"/>
                <w:lang w:val="sr-Cyrl-CS"/>
              </w:rPr>
              <w:t>–</w:t>
            </w:r>
          </w:p>
        </w:tc>
      </w:tr>
      <w:tr w:rsidR="0039350E" w:rsidRPr="00DE058F" w14:paraId="29D15ABE" w14:textId="77777777" w:rsidTr="00953528">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957" w:type="pct"/>
            <w:tcBorders>
              <w:bottom w:val="nil"/>
            </w:tcBorders>
            <w:shd w:val="clear" w:color="auto" w:fill="FFFFFF" w:themeFill="background1"/>
            <w:noWrap/>
            <w:hideMark/>
          </w:tcPr>
          <w:p w14:paraId="49EB2796" w14:textId="77777777" w:rsidR="0039350E" w:rsidRPr="00DE058F" w:rsidRDefault="0039350E"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r w:rsidRPr="00DE058F">
              <w:rPr>
                <w:rFonts w:eastAsia="Times New Roman" w:cstheme="minorHAnsi"/>
                <w:b w:val="0"/>
                <w:color w:val="002060"/>
                <w:sz w:val="18"/>
                <w:szCs w:val="18"/>
                <w:lang w:val="sr-Cyrl-CS"/>
              </w:rPr>
              <w:t>Расходи</w:t>
            </w:r>
          </w:p>
        </w:tc>
        <w:tc>
          <w:tcPr>
            <w:tcW w:w="608" w:type="pct"/>
            <w:tcBorders>
              <w:bottom w:val="nil"/>
            </w:tcBorders>
            <w:shd w:val="clear" w:color="auto" w:fill="FFFFFF" w:themeFill="background1"/>
            <w:noWrap/>
            <w:hideMark/>
          </w:tcPr>
          <w:p w14:paraId="5D5A8A6B"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bCs/>
                <w:color w:val="002060"/>
                <w:sz w:val="18"/>
                <w:szCs w:val="18"/>
                <w:lang w:val="sr-Cyrl-CS"/>
              </w:rPr>
              <w:t>-1,0</w:t>
            </w:r>
          </w:p>
        </w:tc>
        <w:tc>
          <w:tcPr>
            <w:tcW w:w="608" w:type="pct"/>
            <w:tcBorders>
              <w:bottom w:val="nil"/>
            </w:tcBorders>
            <w:shd w:val="clear" w:color="auto" w:fill="FFFFFF" w:themeFill="background1"/>
            <w:noWrap/>
            <w:hideMark/>
          </w:tcPr>
          <w:p w14:paraId="757D1E68"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bCs/>
                <w:color w:val="002060"/>
                <w:sz w:val="18"/>
                <w:szCs w:val="18"/>
                <w:lang w:val="sr-Cyrl-CS"/>
              </w:rPr>
              <w:t>-0,2</w:t>
            </w:r>
          </w:p>
        </w:tc>
        <w:tc>
          <w:tcPr>
            <w:tcW w:w="608" w:type="pct"/>
            <w:tcBorders>
              <w:bottom w:val="nil"/>
            </w:tcBorders>
            <w:shd w:val="clear" w:color="auto" w:fill="FFFFFF" w:themeFill="background1"/>
            <w:noWrap/>
            <w:hideMark/>
          </w:tcPr>
          <w:p w14:paraId="5C047F6E"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bCs/>
                <w:color w:val="002060"/>
                <w:sz w:val="18"/>
                <w:szCs w:val="18"/>
                <w:lang w:val="sr-Cyrl-CS"/>
              </w:rPr>
            </w:pPr>
            <w:r w:rsidRPr="00DE058F">
              <w:rPr>
                <w:rFonts w:eastAsia="Times New Roman" w:cstheme="minorHAnsi"/>
                <w:bCs/>
                <w:color w:val="002060"/>
                <w:sz w:val="18"/>
                <w:szCs w:val="18"/>
                <w:lang w:val="sr-Cyrl-CS"/>
              </w:rPr>
              <w:t>-0,2</w:t>
            </w:r>
          </w:p>
        </w:tc>
        <w:tc>
          <w:tcPr>
            <w:tcW w:w="608" w:type="pct"/>
            <w:tcBorders>
              <w:bottom w:val="nil"/>
            </w:tcBorders>
            <w:shd w:val="clear" w:color="auto" w:fill="FFFFFF" w:themeFill="background1"/>
            <w:noWrap/>
            <w:hideMark/>
          </w:tcPr>
          <w:p w14:paraId="33997E59"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bCs/>
                <w:color w:val="002060"/>
                <w:sz w:val="18"/>
                <w:szCs w:val="18"/>
                <w:lang w:val="sr-Cyrl-CS"/>
              </w:rPr>
            </w:pPr>
            <w:r w:rsidRPr="00DE058F">
              <w:rPr>
                <w:rFonts w:eastAsia="Times New Roman" w:cstheme="minorHAnsi"/>
                <w:bCs/>
                <w:color w:val="002060"/>
                <w:sz w:val="18"/>
                <w:szCs w:val="18"/>
                <w:lang w:val="sr-Cyrl-CS"/>
              </w:rPr>
              <w:t>-0,4</w:t>
            </w:r>
          </w:p>
        </w:tc>
        <w:tc>
          <w:tcPr>
            <w:tcW w:w="609" w:type="pct"/>
            <w:tcBorders>
              <w:bottom w:val="nil"/>
            </w:tcBorders>
            <w:shd w:val="clear" w:color="auto" w:fill="FFFFFF" w:themeFill="background1"/>
            <w:noWrap/>
            <w:hideMark/>
          </w:tcPr>
          <w:p w14:paraId="2290D894" w14:textId="77777777" w:rsidR="0039350E" w:rsidRPr="00DE058F" w:rsidRDefault="0039350E" w:rsidP="00953528">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bCs/>
                <w:color w:val="002060"/>
                <w:sz w:val="18"/>
                <w:szCs w:val="18"/>
                <w:lang w:val="sr-Cyrl-CS"/>
              </w:rPr>
              <w:t>–</w:t>
            </w:r>
          </w:p>
        </w:tc>
      </w:tr>
      <w:tr w:rsidR="0039350E" w:rsidRPr="00DE058F" w14:paraId="3B268DD8" w14:textId="77777777" w:rsidTr="00953528">
        <w:trPr>
          <w:trHeight w:val="241"/>
        </w:trPr>
        <w:tc>
          <w:tcPr>
            <w:cnfStyle w:val="001000000000" w:firstRow="0" w:lastRow="0" w:firstColumn="1" w:lastColumn="0" w:oddVBand="0" w:evenVBand="0" w:oddHBand="0" w:evenHBand="0" w:firstRowFirstColumn="0" w:firstRowLastColumn="0" w:lastRowFirstColumn="0" w:lastRowLastColumn="0"/>
            <w:tcW w:w="1957" w:type="pct"/>
            <w:tcBorders>
              <w:top w:val="nil"/>
              <w:bottom w:val="single" w:sz="4" w:space="0" w:color="002060"/>
            </w:tcBorders>
            <w:shd w:val="clear" w:color="auto" w:fill="FFFFFF" w:themeFill="background1"/>
            <w:noWrap/>
            <w:hideMark/>
          </w:tcPr>
          <w:p w14:paraId="5F92EE9B" w14:textId="77777777" w:rsidR="0039350E" w:rsidRPr="00DE058F" w:rsidRDefault="0039350E" w:rsidP="00953528">
            <w:pPr>
              <w:keepNext/>
              <w:widowControl w:val="0"/>
              <w:shd w:val="clear" w:color="auto" w:fill="FFFFFF" w:themeFill="background1"/>
              <w:spacing w:line="276" w:lineRule="auto"/>
              <w:rPr>
                <w:rFonts w:eastAsia="Times New Roman" w:cstheme="minorHAnsi"/>
                <w:b w:val="0"/>
                <w:color w:val="002060"/>
                <w:sz w:val="18"/>
                <w:szCs w:val="18"/>
                <w:lang w:val="sr-Cyrl-CS"/>
              </w:rPr>
            </w:pPr>
            <w:r w:rsidRPr="00DE058F">
              <w:rPr>
                <w:rFonts w:eastAsia="Times New Roman" w:cstheme="minorHAnsi"/>
                <w:b w:val="0"/>
                <w:color w:val="002060"/>
                <w:sz w:val="18"/>
                <w:szCs w:val="18"/>
                <w:lang w:val="sr-Cyrl-CS"/>
              </w:rPr>
              <w:t>Резултат</w:t>
            </w:r>
          </w:p>
        </w:tc>
        <w:tc>
          <w:tcPr>
            <w:tcW w:w="608" w:type="pct"/>
            <w:tcBorders>
              <w:top w:val="nil"/>
              <w:bottom w:val="single" w:sz="4" w:space="0" w:color="002060"/>
            </w:tcBorders>
            <w:shd w:val="clear" w:color="auto" w:fill="FFFFFF" w:themeFill="background1"/>
            <w:noWrap/>
            <w:hideMark/>
          </w:tcPr>
          <w:p w14:paraId="22D8AA5E"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bCs/>
                <w:color w:val="002060"/>
                <w:sz w:val="18"/>
                <w:szCs w:val="18"/>
                <w:lang w:val="sr-Cyrl-CS"/>
              </w:rPr>
              <w:t>0,8</w:t>
            </w:r>
          </w:p>
        </w:tc>
        <w:tc>
          <w:tcPr>
            <w:tcW w:w="608" w:type="pct"/>
            <w:tcBorders>
              <w:top w:val="nil"/>
              <w:bottom w:val="single" w:sz="4" w:space="0" w:color="002060"/>
            </w:tcBorders>
            <w:shd w:val="clear" w:color="auto" w:fill="FFFFFF" w:themeFill="background1"/>
            <w:noWrap/>
            <w:hideMark/>
          </w:tcPr>
          <w:p w14:paraId="6D0CADDD"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bCs/>
                <w:color w:val="002060"/>
                <w:sz w:val="18"/>
                <w:szCs w:val="18"/>
                <w:lang w:val="sr-Cyrl-CS"/>
              </w:rPr>
              <w:t>0,0</w:t>
            </w:r>
          </w:p>
        </w:tc>
        <w:tc>
          <w:tcPr>
            <w:tcW w:w="608" w:type="pct"/>
            <w:tcBorders>
              <w:top w:val="nil"/>
              <w:bottom w:val="single" w:sz="4" w:space="0" w:color="002060"/>
            </w:tcBorders>
            <w:shd w:val="clear" w:color="auto" w:fill="FFFFFF" w:themeFill="background1"/>
            <w:noWrap/>
            <w:hideMark/>
          </w:tcPr>
          <w:p w14:paraId="1A76EFB3"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bCs/>
                <w:color w:val="002060"/>
                <w:sz w:val="18"/>
                <w:szCs w:val="18"/>
                <w:lang w:val="sr-Cyrl-CS"/>
              </w:rPr>
              <w:t>0,0</w:t>
            </w:r>
          </w:p>
        </w:tc>
        <w:tc>
          <w:tcPr>
            <w:tcW w:w="608" w:type="pct"/>
            <w:tcBorders>
              <w:top w:val="nil"/>
              <w:bottom w:val="single" w:sz="4" w:space="0" w:color="002060"/>
            </w:tcBorders>
            <w:shd w:val="clear" w:color="auto" w:fill="FFFFFF" w:themeFill="background1"/>
            <w:noWrap/>
            <w:hideMark/>
          </w:tcPr>
          <w:p w14:paraId="5FD6559B"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bCs/>
                <w:color w:val="002060"/>
                <w:sz w:val="18"/>
                <w:szCs w:val="18"/>
                <w:lang w:val="sr-Cyrl-CS"/>
              </w:rPr>
              <w:t>0,0</w:t>
            </w:r>
          </w:p>
        </w:tc>
        <w:tc>
          <w:tcPr>
            <w:tcW w:w="609" w:type="pct"/>
            <w:tcBorders>
              <w:top w:val="nil"/>
              <w:bottom w:val="single" w:sz="4" w:space="0" w:color="002060"/>
            </w:tcBorders>
            <w:shd w:val="clear" w:color="auto" w:fill="FFFFFF" w:themeFill="background1"/>
            <w:noWrap/>
            <w:hideMark/>
          </w:tcPr>
          <w:p w14:paraId="3C9F0243" w14:textId="77777777" w:rsidR="0039350E" w:rsidRPr="00DE058F" w:rsidRDefault="0039350E" w:rsidP="00953528">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CS"/>
              </w:rPr>
            </w:pPr>
            <w:r w:rsidRPr="00DE058F">
              <w:rPr>
                <w:rFonts w:eastAsia="Times New Roman" w:cstheme="minorHAnsi"/>
                <w:bCs/>
                <w:color w:val="002060"/>
                <w:sz w:val="18"/>
                <w:szCs w:val="18"/>
                <w:lang w:val="sr-Cyrl-CS"/>
              </w:rPr>
              <w:t>–</w:t>
            </w:r>
          </w:p>
        </w:tc>
      </w:tr>
    </w:tbl>
    <w:p w14:paraId="511C7893" w14:textId="77777777" w:rsidR="0039350E" w:rsidRPr="00DE058F" w:rsidRDefault="0039350E" w:rsidP="00783F09">
      <w:pPr>
        <w:spacing w:before="40" w:after="120" w:line="276" w:lineRule="auto"/>
        <w:rPr>
          <w:rFonts w:cstheme="minorHAnsi"/>
          <w:sz w:val="16"/>
          <w:szCs w:val="20"/>
          <w:lang w:val="sr-Cyrl-CS"/>
        </w:rPr>
      </w:pPr>
      <w:r w:rsidRPr="00DE058F">
        <w:rPr>
          <w:rFonts w:eastAsia="Calibri" w:cstheme="minorHAnsi"/>
          <w:bCs/>
          <w:sz w:val="16"/>
          <w:szCs w:val="20"/>
          <w:lang w:val="sr-Cyrl-CS" w:eastAsia="ja-JP"/>
        </w:rPr>
        <w:t xml:space="preserve">Извор: </w:t>
      </w:r>
      <w:r w:rsidRPr="00DE058F">
        <w:rPr>
          <w:rFonts w:cstheme="minorHAnsi"/>
          <w:sz w:val="16"/>
          <w:szCs w:val="20"/>
          <w:lang w:val="sr-Cyrl-CS"/>
        </w:rPr>
        <w:t>Министарство финансија</w:t>
      </w:r>
    </w:p>
    <w:p w14:paraId="4C4A88D3" w14:textId="77777777" w:rsidR="0039350E" w:rsidRPr="00DE058F" w:rsidRDefault="0039350E" w:rsidP="00E255B2">
      <w:pPr>
        <w:spacing w:line="276" w:lineRule="auto"/>
        <w:rPr>
          <w:rFonts w:cstheme="minorHAnsi"/>
          <w:bCs/>
          <w:szCs w:val="20"/>
          <w:lang w:val="sr-Cyrl-CS"/>
        </w:rPr>
        <w:sectPr w:rsidR="0039350E" w:rsidRPr="00DE058F" w:rsidSect="00953528">
          <w:type w:val="continuous"/>
          <w:pgSz w:w="12240" w:h="15840" w:code="1"/>
          <w:pgMar w:top="1440" w:right="1440" w:bottom="1440" w:left="1440" w:header="720" w:footer="720" w:gutter="0"/>
          <w:cols w:space="720"/>
          <w:docGrid w:linePitch="360"/>
        </w:sectPr>
      </w:pPr>
    </w:p>
    <w:p w14:paraId="626FF64B" w14:textId="77777777" w:rsidR="0039350E" w:rsidRPr="00DE058F" w:rsidRDefault="0039350E" w:rsidP="00E255B2">
      <w:pPr>
        <w:rPr>
          <w:lang w:val="sr-Cyrl-CS" w:eastAsia="ja-JP"/>
        </w:rPr>
        <w:sectPr w:rsidR="0039350E" w:rsidRPr="00DE058F" w:rsidSect="00AE40EB">
          <w:headerReference w:type="even" r:id="rId136"/>
          <w:headerReference w:type="default" r:id="rId137"/>
          <w:footerReference w:type="even" r:id="rId138"/>
          <w:footerReference w:type="default" r:id="rId139"/>
          <w:headerReference w:type="first" r:id="rId140"/>
          <w:type w:val="continuous"/>
          <w:pgSz w:w="12240" w:h="15840" w:code="1"/>
          <w:pgMar w:top="1440" w:right="1440" w:bottom="1440" w:left="1440" w:header="720" w:footer="720" w:gutter="0"/>
          <w:cols w:space="720"/>
          <w:docGrid w:linePitch="360"/>
        </w:sectPr>
      </w:pPr>
    </w:p>
    <w:p w14:paraId="4EC9E00A" w14:textId="77777777" w:rsidR="00593E7B" w:rsidRPr="00DE058F" w:rsidRDefault="00593E7B">
      <w:pPr>
        <w:jc w:val="left"/>
        <w:rPr>
          <w:rFonts w:eastAsia="MS PGothic" w:cstheme="minorHAnsi"/>
          <w:b/>
          <w:color w:val="2F5496" w:themeColor="accent1" w:themeShade="BF"/>
          <w:sz w:val="24"/>
          <w:szCs w:val="26"/>
          <w:lang w:val="sr-Cyrl-CS" w:eastAsia="ja-JP"/>
        </w:rPr>
      </w:pPr>
      <w:bookmarkStart w:id="42" w:name="_Toc73364971"/>
      <w:bookmarkStart w:id="43" w:name="_Toc23342469"/>
      <w:bookmarkStart w:id="44" w:name="_Toc56667079"/>
      <w:r w:rsidRPr="00DE058F">
        <w:rPr>
          <w:rFonts w:eastAsia="MS PGothic" w:cstheme="minorHAnsi"/>
          <w:b/>
          <w:color w:val="2F5496" w:themeColor="accent1" w:themeShade="BF"/>
          <w:sz w:val="24"/>
          <w:szCs w:val="26"/>
          <w:lang w:val="sr-Cyrl-CS" w:eastAsia="ja-JP"/>
        </w:rPr>
        <w:br w:type="page"/>
      </w:r>
    </w:p>
    <w:p w14:paraId="3B82EA4A" w14:textId="77777777" w:rsidR="00593E7B" w:rsidRPr="00DE058F" w:rsidRDefault="00593E7B" w:rsidP="00C95509">
      <w:pPr>
        <w:keepNext/>
        <w:keepLines/>
        <w:spacing w:after="120"/>
        <w:jc w:val="center"/>
        <w:outlineLvl w:val="1"/>
        <w:rPr>
          <w:rFonts w:eastAsia="MS PGothic" w:cstheme="minorHAnsi"/>
          <w:b/>
          <w:color w:val="2F5496" w:themeColor="accent1" w:themeShade="BF"/>
          <w:sz w:val="24"/>
          <w:szCs w:val="26"/>
          <w:lang w:val="sr-Cyrl-CS" w:eastAsia="ja-JP"/>
        </w:rPr>
        <w:sectPr w:rsidR="00593E7B" w:rsidRPr="00DE058F" w:rsidSect="00C95509">
          <w:headerReference w:type="default" r:id="rId141"/>
          <w:type w:val="continuous"/>
          <w:pgSz w:w="12240" w:h="15840" w:code="1"/>
          <w:pgMar w:top="1440" w:right="1440" w:bottom="1440" w:left="1440" w:header="720" w:footer="720" w:gutter="0"/>
          <w:cols w:num="2" w:space="720"/>
          <w:docGrid w:linePitch="360"/>
          <w15:footnoteColumns w:val="1"/>
        </w:sectPr>
      </w:pPr>
    </w:p>
    <w:p w14:paraId="3FBC5889" w14:textId="2E9C4153" w:rsidR="00593E7B" w:rsidRPr="00DE058F" w:rsidRDefault="00593E7B" w:rsidP="00C95509">
      <w:pPr>
        <w:keepNext/>
        <w:keepLines/>
        <w:spacing w:after="120"/>
        <w:jc w:val="center"/>
        <w:outlineLvl w:val="1"/>
        <w:rPr>
          <w:rFonts w:eastAsia="MS PGothic" w:cstheme="minorHAnsi"/>
          <w:b/>
          <w:color w:val="2F5496" w:themeColor="accent1" w:themeShade="BF"/>
          <w:sz w:val="24"/>
          <w:szCs w:val="26"/>
          <w:lang w:val="sr-Cyrl-CS" w:eastAsia="ja-JP"/>
        </w:rPr>
      </w:pPr>
      <w:bookmarkStart w:id="45" w:name="_Toc104899609"/>
      <w:r w:rsidRPr="00DE058F">
        <w:rPr>
          <w:rFonts w:eastAsia="MS PGothic" w:cstheme="minorHAnsi"/>
          <w:b/>
          <w:color w:val="2F5496" w:themeColor="accent1" w:themeShade="BF"/>
          <w:sz w:val="24"/>
          <w:szCs w:val="26"/>
          <w:lang w:val="sr-Cyrl-CS" w:eastAsia="ja-JP"/>
        </w:rPr>
        <w:lastRenderedPageBreak/>
        <w:t>5. Фискални ризици</w:t>
      </w:r>
      <w:bookmarkEnd w:id="42"/>
      <w:bookmarkEnd w:id="45"/>
    </w:p>
    <w:p w14:paraId="75C1A37D" w14:textId="77777777" w:rsidR="00593E7B" w:rsidRPr="00DE058F" w:rsidRDefault="00593E7B" w:rsidP="00C95509">
      <w:pPr>
        <w:rPr>
          <w:rFonts w:eastAsia="MS PGothic" w:cstheme="minorHAnsi"/>
          <w:szCs w:val="20"/>
          <w:lang w:val="sr-Cyrl-CS" w:eastAsia="ja-JP"/>
        </w:rPr>
        <w:sectPr w:rsidR="00593E7B" w:rsidRPr="00DE058F" w:rsidSect="00593E7B">
          <w:type w:val="continuous"/>
          <w:pgSz w:w="12240" w:h="15840" w:code="1"/>
          <w:pgMar w:top="1440" w:right="1440" w:bottom="1440" w:left="1440" w:header="720" w:footer="720" w:gutter="0"/>
          <w:cols w:space="720"/>
          <w:docGrid w:linePitch="360"/>
          <w15:footnoteColumns w:val="1"/>
        </w:sectPr>
      </w:pPr>
    </w:p>
    <w:p w14:paraId="6E8C4315" w14:textId="77777777" w:rsidR="00F729B4" w:rsidRPr="00DE058F" w:rsidRDefault="00F729B4" w:rsidP="00AB437C">
      <w:pPr>
        <w:spacing w:after="120"/>
        <w:rPr>
          <w:rFonts w:eastAsia="MS PGothic" w:cstheme="minorHAnsi"/>
          <w:szCs w:val="20"/>
          <w:lang w:val="sr-Cyrl-CS" w:eastAsia="ja-JP"/>
        </w:rPr>
      </w:pPr>
      <w:r w:rsidRPr="00DE058F">
        <w:rPr>
          <w:rFonts w:eastAsia="MS PGothic" w:cstheme="minorHAnsi"/>
          <w:szCs w:val="20"/>
          <w:lang w:val="sr-Cyrl-CS" w:eastAsia="ja-JP"/>
        </w:rPr>
        <w:t>Фискални ризици представљају изложеност јавних финансија одређеним околностима које могу проузроковати одступања од пројектованог фискалног оквира. До одступања може доћи у приходима, расходима, фискалном резултату, као и у имовини и обавезама државе, у односу на оно што је планирано и очекивано. На спољашње ризике, попут природних катастрофа или глобалних финансијских криза, Влада не може да утиче, али могуће је дефинисати излазне стратегије које би ублажиле њихово дејство (очување стабилности у добрим временима како би у условима рецесије или кризе фискална политика имала простора за адекватан одговор, осигурање у случају природних катастрофа и сл.). Унутрашњи ризици, односно њихова материјализација последица су активности у јавном сектору, те се на вероватноћу њихове реализације може утицати одлукама и политикама Владе.</w:t>
      </w:r>
    </w:p>
    <w:p w14:paraId="15F665FB" w14:textId="77777777" w:rsidR="00F729B4" w:rsidRPr="00DE058F" w:rsidRDefault="00F729B4" w:rsidP="00AB437C">
      <w:pPr>
        <w:spacing w:after="120"/>
        <w:rPr>
          <w:rFonts w:eastAsia="MS PGothic" w:cstheme="minorHAnsi"/>
          <w:szCs w:val="20"/>
          <w:lang w:val="sr-Cyrl-CS" w:eastAsia="ja-JP"/>
        </w:rPr>
      </w:pPr>
      <w:r w:rsidRPr="00DE058F">
        <w:rPr>
          <w:rFonts w:eastAsia="MS PGothic" w:cstheme="minorHAnsi"/>
          <w:szCs w:val="20"/>
          <w:lang w:val="sr-Cyrl-CS" w:eastAsia="ja-JP"/>
        </w:rPr>
        <w:t>Идентификација највећих фискалних ризика који могу утицати на државне финансије у средњем року полазна је тачка у бољем управљању фискалним ризицима. О одређеним фискалним ризицима постоје детаљни подаци и лако се може идентификовати да ли ће и са коликом вероватноћом утицати на фискалне агрегате у средњем року. За друге, пак, не постоје довољно детаљни подаци, али и само њихово идентификовање подиже свест о могућности да у наредном периоду доведу до одступања од планираног фискалног оквира.</w:t>
      </w:r>
    </w:p>
    <w:p w14:paraId="28B310A6" w14:textId="5E69E058" w:rsidR="00F729B4" w:rsidRPr="00DE058F" w:rsidRDefault="00F729B4" w:rsidP="00AB437C">
      <w:pPr>
        <w:spacing w:after="120"/>
        <w:rPr>
          <w:rFonts w:eastAsia="MS PGothic" w:cstheme="minorHAnsi"/>
          <w:szCs w:val="20"/>
          <w:lang w:val="sr-Cyrl-CS" w:eastAsia="ja-JP"/>
        </w:rPr>
      </w:pPr>
      <w:r w:rsidRPr="00DE058F">
        <w:rPr>
          <w:rFonts w:eastAsia="MS PGothic" w:cstheme="minorHAnsi"/>
          <w:szCs w:val="20"/>
          <w:lang w:val="sr-Cyrl-CS" w:eastAsia="ja-JP"/>
        </w:rPr>
        <w:t xml:space="preserve">Министарство финансија има водећу улогу у управљању фискалним ризицима. Као кључна институција за средњорочно макроекономско и фискално планирање, формулацију и управљање буџетом, Министарство финансија мора имати и водећу улогу у успостављању институционалне и законске структуре, те изградњи капацитета неопходних за управљање фискалним ризицима. Сектор за праћење фискалних ризика, организациона јединица за управљање фискалним ризицима у Министарству финансија, основан је са циљем да ради на јачању законске регулативе и методолошког оквира, изградњи капацитета, те развијању техничких алата и </w:t>
      </w:r>
      <w:r w:rsidRPr="00DE058F">
        <w:rPr>
          <w:rFonts w:eastAsia="MS PGothic" w:cstheme="minorHAnsi"/>
          <w:szCs w:val="20"/>
          <w:lang w:val="sr-Cyrl-CS" w:eastAsia="ja-JP"/>
        </w:rPr>
        <w:t>модела неопходних за праћење и процену фискалних ризика. Намера је да резултат ових активности буде идентификација и процена ризика и предлагање излазних стратегија, као помоћ Влади у очувању стабилности јавних финансија, што је кључни циљ фискалне политике и један од основних предуслова за динамичнији привредни раст.</w:t>
      </w:r>
    </w:p>
    <w:p w14:paraId="78926833" w14:textId="27063FD0" w:rsidR="00F729B4" w:rsidRPr="00DE058F" w:rsidRDefault="00F729B4" w:rsidP="00AB437C">
      <w:pPr>
        <w:spacing w:after="120"/>
        <w:rPr>
          <w:rFonts w:eastAsia="MS PGothic" w:cstheme="minorHAnsi"/>
          <w:szCs w:val="20"/>
          <w:lang w:val="sr-Cyrl-CS" w:eastAsia="ja-JP"/>
        </w:rPr>
      </w:pPr>
      <w:r w:rsidRPr="00DE058F">
        <w:rPr>
          <w:rFonts w:eastAsia="MS PGothic" w:cstheme="minorHAnsi"/>
          <w:szCs w:val="20"/>
          <w:lang w:val="sr-Cyrl-CS" w:eastAsia="ja-JP"/>
        </w:rPr>
        <w:t xml:space="preserve">У циљу спровођења наведеног процеса праћења фискалних ризика, у октобру 2021. године, усвојена је Јединствена методологија, која је припремљена уз помоћ Светске банке, која обухвата четири основне методологије и то: </w:t>
      </w:r>
      <w:r w:rsidR="00BB7A04" w:rsidRPr="00DE058F">
        <w:rPr>
          <w:rFonts w:eastAsia="MS PGothic" w:cstheme="minorHAnsi"/>
          <w:szCs w:val="20"/>
          <w:lang w:val="sr-Cyrl-CS" w:eastAsia="ja-JP"/>
        </w:rPr>
        <w:br w:type="textWrapping" w:clear="all"/>
      </w:r>
      <w:r w:rsidRPr="00DE058F">
        <w:rPr>
          <w:rFonts w:eastAsia="MS PGothic" w:cstheme="minorHAnsi"/>
          <w:szCs w:val="20"/>
          <w:lang w:val="sr-Cyrl-CS" w:eastAsia="ja-JP"/>
        </w:rPr>
        <w:t xml:space="preserve">1) Методологију за праћење фискалних ризика који произлазе из пословања јавних предузећа; </w:t>
      </w:r>
      <w:r w:rsidR="00BB7A04" w:rsidRPr="00DE058F">
        <w:rPr>
          <w:rFonts w:eastAsia="MS PGothic" w:cstheme="minorHAnsi"/>
          <w:szCs w:val="20"/>
          <w:lang w:val="sr-Cyrl-CS" w:eastAsia="ja-JP"/>
        </w:rPr>
        <w:br w:type="textWrapping" w:clear="all"/>
      </w:r>
      <w:r w:rsidRPr="00DE058F">
        <w:rPr>
          <w:rFonts w:eastAsia="MS PGothic" w:cstheme="minorHAnsi"/>
          <w:szCs w:val="20"/>
          <w:lang w:val="sr-Cyrl-CS" w:eastAsia="ja-JP"/>
        </w:rPr>
        <w:t xml:space="preserve">2) Методологију за праћење фискалних ризика по буџет Републике Србије који произлазе из вршења надлежности јединица локалне самоуправе; </w:t>
      </w:r>
      <w:r w:rsidR="00BB7A04" w:rsidRPr="00DE058F">
        <w:rPr>
          <w:rFonts w:eastAsia="MS PGothic" w:cstheme="minorHAnsi"/>
          <w:szCs w:val="20"/>
          <w:lang w:val="sr-Cyrl-CS" w:eastAsia="ja-JP"/>
        </w:rPr>
        <w:br w:type="textWrapping" w:clear="all"/>
      </w:r>
      <w:r w:rsidRPr="00DE058F">
        <w:rPr>
          <w:rFonts w:eastAsia="MS PGothic" w:cstheme="minorHAnsi"/>
          <w:szCs w:val="20"/>
          <w:lang w:val="sr-Cyrl-CS" w:eastAsia="ja-JP"/>
        </w:rPr>
        <w:t>3) Методологију за праћење фискалних ризика по основу судских поступака; 4) Методологију за праћење фискалних ризика који се јављају као последица елементарних непогода.</w:t>
      </w:r>
    </w:p>
    <w:p w14:paraId="2CCC2626" w14:textId="17E7544E" w:rsidR="00593E7B" w:rsidRPr="00DE058F" w:rsidRDefault="00F729B4" w:rsidP="00AB437C">
      <w:pPr>
        <w:spacing w:after="120"/>
        <w:rPr>
          <w:color w:val="auto"/>
          <w:spacing w:val="-4"/>
          <w:lang w:val="sr-Cyrl-CS"/>
        </w:rPr>
      </w:pPr>
      <w:r w:rsidRPr="00DE058F">
        <w:rPr>
          <w:rFonts w:eastAsia="MS PGothic" w:cstheme="minorHAnsi"/>
          <w:spacing w:val="-4"/>
          <w:szCs w:val="20"/>
          <w:lang w:val="sr-Cyrl-CS" w:eastAsia="ja-JP"/>
        </w:rPr>
        <w:t>Током јесени 2021.</w:t>
      </w:r>
      <w:r w:rsidR="00BD7452" w:rsidRPr="00DE058F">
        <w:rPr>
          <w:rFonts w:eastAsia="MS PGothic" w:cstheme="minorHAnsi"/>
          <w:spacing w:val="-4"/>
          <w:szCs w:val="20"/>
          <w:lang w:val="sr-Cyrl-CS" w:eastAsia="ja-JP"/>
        </w:rPr>
        <w:t xml:space="preserve"> године</w:t>
      </w:r>
      <w:r w:rsidRPr="00DE058F">
        <w:rPr>
          <w:rFonts w:eastAsia="MS PGothic" w:cstheme="minorHAnsi"/>
          <w:spacing w:val="-4"/>
          <w:szCs w:val="20"/>
          <w:lang w:val="sr-Cyrl-CS" w:eastAsia="ja-JP"/>
        </w:rPr>
        <w:t xml:space="preserve"> десили су се поремећаји на енергетском тржишту у свету. Криза у енергетском сектору се само надовезала на већ постојећу</w:t>
      </w:r>
      <w:r w:rsidR="00BD7452" w:rsidRPr="00DE058F">
        <w:rPr>
          <w:rFonts w:eastAsia="MS PGothic" w:cstheme="minorHAnsi"/>
          <w:spacing w:val="-4"/>
          <w:szCs w:val="20"/>
          <w:lang w:val="sr-Cyrl-CS" w:eastAsia="ja-JP"/>
        </w:rPr>
        <w:t xml:space="preserve"> кризу изазвану пандемијом COVID</w:t>
      </w:r>
      <w:r w:rsidRPr="00DE058F">
        <w:rPr>
          <w:rFonts w:eastAsia="MS PGothic" w:cstheme="minorHAnsi"/>
          <w:spacing w:val="-4"/>
          <w:szCs w:val="20"/>
          <w:lang w:val="sr-Cyrl-CS" w:eastAsia="ja-JP"/>
        </w:rPr>
        <w:t xml:space="preserve">-19. </w:t>
      </w:r>
      <w:r w:rsidR="005621B8" w:rsidRPr="00DE058F">
        <w:rPr>
          <w:rFonts w:eastAsia="MS PGothic" w:cstheme="minorHAnsi"/>
          <w:spacing w:val="-4"/>
          <w:szCs w:val="20"/>
          <w:lang w:val="sr-Cyrl-CS" w:eastAsia="ja-JP"/>
        </w:rPr>
        <w:t>Због повећане тражње узроковане постпандемијским развојем економије и проблема у снабдевању, односно недовољне понуде и недовољних залиха, цене природног гаса су достигле историјске максимуме. Ово је подстакло тражњу за угљем, па су и његове цене изузетно порасле. Високе цене гаса и угља, а у Европи и смањена производња из електрана на ветар и високе цене дозвола за емисију CO</w:t>
      </w:r>
      <w:r w:rsidR="005621B8" w:rsidRPr="00DE058F">
        <w:rPr>
          <w:rFonts w:eastAsia="MS PGothic" w:cstheme="minorHAnsi"/>
          <w:spacing w:val="-4"/>
          <w:szCs w:val="20"/>
          <w:vertAlign w:val="subscript"/>
          <w:lang w:val="sr-Cyrl-CS" w:eastAsia="ja-JP"/>
        </w:rPr>
        <w:t>2</w:t>
      </w:r>
      <w:r w:rsidR="007A6FFE" w:rsidRPr="00DE058F">
        <w:rPr>
          <w:rFonts w:eastAsia="MS PGothic" w:cstheme="minorHAnsi"/>
          <w:spacing w:val="-4"/>
          <w:szCs w:val="20"/>
          <w:lang w:val="sr-Cyrl-CS" w:eastAsia="ja-JP"/>
        </w:rPr>
        <w:t xml:space="preserve"> изазвале су раст цена електричне енергије, такође до историјских максимума. У таквим условима, порасла је производња електричне енергије из угља</w:t>
      </w:r>
      <w:r w:rsidR="003B3DC1" w:rsidRPr="00DE058F">
        <w:rPr>
          <w:rFonts w:eastAsia="MS PGothic" w:cstheme="minorHAnsi"/>
          <w:spacing w:val="-4"/>
          <w:szCs w:val="20"/>
          <w:lang w:val="sr-Cyrl-CS" w:eastAsia="ja-JP"/>
        </w:rPr>
        <w:t>,</w:t>
      </w:r>
      <w:r w:rsidR="007A6FFE" w:rsidRPr="00DE058F">
        <w:rPr>
          <w:rFonts w:eastAsia="MS PGothic" w:cstheme="minorHAnsi"/>
          <w:spacing w:val="-4"/>
          <w:szCs w:val="20"/>
          <w:lang w:val="sr-Cyrl-CS" w:eastAsia="ja-JP"/>
        </w:rPr>
        <w:t xml:space="preserve"> јер је она била повољнија од производње из гаса.</w:t>
      </w:r>
    </w:p>
    <w:p w14:paraId="37817068" w14:textId="0AAF0299" w:rsidR="00410830" w:rsidRPr="00DE058F" w:rsidRDefault="00410830" w:rsidP="00AB437C">
      <w:pPr>
        <w:spacing w:after="120"/>
        <w:rPr>
          <w:spacing w:val="-4"/>
          <w:lang w:val="sr-Cyrl-CS"/>
        </w:rPr>
      </w:pPr>
      <w:r w:rsidRPr="00DE058F">
        <w:rPr>
          <w:spacing w:val="-4"/>
          <w:lang w:val="sr-Cyrl-CS"/>
        </w:rPr>
        <w:t xml:space="preserve">До сада се више пута показало, да раст неког основних енергената, попут нафте и гаса, доводи до раста осталих цена на тржишту, а на целу ову већ тешку ситуацију се надовезала и криза у Украјини, те се као један од кључних проблема наметнуло питање енергетске сигурности и европске зависности од руских фосилних горива. Овај след догађаја утицао је да великопродајне цене </w:t>
      </w:r>
      <w:r w:rsidRPr="00DE058F">
        <w:rPr>
          <w:spacing w:val="-4"/>
          <w:lang w:val="sr-Cyrl-CS"/>
        </w:rPr>
        <w:lastRenderedPageBreak/>
        <w:t>електричне енергије и природног гаса у свету достигну цене знатно веће од уобичајених у последњих неколико година. Енергетска криза неизбежно се прелила и на Србију, а највише су погођена енергетска предузећа, претежно ЈП „Електропривреда Србије” и ЈП „Србијагас”.</w:t>
      </w:r>
      <w:r w:rsidR="00D514CF" w:rsidRPr="00DE058F">
        <w:rPr>
          <w:spacing w:val="-4"/>
          <w:lang w:val="sr-Cyrl-CS"/>
        </w:rPr>
        <w:t xml:space="preserve"> Због виших цена електричне енергије, које би угорзиле пословање привредних субјеката у РС, као и енергетских субјеката који обављају делатност преноса, односно дистрибуције електричне енергије (у вези набавке електричне енергије за губитке), препоручено је да ЈП ЕПС те субјекте снабдева по ценама знатно нижим од тржишних, чиме је ЈП ЕПС изложен финансијском ризику, односно ризик раста </w:t>
      </w:r>
      <w:r w:rsidR="00A52BF9" w:rsidRPr="00DE058F">
        <w:rPr>
          <w:spacing w:val="-4"/>
          <w:lang w:val="sr-Cyrl-CS"/>
        </w:rPr>
        <w:t>цена у потпуности је пребачен на ЈП ЕПС, што је допринело да ово предузеће акумулира губитке.</w:t>
      </w:r>
    </w:p>
    <w:p w14:paraId="7BC204A5" w14:textId="77777777" w:rsidR="00410830" w:rsidRPr="00DE058F" w:rsidRDefault="00410830" w:rsidP="00AB437C">
      <w:pPr>
        <w:spacing w:after="120"/>
        <w:rPr>
          <w:lang w:val="sr-Cyrl-CS"/>
        </w:rPr>
      </w:pPr>
      <w:r w:rsidRPr="00DE058F">
        <w:rPr>
          <w:lang w:val="sr-Cyrl-CS"/>
        </w:rPr>
        <w:t>Поред поменутих екстерних фактора, на ЈП „Електропривреда Србије” утицали су и одређени интерни фактори који су додатно погоршали позицију овог веома значајног привредног субјекта, попут испада блокова и пожара у ТЕНТ-у у децембру 2021.</w:t>
      </w:r>
    </w:p>
    <w:p w14:paraId="6E25C85B" w14:textId="5F16D837" w:rsidR="00593E7B" w:rsidRPr="00DE058F" w:rsidRDefault="00410830" w:rsidP="00AB437C">
      <w:pPr>
        <w:spacing w:after="120"/>
        <w:rPr>
          <w:lang w:val="sr-Cyrl-CS"/>
        </w:rPr>
      </w:pPr>
      <w:r w:rsidRPr="00DE058F">
        <w:rPr>
          <w:lang w:val="sr-Cyrl-CS"/>
        </w:rPr>
        <w:t xml:space="preserve">Ефекти енергетске кризе у свету, нису заобишли ни ЈП „Путеви Србије”. </w:t>
      </w:r>
      <w:r w:rsidR="009E7041" w:rsidRPr="00DE058F">
        <w:rPr>
          <w:lang w:val="sr-Cyrl-CS"/>
        </w:rPr>
        <w:t>Ово</w:t>
      </w:r>
      <w:r w:rsidRPr="00DE058F">
        <w:rPr>
          <w:lang w:val="sr-Cyrl-CS"/>
        </w:rPr>
        <w:t xml:space="preserve"> јавно предузеће, идентификовано као носилац високог фискалног ризика, из године у годину се све више финансијски ослања на буџет Републике Србије. Чињеница је да сопственим приходима, оствареним првенствено из путарина, није у могућности да покрије своје високе трошкове, те да цене основних енергената и главних сировина потребних за обављање основне делатности имају растући тренд, могла би додатно да погорша финансијску позицију овог јавног предузећа, а самим тим и повећа ослањање на буџет Републике Србије у циљу даљег пословања. Слична ситуа</w:t>
      </w:r>
      <w:r w:rsidR="00B2727E" w:rsidRPr="00DE058F">
        <w:rPr>
          <w:lang w:val="sr-Cyrl-CS"/>
        </w:rPr>
        <w:t xml:space="preserve">ција идентификована је и код </w:t>
      </w:r>
      <w:r w:rsidRPr="00DE058F">
        <w:rPr>
          <w:lang w:val="sr-Cyrl-CS"/>
        </w:rPr>
        <w:t xml:space="preserve"> „Коридори Србије”</w:t>
      </w:r>
      <w:r w:rsidR="00B2727E" w:rsidRPr="00DE058F">
        <w:rPr>
          <w:lang w:val="sr-Cyrl-CS"/>
        </w:rPr>
        <w:t>д.о.о</w:t>
      </w:r>
      <w:r w:rsidRPr="00DE058F">
        <w:rPr>
          <w:lang w:val="sr-Cyrl-CS"/>
        </w:rPr>
        <w:t xml:space="preserve">, због високих издатака за капиталне инвестиције које су у надлежности овог </w:t>
      </w:r>
      <w:r w:rsidR="00B2727E" w:rsidRPr="00DE058F">
        <w:rPr>
          <w:lang w:val="sr-Cyrl-CS"/>
        </w:rPr>
        <w:t>друштва</w:t>
      </w:r>
      <w:r w:rsidRPr="00DE058F">
        <w:rPr>
          <w:lang w:val="sr-Cyrl-CS"/>
        </w:rPr>
        <w:t>, те самим тим, промене основних сировина могу значајно повећати трошкове спровођења пројеката и повећати ослањање на буџет Републике Србије, у циљу континуиране реализације пројекта.</w:t>
      </w:r>
    </w:p>
    <w:p w14:paraId="3A844365" w14:textId="77777777" w:rsidR="00593E7B" w:rsidRPr="00DE058F" w:rsidRDefault="00593E7B" w:rsidP="00AB437C">
      <w:pPr>
        <w:spacing w:after="120"/>
        <w:jc w:val="left"/>
        <w:rPr>
          <w:rFonts w:cstheme="minorHAnsi"/>
          <w:b/>
          <w:bCs/>
          <w:color w:val="2F5496" w:themeColor="accent1" w:themeShade="BF"/>
          <w:sz w:val="22"/>
          <w:szCs w:val="20"/>
          <w:lang w:val="sr-Cyrl-CS"/>
        </w:rPr>
      </w:pPr>
      <w:r w:rsidRPr="00DE058F">
        <w:rPr>
          <w:rFonts w:cstheme="minorHAnsi"/>
          <w:b/>
          <w:bCs/>
          <w:color w:val="2F5496" w:themeColor="accent1" w:themeShade="BF"/>
          <w:sz w:val="22"/>
          <w:szCs w:val="20"/>
          <w:lang w:val="sr-Cyrl-CS"/>
        </w:rPr>
        <w:t>Државне гаранције</w:t>
      </w:r>
    </w:p>
    <w:p w14:paraId="7F1A48BD" w14:textId="77777777" w:rsidR="00593E7B" w:rsidRPr="00DE058F" w:rsidRDefault="00593E7B" w:rsidP="00AB437C">
      <w:pPr>
        <w:spacing w:after="120"/>
        <w:rPr>
          <w:lang w:val="sr-Cyrl-CS"/>
        </w:rPr>
      </w:pPr>
      <w:r w:rsidRPr="00DE058F">
        <w:rPr>
          <w:rFonts w:eastAsia="MS PGothic" w:cstheme="minorHAnsi"/>
          <w:szCs w:val="20"/>
          <w:lang w:val="sr-Cyrl-CS" w:eastAsia="ja-JP"/>
        </w:rPr>
        <w:t>Гаранције издате од стране државе утичу на висину јавног дуга, али и на висину дефицита, уколико отплату по кредиту уместо првобитног дужника преузме држава. Издате гаранције су према дефиницији одређеној Законом о јавном дугу</w:t>
      </w:r>
      <w:r w:rsidRPr="00DE058F">
        <w:rPr>
          <w:rFonts w:eastAsia="MS PGothic" w:cstheme="minorHAnsi"/>
          <w:szCs w:val="20"/>
          <w:vertAlign w:val="superscript"/>
          <w:lang w:val="sr-Cyrl-CS" w:eastAsia="ja-JP"/>
        </w:rPr>
        <w:footnoteReference w:id="6"/>
      </w:r>
      <w:r w:rsidRPr="00DE058F">
        <w:rPr>
          <w:rFonts w:eastAsia="MS PGothic" w:cstheme="minorHAnsi"/>
          <w:szCs w:val="20"/>
          <w:lang w:val="sr-Cyrl-CS" w:eastAsia="ja-JP"/>
        </w:rPr>
        <w:t xml:space="preserve"> део индиректних обавеза и у укупном износу се укључују у јавни дуг</w:t>
      </w:r>
      <w:r w:rsidRPr="00DE058F">
        <w:rPr>
          <w:rFonts w:eastAsia="MS PGothic" w:cstheme="minorHAnsi"/>
          <w:szCs w:val="20"/>
          <w:vertAlign w:val="superscript"/>
          <w:lang w:val="sr-Cyrl-CS" w:eastAsia="ja-JP"/>
        </w:rPr>
        <w:footnoteReference w:id="7"/>
      </w:r>
      <w:r w:rsidRPr="00DE058F">
        <w:rPr>
          <w:rFonts w:eastAsia="MS PGothic" w:cstheme="minorHAnsi"/>
          <w:szCs w:val="20"/>
          <w:lang w:val="sr-Cyrl-CS" w:eastAsia="ja-JP"/>
        </w:rPr>
        <w:t>. Ограничења постављена на издавање нових гаранција дала су резултате те се учешће индиректних обавеза у укупном јавном дугу смањује. Индиректне обавезе (издате гаранције од стране Републике Србије) су учествовале са 4,5% у укупном јавном дугу, према националној методологији, на крају 2021. године. Учешће ових обавеза у јавном дугу је на приближно истом нивоу и у текућој години, те на крају марта 2022. године оне чине 5,3% укупног јавног дуга. Највеће учешће ових обавеза у јавном дугу, нешто изнад 14% у просеку забележено је између 2009. и 2013. године.</w:t>
      </w:r>
    </w:p>
    <w:p w14:paraId="2E656CB4" w14:textId="77777777" w:rsidR="00593E7B" w:rsidRPr="00DE058F" w:rsidRDefault="00593E7B" w:rsidP="00AB437C">
      <w:pPr>
        <w:spacing w:after="120"/>
        <w:jc w:val="left"/>
        <w:rPr>
          <w:rFonts w:cstheme="minorHAnsi"/>
          <w:b/>
          <w:bCs/>
          <w:color w:val="2F5496" w:themeColor="accent1" w:themeShade="BF"/>
          <w:sz w:val="22"/>
          <w:szCs w:val="20"/>
          <w:lang w:val="sr-Cyrl-CS"/>
        </w:rPr>
      </w:pPr>
      <w:r w:rsidRPr="00DE058F">
        <w:rPr>
          <w:rFonts w:cstheme="minorHAnsi"/>
          <w:b/>
          <w:bCs/>
          <w:color w:val="2F5496" w:themeColor="accent1" w:themeShade="BF"/>
          <w:sz w:val="22"/>
          <w:szCs w:val="20"/>
          <w:lang w:val="sr-Cyrl-CS"/>
        </w:rPr>
        <w:t>Учешће индиректног дуга у укупном јавном дугу Републике Србије</w:t>
      </w:r>
    </w:p>
    <w:p w14:paraId="0407FA8E" w14:textId="77777777" w:rsidR="00593E7B" w:rsidRPr="00DE058F" w:rsidRDefault="00593E7B" w:rsidP="00AB437C">
      <w:pPr>
        <w:spacing w:after="120"/>
        <w:rPr>
          <w:rFonts w:eastAsia="MS PGothic" w:cstheme="minorHAnsi"/>
          <w:szCs w:val="20"/>
          <w:lang w:val="sr-Cyrl-CS" w:eastAsia="ja-JP"/>
        </w:rPr>
      </w:pPr>
      <w:r w:rsidRPr="00DE058F">
        <w:rPr>
          <w:rFonts w:eastAsia="MS PGothic" w:cstheme="minorHAnsi"/>
          <w:noProof/>
          <w:szCs w:val="20"/>
        </w:rPr>
        <w:drawing>
          <wp:inline distT="0" distB="0" distL="0" distR="0" wp14:anchorId="13D53B9F" wp14:editId="765CFBC7">
            <wp:extent cx="2714625" cy="1667940"/>
            <wp:effectExtent l="0" t="0" r="0" b="889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737048" cy="1681718"/>
                    </a:xfrm>
                    <a:prstGeom prst="rect">
                      <a:avLst/>
                    </a:prstGeom>
                    <a:noFill/>
                  </pic:spPr>
                </pic:pic>
              </a:graphicData>
            </a:graphic>
          </wp:inline>
        </w:drawing>
      </w:r>
    </w:p>
    <w:p w14:paraId="4123BFCD" w14:textId="46659F4C" w:rsidR="00593E7B" w:rsidRPr="00DE058F" w:rsidRDefault="00593E7B" w:rsidP="00AB437C">
      <w:pPr>
        <w:spacing w:after="120"/>
        <w:rPr>
          <w:rFonts w:eastAsia="MS PGothic" w:cstheme="minorHAnsi"/>
          <w:szCs w:val="20"/>
          <w:lang w:val="sr-Cyrl-CS" w:eastAsia="ja-JP"/>
        </w:rPr>
      </w:pPr>
      <w:r w:rsidRPr="00DE058F">
        <w:rPr>
          <w:rFonts w:eastAsia="MS PGothic" w:cstheme="minorHAnsi"/>
          <w:szCs w:val="20"/>
          <w:lang w:val="sr-Cyrl-CS" w:eastAsia="ja-JP"/>
        </w:rPr>
        <w:t xml:space="preserve">На крају 2021. године стање дуга по основу издатих гаранција износило је 1,382 млрд евра, односно 2,6% БДП. Стање дуга по овом основу смањено је за близу 41 милион евра у односу на крај 2020. године. До марта текуће године стање дуга по гаранцијама смањено је за 248,3 милиона евра, у односу на крај 2021. године и </w:t>
      </w:r>
      <w:r w:rsidR="00BD7452" w:rsidRPr="00DE058F">
        <w:rPr>
          <w:rFonts w:eastAsia="MS PGothic" w:cstheme="minorHAnsi"/>
          <w:szCs w:val="20"/>
          <w:lang w:val="sr-Cyrl-CS" w:eastAsia="ja-JP"/>
        </w:rPr>
        <w:t xml:space="preserve">износи 1,6 млрд евра на дан 31. март </w:t>
      </w:r>
      <w:r w:rsidRPr="00DE058F">
        <w:rPr>
          <w:rFonts w:eastAsia="MS PGothic" w:cstheme="minorHAnsi"/>
          <w:szCs w:val="20"/>
          <w:lang w:val="sr-Cyrl-CS" w:eastAsia="ja-JP"/>
        </w:rPr>
        <w:t>2022. године.</w:t>
      </w:r>
    </w:p>
    <w:p w14:paraId="1381E761" w14:textId="77777777" w:rsidR="00593E7B" w:rsidRPr="00DE058F" w:rsidRDefault="00593E7B" w:rsidP="00C95509">
      <w:pPr>
        <w:spacing w:after="360"/>
        <w:rPr>
          <w:rFonts w:eastAsia="MS PGothic" w:cstheme="minorHAnsi"/>
          <w:szCs w:val="20"/>
          <w:lang w:val="sr-Cyrl-CS" w:eastAsia="ja-JP"/>
        </w:rPr>
        <w:sectPr w:rsidR="00593E7B" w:rsidRPr="00DE058F" w:rsidSect="00C95509">
          <w:type w:val="continuous"/>
          <w:pgSz w:w="12240" w:h="15840" w:code="1"/>
          <w:pgMar w:top="1440" w:right="1440" w:bottom="1440" w:left="1440" w:header="720" w:footer="720" w:gutter="0"/>
          <w:cols w:num="2" w:space="720"/>
          <w:docGrid w:linePitch="360"/>
          <w15:footnoteColumns w:val="1"/>
        </w:sectPr>
      </w:pPr>
    </w:p>
    <w:p w14:paraId="799627C9" w14:textId="4C4FA5EE" w:rsidR="00593E7B" w:rsidRPr="00DE058F" w:rsidRDefault="00593E7B" w:rsidP="00C95509">
      <w:pPr>
        <w:spacing w:after="120" w:line="276" w:lineRule="auto"/>
        <w:jc w:val="center"/>
        <w:rPr>
          <w:rFonts w:eastAsia="MS PGothic" w:cstheme="minorHAnsi"/>
          <w:b/>
          <w:bCs/>
          <w:color w:val="002060"/>
          <w:szCs w:val="20"/>
          <w:lang w:val="sr-Cyrl-CS" w:eastAsia="ja-JP"/>
        </w:rPr>
      </w:pPr>
      <w:r w:rsidRPr="00DE058F">
        <w:rPr>
          <w:rFonts w:eastAsia="MS PGothic" w:cstheme="minorHAnsi"/>
          <w:b/>
          <w:bCs/>
          <w:color w:val="002060"/>
          <w:szCs w:val="20"/>
          <w:lang w:val="sr-Cyrl-CS" w:eastAsia="ja-JP"/>
        </w:rPr>
        <w:lastRenderedPageBreak/>
        <w:t>Табела 1</w:t>
      </w:r>
      <w:r w:rsidR="00623E62" w:rsidRPr="00DE058F">
        <w:rPr>
          <w:rFonts w:eastAsia="MS PGothic" w:cstheme="minorHAnsi"/>
          <w:b/>
          <w:bCs/>
          <w:color w:val="002060"/>
          <w:szCs w:val="20"/>
          <w:lang w:val="sr-Cyrl-CS" w:eastAsia="ja-JP"/>
        </w:rPr>
        <w:t>3</w:t>
      </w:r>
      <w:r w:rsidRPr="00DE058F">
        <w:rPr>
          <w:rFonts w:eastAsia="MS PGothic" w:cstheme="minorHAnsi"/>
          <w:b/>
          <w:bCs/>
          <w:color w:val="002060"/>
          <w:szCs w:val="20"/>
          <w:lang w:val="sr-Cyrl-CS" w:eastAsia="ja-JP"/>
        </w:rPr>
        <w:t>. Стање дуга по основу издатих гаранција у мил. евра</w:t>
      </w:r>
    </w:p>
    <w:tbl>
      <w:tblPr>
        <w:tblW w:w="7896" w:type="dxa"/>
        <w:jc w:val="center"/>
        <w:tblLook w:val="04A0" w:firstRow="1" w:lastRow="0" w:firstColumn="1" w:lastColumn="0" w:noHBand="0" w:noVBand="1"/>
      </w:tblPr>
      <w:tblGrid>
        <w:gridCol w:w="6786"/>
        <w:gridCol w:w="1110"/>
      </w:tblGrid>
      <w:tr w:rsidR="00593E7B" w:rsidRPr="00DE058F" w14:paraId="58472A3F" w14:textId="77777777" w:rsidTr="00C95509">
        <w:trPr>
          <w:trHeight w:hRule="exact" w:val="255"/>
          <w:tblHeader/>
          <w:jc w:val="center"/>
        </w:trPr>
        <w:tc>
          <w:tcPr>
            <w:tcW w:w="6786" w:type="dxa"/>
            <w:tcBorders>
              <w:top w:val="single" w:sz="8" w:space="0" w:color="002060"/>
              <w:left w:val="nil"/>
              <w:bottom w:val="single" w:sz="8" w:space="0" w:color="002060"/>
              <w:right w:val="nil"/>
            </w:tcBorders>
            <w:shd w:val="clear" w:color="auto" w:fill="auto"/>
            <w:noWrap/>
            <w:vAlign w:val="center"/>
            <w:hideMark/>
          </w:tcPr>
          <w:p w14:paraId="10814907" w14:textId="77777777" w:rsidR="00593E7B" w:rsidRPr="00DE058F" w:rsidRDefault="00593E7B" w:rsidP="00C95509">
            <w:pPr>
              <w:spacing w:after="120" w:line="276" w:lineRule="auto"/>
              <w:jc w:val="left"/>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Корисник</w:t>
            </w:r>
          </w:p>
        </w:tc>
        <w:tc>
          <w:tcPr>
            <w:tcW w:w="1110" w:type="dxa"/>
            <w:tcBorders>
              <w:top w:val="single" w:sz="8" w:space="0" w:color="002060"/>
              <w:left w:val="nil"/>
              <w:bottom w:val="single" w:sz="8" w:space="0" w:color="002060"/>
              <w:right w:val="nil"/>
            </w:tcBorders>
            <w:shd w:val="clear" w:color="auto" w:fill="auto"/>
            <w:vAlign w:val="center"/>
            <w:hideMark/>
          </w:tcPr>
          <w:p w14:paraId="4ADB4086" w14:textId="77777777" w:rsidR="00593E7B" w:rsidRPr="00DE058F" w:rsidRDefault="00593E7B" w:rsidP="00C95509">
            <w:pPr>
              <w:spacing w:after="120" w:line="276" w:lineRule="auto"/>
              <w:jc w:val="right"/>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31.03.2022.</w:t>
            </w:r>
          </w:p>
        </w:tc>
      </w:tr>
      <w:tr w:rsidR="00593E7B" w:rsidRPr="00DE058F" w14:paraId="038A30A5" w14:textId="77777777" w:rsidTr="00C95509">
        <w:trPr>
          <w:trHeight w:hRule="exact" w:val="255"/>
          <w:jc w:val="center"/>
        </w:trPr>
        <w:tc>
          <w:tcPr>
            <w:tcW w:w="6786" w:type="dxa"/>
            <w:tcBorders>
              <w:top w:val="nil"/>
              <w:left w:val="nil"/>
              <w:bottom w:val="nil"/>
              <w:right w:val="nil"/>
            </w:tcBorders>
            <w:shd w:val="clear" w:color="auto" w:fill="auto"/>
            <w:noWrap/>
            <w:vAlign w:val="center"/>
            <w:hideMark/>
          </w:tcPr>
          <w:p w14:paraId="3D2C9D5C"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 xml:space="preserve">ЈП „Србијагас” </w:t>
            </w:r>
          </w:p>
        </w:tc>
        <w:tc>
          <w:tcPr>
            <w:tcW w:w="1110" w:type="dxa"/>
            <w:tcBorders>
              <w:top w:val="nil"/>
              <w:left w:val="nil"/>
              <w:bottom w:val="nil"/>
              <w:right w:val="nil"/>
            </w:tcBorders>
            <w:shd w:val="clear" w:color="auto" w:fill="auto"/>
            <w:noWrap/>
            <w:vAlign w:val="center"/>
            <w:hideMark/>
          </w:tcPr>
          <w:p w14:paraId="739DB087"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443,7</w:t>
            </w:r>
          </w:p>
        </w:tc>
      </w:tr>
      <w:tr w:rsidR="00593E7B" w:rsidRPr="00DE058F" w14:paraId="4E534452" w14:textId="77777777" w:rsidTr="00C95509">
        <w:trPr>
          <w:trHeight w:hRule="exact" w:val="255"/>
          <w:jc w:val="center"/>
        </w:trPr>
        <w:tc>
          <w:tcPr>
            <w:tcW w:w="6786" w:type="dxa"/>
            <w:tcBorders>
              <w:top w:val="nil"/>
              <w:left w:val="nil"/>
              <w:bottom w:val="nil"/>
              <w:right w:val="nil"/>
            </w:tcBorders>
            <w:shd w:val="clear" w:color="auto" w:fill="auto"/>
            <w:noWrap/>
            <w:vAlign w:val="center"/>
            <w:hideMark/>
          </w:tcPr>
          <w:p w14:paraId="6778D852"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ЈП „Путеви Србије”</w:t>
            </w:r>
          </w:p>
        </w:tc>
        <w:tc>
          <w:tcPr>
            <w:tcW w:w="1110" w:type="dxa"/>
            <w:tcBorders>
              <w:top w:val="nil"/>
              <w:left w:val="nil"/>
              <w:bottom w:val="nil"/>
              <w:right w:val="nil"/>
            </w:tcBorders>
            <w:shd w:val="clear" w:color="auto" w:fill="auto"/>
            <w:noWrap/>
            <w:vAlign w:val="center"/>
            <w:hideMark/>
          </w:tcPr>
          <w:p w14:paraId="220FAC57"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240,5</w:t>
            </w:r>
          </w:p>
        </w:tc>
      </w:tr>
      <w:tr w:rsidR="00593E7B" w:rsidRPr="00DE058F" w14:paraId="596BBF80" w14:textId="77777777" w:rsidTr="00C95509">
        <w:trPr>
          <w:trHeight w:hRule="exact" w:val="255"/>
          <w:jc w:val="center"/>
        </w:trPr>
        <w:tc>
          <w:tcPr>
            <w:tcW w:w="6786" w:type="dxa"/>
            <w:tcBorders>
              <w:top w:val="nil"/>
              <w:left w:val="nil"/>
              <w:bottom w:val="nil"/>
              <w:right w:val="nil"/>
            </w:tcBorders>
            <w:shd w:val="clear" w:color="auto" w:fill="auto"/>
            <w:noWrap/>
            <w:vAlign w:val="center"/>
            <w:hideMark/>
          </w:tcPr>
          <w:p w14:paraId="6B70D8E6" w14:textId="77777777" w:rsidR="00593E7B" w:rsidRPr="00DE058F" w:rsidRDefault="00593E7B" w:rsidP="00C95509">
            <w:pPr>
              <w:spacing w:after="120" w:line="276" w:lineRule="auto"/>
              <w:rPr>
                <w:rFonts w:eastAsia="MS PGothic" w:cstheme="minorHAnsi"/>
                <w:color w:val="002060"/>
                <w:sz w:val="18"/>
                <w:szCs w:val="18"/>
                <w:highlight w:val="yellow"/>
                <w:lang w:val="sr-Cyrl-CS" w:eastAsia="ja-JP"/>
              </w:rPr>
            </w:pPr>
            <w:r w:rsidRPr="00DE058F">
              <w:rPr>
                <w:rFonts w:eastAsia="MS PGothic" w:cstheme="minorHAnsi"/>
                <w:color w:val="002060"/>
                <w:sz w:val="18"/>
                <w:szCs w:val="18"/>
                <w:lang w:val="sr-Cyrl-CS" w:eastAsia="ja-JP"/>
              </w:rPr>
              <w:t>„Железнице Србије” а.д.</w:t>
            </w:r>
          </w:p>
        </w:tc>
        <w:tc>
          <w:tcPr>
            <w:tcW w:w="1110" w:type="dxa"/>
            <w:tcBorders>
              <w:top w:val="nil"/>
              <w:left w:val="nil"/>
              <w:bottom w:val="nil"/>
              <w:right w:val="nil"/>
            </w:tcBorders>
            <w:shd w:val="clear" w:color="auto" w:fill="auto"/>
            <w:noWrap/>
            <w:vAlign w:val="center"/>
            <w:hideMark/>
          </w:tcPr>
          <w:p w14:paraId="633DEAF6"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129,0</w:t>
            </w:r>
          </w:p>
        </w:tc>
      </w:tr>
      <w:tr w:rsidR="00593E7B" w:rsidRPr="00DE058F" w14:paraId="75B292AA" w14:textId="77777777" w:rsidTr="00C95509">
        <w:trPr>
          <w:trHeight w:hRule="exact" w:val="255"/>
          <w:jc w:val="center"/>
        </w:trPr>
        <w:tc>
          <w:tcPr>
            <w:tcW w:w="6786" w:type="dxa"/>
            <w:tcBorders>
              <w:top w:val="nil"/>
              <w:left w:val="nil"/>
              <w:bottom w:val="nil"/>
              <w:right w:val="nil"/>
            </w:tcBorders>
            <w:shd w:val="clear" w:color="auto" w:fill="auto"/>
            <w:noWrap/>
            <w:vAlign w:val="center"/>
            <w:hideMark/>
          </w:tcPr>
          <w:p w14:paraId="159E6D11" w14:textId="77777777" w:rsidR="00593E7B" w:rsidRPr="00DE058F" w:rsidRDefault="00593E7B" w:rsidP="00C95509">
            <w:pPr>
              <w:spacing w:after="120" w:line="276" w:lineRule="auto"/>
              <w:rPr>
                <w:rFonts w:eastAsia="MS PGothic" w:cstheme="minorHAnsi"/>
                <w:color w:val="002060"/>
                <w:sz w:val="18"/>
                <w:szCs w:val="18"/>
                <w:highlight w:val="yellow"/>
                <w:lang w:val="sr-Cyrl-CS" w:eastAsia="ja-JP"/>
              </w:rPr>
            </w:pPr>
            <w:r w:rsidRPr="00DE058F">
              <w:rPr>
                <w:rFonts w:eastAsia="MS PGothic" w:cstheme="minorHAnsi"/>
                <w:color w:val="002060"/>
                <w:sz w:val="18"/>
                <w:szCs w:val="18"/>
                <w:lang w:val="sr-Cyrl-CS" w:eastAsia="ja-JP"/>
              </w:rPr>
              <w:t>„Инфраструктура железнице Србије” а.д.</w:t>
            </w:r>
          </w:p>
        </w:tc>
        <w:tc>
          <w:tcPr>
            <w:tcW w:w="1110" w:type="dxa"/>
            <w:tcBorders>
              <w:top w:val="nil"/>
              <w:left w:val="nil"/>
              <w:bottom w:val="nil"/>
              <w:right w:val="nil"/>
            </w:tcBorders>
            <w:shd w:val="clear" w:color="auto" w:fill="auto"/>
            <w:noWrap/>
            <w:vAlign w:val="center"/>
            <w:hideMark/>
          </w:tcPr>
          <w:p w14:paraId="79CAD74D"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58,9</w:t>
            </w:r>
          </w:p>
        </w:tc>
      </w:tr>
      <w:tr w:rsidR="00593E7B" w:rsidRPr="00DE058F" w14:paraId="452E1B44" w14:textId="77777777" w:rsidTr="00C95509">
        <w:trPr>
          <w:trHeight w:hRule="exact" w:val="255"/>
          <w:jc w:val="center"/>
        </w:trPr>
        <w:tc>
          <w:tcPr>
            <w:tcW w:w="6786" w:type="dxa"/>
            <w:tcBorders>
              <w:top w:val="nil"/>
              <w:left w:val="nil"/>
              <w:bottom w:val="nil"/>
              <w:right w:val="nil"/>
            </w:tcBorders>
            <w:shd w:val="clear" w:color="auto" w:fill="auto"/>
            <w:noWrap/>
            <w:vAlign w:val="center"/>
            <w:hideMark/>
          </w:tcPr>
          <w:p w14:paraId="5EB180F6"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„Србија Воз” а.д.</w:t>
            </w:r>
          </w:p>
        </w:tc>
        <w:tc>
          <w:tcPr>
            <w:tcW w:w="1110" w:type="dxa"/>
            <w:tcBorders>
              <w:top w:val="nil"/>
              <w:left w:val="nil"/>
              <w:bottom w:val="nil"/>
              <w:right w:val="nil"/>
            </w:tcBorders>
            <w:shd w:val="clear" w:color="auto" w:fill="auto"/>
            <w:noWrap/>
            <w:vAlign w:val="center"/>
            <w:hideMark/>
          </w:tcPr>
          <w:p w14:paraId="5AAD4B49"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91,5</w:t>
            </w:r>
          </w:p>
        </w:tc>
      </w:tr>
      <w:tr w:rsidR="00593E7B" w:rsidRPr="00DE058F" w14:paraId="42762ADC" w14:textId="77777777" w:rsidTr="00C95509">
        <w:trPr>
          <w:trHeight w:hRule="exact" w:val="255"/>
          <w:jc w:val="center"/>
        </w:trPr>
        <w:tc>
          <w:tcPr>
            <w:tcW w:w="6786" w:type="dxa"/>
            <w:tcBorders>
              <w:top w:val="nil"/>
              <w:left w:val="nil"/>
              <w:bottom w:val="nil"/>
              <w:right w:val="nil"/>
            </w:tcBorders>
            <w:shd w:val="clear" w:color="auto" w:fill="auto"/>
            <w:noWrap/>
            <w:vAlign w:val="center"/>
            <w:hideMark/>
          </w:tcPr>
          <w:p w14:paraId="14D8E130"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„Србија Карго” а.д.</w:t>
            </w:r>
          </w:p>
        </w:tc>
        <w:tc>
          <w:tcPr>
            <w:tcW w:w="1110" w:type="dxa"/>
            <w:tcBorders>
              <w:top w:val="nil"/>
              <w:left w:val="nil"/>
              <w:bottom w:val="nil"/>
              <w:right w:val="nil"/>
            </w:tcBorders>
            <w:shd w:val="clear" w:color="auto" w:fill="auto"/>
            <w:noWrap/>
            <w:vAlign w:val="center"/>
            <w:hideMark/>
          </w:tcPr>
          <w:p w14:paraId="5F43ADFA"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36,7</w:t>
            </w:r>
          </w:p>
        </w:tc>
      </w:tr>
      <w:tr w:rsidR="00593E7B" w:rsidRPr="00DE058F" w14:paraId="6A181725" w14:textId="77777777" w:rsidTr="00C95509">
        <w:trPr>
          <w:trHeight w:hRule="exact" w:val="255"/>
          <w:jc w:val="center"/>
        </w:trPr>
        <w:tc>
          <w:tcPr>
            <w:tcW w:w="6786" w:type="dxa"/>
            <w:tcBorders>
              <w:top w:val="nil"/>
              <w:left w:val="nil"/>
              <w:bottom w:val="nil"/>
              <w:right w:val="nil"/>
            </w:tcBorders>
            <w:shd w:val="clear" w:color="auto" w:fill="auto"/>
            <w:noWrap/>
            <w:vAlign w:val="center"/>
            <w:hideMark/>
          </w:tcPr>
          <w:p w14:paraId="4A5707FF"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ЈП „Електропривреда Србије”</w:t>
            </w:r>
          </w:p>
        </w:tc>
        <w:tc>
          <w:tcPr>
            <w:tcW w:w="1110" w:type="dxa"/>
            <w:tcBorders>
              <w:top w:val="nil"/>
              <w:left w:val="nil"/>
              <w:bottom w:val="nil"/>
              <w:right w:val="nil"/>
            </w:tcBorders>
            <w:shd w:val="clear" w:color="auto" w:fill="auto"/>
            <w:noWrap/>
            <w:vAlign w:val="center"/>
            <w:hideMark/>
          </w:tcPr>
          <w:p w14:paraId="07DAA5D2"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371,6</w:t>
            </w:r>
          </w:p>
        </w:tc>
      </w:tr>
      <w:tr w:rsidR="00593E7B" w:rsidRPr="00DE058F" w14:paraId="2D4F6C39" w14:textId="77777777" w:rsidTr="00C95509">
        <w:trPr>
          <w:trHeight w:hRule="exact" w:val="255"/>
          <w:jc w:val="center"/>
        </w:trPr>
        <w:tc>
          <w:tcPr>
            <w:tcW w:w="6786" w:type="dxa"/>
            <w:tcBorders>
              <w:top w:val="nil"/>
              <w:left w:val="nil"/>
              <w:bottom w:val="nil"/>
              <w:right w:val="nil"/>
            </w:tcBorders>
            <w:shd w:val="clear" w:color="auto" w:fill="auto"/>
            <w:noWrap/>
            <w:vAlign w:val="center"/>
            <w:hideMark/>
          </w:tcPr>
          <w:p w14:paraId="393CC693"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„Електромрежа Србије” а.д.</w:t>
            </w:r>
          </w:p>
        </w:tc>
        <w:tc>
          <w:tcPr>
            <w:tcW w:w="1110" w:type="dxa"/>
            <w:tcBorders>
              <w:top w:val="nil"/>
              <w:left w:val="nil"/>
              <w:bottom w:val="nil"/>
              <w:right w:val="nil"/>
            </w:tcBorders>
            <w:shd w:val="clear" w:color="auto" w:fill="auto"/>
            <w:noWrap/>
            <w:vAlign w:val="center"/>
            <w:hideMark/>
          </w:tcPr>
          <w:p w14:paraId="6B9AD0F6"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36,7</w:t>
            </w:r>
          </w:p>
        </w:tc>
      </w:tr>
      <w:tr w:rsidR="00593E7B" w:rsidRPr="00DE058F" w14:paraId="209335B2" w14:textId="77777777" w:rsidTr="00C95509">
        <w:trPr>
          <w:trHeight w:hRule="exact" w:val="255"/>
          <w:jc w:val="center"/>
        </w:trPr>
        <w:tc>
          <w:tcPr>
            <w:tcW w:w="6786" w:type="dxa"/>
            <w:tcBorders>
              <w:top w:val="nil"/>
              <w:left w:val="nil"/>
              <w:bottom w:val="nil"/>
              <w:right w:val="nil"/>
            </w:tcBorders>
            <w:shd w:val="clear" w:color="auto" w:fill="auto"/>
            <w:noWrap/>
            <w:vAlign w:val="center"/>
            <w:hideMark/>
          </w:tcPr>
          <w:p w14:paraId="5AF78E1D"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Јединице локалне самоуправе (градови и општине)</w:t>
            </w:r>
          </w:p>
        </w:tc>
        <w:tc>
          <w:tcPr>
            <w:tcW w:w="1110" w:type="dxa"/>
            <w:tcBorders>
              <w:top w:val="nil"/>
              <w:left w:val="nil"/>
              <w:bottom w:val="nil"/>
              <w:right w:val="nil"/>
            </w:tcBorders>
            <w:shd w:val="clear" w:color="auto" w:fill="auto"/>
            <w:noWrap/>
            <w:vAlign w:val="center"/>
            <w:hideMark/>
          </w:tcPr>
          <w:p w14:paraId="6613CC58"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177,1</w:t>
            </w:r>
          </w:p>
        </w:tc>
      </w:tr>
      <w:tr w:rsidR="00593E7B" w:rsidRPr="00DE058F" w14:paraId="07661BA2" w14:textId="77777777" w:rsidTr="00C95509">
        <w:trPr>
          <w:trHeight w:hRule="exact" w:val="255"/>
          <w:jc w:val="center"/>
        </w:trPr>
        <w:tc>
          <w:tcPr>
            <w:tcW w:w="6786" w:type="dxa"/>
            <w:tcBorders>
              <w:top w:val="nil"/>
              <w:left w:val="nil"/>
              <w:bottom w:val="nil"/>
              <w:right w:val="nil"/>
            </w:tcBorders>
            <w:shd w:val="clear" w:color="auto" w:fill="auto"/>
            <w:noWrap/>
            <w:vAlign w:val="center"/>
            <w:hideMark/>
          </w:tcPr>
          <w:p w14:paraId="4A7FAC74"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ЈП „Југоимпорт – СДПР”</w:t>
            </w:r>
          </w:p>
        </w:tc>
        <w:tc>
          <w:tcPr>
            <w:tcW w:w="1110" w:type="dxa"/>
            <w:tcBorders>
              <w:top w:val="nil"/>
              <w:left w:val="nil"/>
              <w:bottom w:val="nil"/>
              <w:right w:val="nil"/>
            </w:tcBorders>
            <w:shd w:val="clear" w:color="auto" w:fill="auto"/>
            <w:noWrap/>
            <w:vAlign w:val="center"/>
            <w:hideMark/>
          </w:tcPr>
          <w:p w14:paraId="1F07C039"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9,7</w:t>
            </w:r>
          </w:p>
        </w:tc>
      </w:tr>
      <w:tr w:rsidR="00593E7B" w:rsidRPr="00DE058F" w14:paraId="6EA40A5A" w14:textId="77777777" w:rsidTr="00C95509">
        <w:trPr>
          <w:trHeight w:hRule="exact" w:val="255"/>
          <w:jc w:val="center"/>
        </w:trPr>
        <w:tc>
          <w:tcPr>
            <w:tcW w:w="6786" w:type="dxa"/>
            <w:tcBorders>
              <w:top w:val="nil"/>
              <w:left w:val="nil"/>
              <w:bottom w:val="nil"/>
              <w:right w:val="nil"/>
            </w:tcBorders>
            <w:shd w:val="clear" w:color="auto" w:fill="auto"/>
            <w:noWrap/>
            <w:vAlign w:val="center"/>
            <w:hideMark/>
          </w:tcPr>
          <w:p w14:paraId="733ECFEB"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Агенција за контролу летења Србије и Црне Горе</w:t>
            </w:r>
          </w:p>
        </w:tc>
        <w:tc>
          <w:tcPr>
            <w:tcW w:w="1110" w:type="dxa"/>
            <w:tcBorders>
              <w:top w:val="nil"/>
              <w:left w:val="nil"/>
              <w:bottom w:val="nil"/>
              <w:right w:val="nil"/>
            </w:tcBorders>
            <w:shd w:val="clear" w:color="auto" w:fill="auto"/>
            <w:noWrap/>
            <w:vAlign w:val="center"/>
            <w:hideMark/>
          </w:tcPr>
          <w:p w14:paraId="4BBB61CE"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0,3</w:t>
            </w:r>
          </w:p>
        </w:tc>
      </w:tr>
      <w:tr w:rsidR="00593E7B" w:rsidRPr="00DE058F" w14:paraId="3F3367AF" w14:textId="77777777" w:rsidTr="00C95509">
        <w:trPr>
          <w:trHeight w:hRule="exact" w:val="255"/>
          <w:jc w:val="center"/>
        </w:trPr>
        <w:tc>
          <w:tcPr>
            <w:tcW w:w="6786" w:type="dxa"/>
            <w:tcBorders>
              <w:top w:val="nil"/>
              <w:left w:val="nil"/>
              <w:bottom w:val="nil"/>
              <w:right w:val="nil"/>
            </w:tcBorders>
            <w:shd w:val="clear" w:color="auto" w:fill="auto"/>
            <w:noWrap/>
            <w:vAlign w:val="center"/>
            <w:hideMark/>
          </w:tcPr>
          <w:p w14:paraId="262E1BD4"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„ЈАТ Техника” д.о.о.</w:t>
            </w:r>
          </w:p>
        </w:tc>
        <w:tc>
          <w:tcPr>
            <w:tcW w:w="1110" w:type="dxa"/>
            <w:tcBorders>
              <w:top w:val="nil"/>
              <w:left w:val="nil"/>
              <w:bottom w:val="nil"/>
              <w:right w:val="nil"/>
            </w:tcBorders>
            <w:shd w:val="clear" w:color="auto" w:fill="auto"/>
            <w:noWrap/>
            <w:vAlign w:val="center"/>
            <w:hideMark/>
          </w:tcPr>
          <w:p w14:paraId="51EE54AE"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1,9</w:t>
            </w:r>
          </w:p>
        </w:tc>
      </w:tr>
      <w:tr w:rsidR="00593E7B" w:rsidRPr="00DE058F" w14:paraId="6FF46F81" w14:textId="77777777" w:rsidTr="00C95509">
        <w:trPr>
          <w:trHeight w:hRule="exact" w:val="255"/>
          <w:jc w:val="center"/>
        </w:trPr>
        <w:tc>
          <w:tcPr>
            <w:tcW w:w="6786" w:type="dxa"/>
            <w:tcBorders>
              <w:top w:val="nil"/>
              <w:left w:val="nil"/>
              <w:bottom w:val="nil"/>
              <w:right w:val="nil"/>
            </w:tcBorders>
            <w:shd w:val="clear" w:color="auto" w:fill="auto"/>
            <w:noWrap/>
            <w:vAlign w:val="center"/>
            <w:hideMark/>
          </w:tcPr>
          <w:p w14:paraId="321D8190"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ЈП „Емисиона техника и везе”</w:t>
            </w:r>
          </w:p>
        </w:tc>
        <w:tc>
          <w:tcPr>
            <w:tcW w:w="1110" w:type="dxa"/>
            <w:tcBorders>
              <w:top w:val="nil"/>
              <w:left w:val="nil"/>
              <w:bottom w:val="nil"/>
              <w:right w:val="nil"/>
            </w:tcBorders>
            <w:shd w:val="clear" w:color="auto" w:fill="auto"/>
            <w:noWrap/>
            <w:vAlign w:val="center"/>
            <w:hideMark/>
          </w:tcPr>
          <w:p w14:paraId="310034C0"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5,6</w:t>
            </w:r>
          </w:p>
        </w:tc>
      </w:tr>
      <w:tr w:rsidR="00593E7B" w:rsidRPr="00DE058F" w14:paraId="3A70DB04" w14:textId="77777777" w:rsidTr="00C95509">
        <w:trPr>
          <w:trHeight w:hRule="exact" w:val="255"/>
          <w:jc w:val="center"/>
        </w:trPr>
        <w:tc>
          <w:tcPr>
            <w:tcW w:w="6786" w:type="dxa"/>
            <w:tcBorders>
              <w:top w:val="nil"/>
              <w:left w:val="nil"/>
              <w:right w:val="nil"/>
            </w:tcBorders>
            <w:shd w:val="clear" w:color="auto" w:fill="auto"/>
            <w:noWrap/>
            <w:vAlign w:val="center"/>
          </w:tcPr>
          <w:p w14:paraId="0F66AC31"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ЈП „Скијалишта Србије”</w:t>
            </w:r>
          </w:p>
        </w:tc>
        <w:tc>
          <w:tcPr>
            <w:tcW w:w="1110" w:type="dxa"/>
            <w:tcBorders>
              <w:top w:val="nil"/>
              <w:left w:val="nil"/>
              <w:right w:val="nil"/>
            </w:tcBorders>
            <w:shd w:val="clear" w:color="auto" w:fill="auto"/>
            <w:noWrap/>
            <w:vAlign w:val="center"/>
          </w:tcPr>
          <w:p w14:paraId="70E87EE2"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26,8</w:t>
            </w:r>
          </w:p>
          <w:p w14:paraId="22588EF4"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p>
        </w:tc>
      </w:tr>
      <w:tr w:rsidR="00593E7B" w:rsidRPr="00DE058F" w14:paraId="7B16B09E" w14:textId="77777777" w:rsidTr="00C95509">
        <w:trPr>
          <w:trHeight w:hRule="exact" w:val="255"/>
          <w:jc w:val="center"/>
        </w:trPr>
        <w:tc>
          <w:tcPr>
            <w:tcW w:w="6786" w:type="dxa"/>
            <w:tcBorders>
              <w:top w:val="nil"/>
              <w:left w:val="nil"/>
              <w:bottom w:val="single" w:sz="8" w:space="0" w:color="002060"/>
              <w:right w:val="nil"/>
            </w:tcBorders>
            <w:shd w:val="clear" w:color="auto" w:fill="auto"/>
            <w:noWrap/>
            <w:vAlign w:val="center"/>
          </w:tcPr>
          <w:p w14:paraId="168F0105" w14:textId="0C6723BB"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Електродистрибуција Србије д.о.о.</w:t>
            </w:r>
          </w:p>
        </w:tc>
        <w:tc>
          <w:tcPr>
            <w:tcW w:w="1110" w:type="dxa"/>
            <w:tcBorders>
              <w:top w:val="nil"/>
              <w:left w:val="nil"/>
              <w:bottom w:val="single" w:sz="8" w:space="0" w:color="002060"/>
              <w:right w:val="nil"/>
            </w:tcBorders>
            <w:shd w:val="clear" w:color="auto" w:fill="auto"/>
            <w:noWrap/>
            <w:vAlign w:val="center"/>
          </w:tcPr>
          <w:p w14:paraId="0726EB1F"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0,4</w:t>
            </w:r>
          </w:p>
        </w:tc>
      </w:tr>
      <w:tr w:rsidR="00593E7B" w:rsidRPr="00DE058F" w14:paraId="10A296E7" w14:textId="77777777" w:rsidTr="00C95509">
        <w:trPr>
          <w:trHeight w:hRule="exact" w:val="255"/>
          <w:jc w:val="center"/>
        </w:trPr>
        <w:tc>
          <w:tcPr>
            <w:tcW w:w="6786" w:type="dxa"/>
            <w:tcBorders>
              <w:top w:val="single" w:sz="8" w:space="0" w:color="002060"/>
              <w:left w:val="nil"/>
              <w:bottom w:val="single" w:sz="8" w:space="0" w:color="002060"/>
              <w:right w:val="nil"/>
            </w:tcBorders>
            <w:shd w:val="clear" w:color="auto" w:fill="auto"/>
            <w:noWrap/>
            <w:vAlign w:val="center"/>
            <w:hideMark/>
          </w:tcPr>
          <w:p w14:paraId="30828B9F" w14:textId="77777777" w:rsidR="00593E7B" w:rsidRPr="00DE058F" w:rsidRDefault="00593E7B" w:rsidP="00C95509">
            <w:pPr>
              <w:spacing w:after="120" w:line="276" w:lineRule="auto"/>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УКУПНО</w:t>
            </w:r>
          </w:p>
        </w:tc>
        <w:tc>
          <w:tcPr>
            <w:tcW w:w="1110" w:type="dxa"/>
            <w:tcBorders>
              <w:top w:val="single" w:sz="8" w:space="0" w:color="002060"/>
              <w:left w:val="nil"/>
              <w:bottom w:val="single" w:sz="8" w:space="0" w:color="002060"/>
              <w:right w:val="nil"/>
            </w:tcBorders>
            <w:shd w:val="clear" w:color="auto" w:fill="auto"/>
            <w:noWrap/>
            <w:vAlign w:val="center"/>
            <w:hideMark/>
          </w:tcPr>
          <w:p w14:paraId="1B330DBC" w14:textId="77777777" w:rsidR="00593E7B" w:rsidRPr="00DE058F" w:rsidRDefault="00593E7B" w:rsidP="00C95509">
            <w:pPr>
              <w:spacing w:after="120" w:line="276" w:lineRule="auto"/>
              <w:jc w:val="right"/>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1.630,4</w:t>
            </w:r>
          </w:p>
        </w:tc>
      </w:tr>
    </w:tbl>
    <w:p w14:paraId="4883D8D6" w14:textId="77777777" w:rsidR="00593E7B" w:rsidRPr="00DE058F" w:rsidRDefault="00593E7B" w:rsidP="00C95509">
      <w:pPr>
        <w:spacing w:after="120" w:line="276" w:lineRule="auto"/>
        <w:ind w:left="737"/>
        <w:rPr>
          <w:rFonts w:eastAsia="MS PGothic" w:cstheme="minorHAnsi"/>
          <w:sz w:val="16"/>
          <w:szCs w:val="16"/>
          <w:lang w:val="sr-Cyrl-CS" w:eastAsia="ja-JP"/>
        </w:rPr>
      </w:pPr>
      <w:r w:rsidRPr="00DE058F">
        <w:rPr>
          <w:rFonts w:eastAsia="MS PGothic" w:cstheme="minorHAnsi"/>
          <w:sz w:val="16"/>
          <w:szCs w:val="16"/>
          <w:lang w:val="sr-Cyrl-CS" w:eastAsia="ja-JP"/>
        </w:rPr>
        <w:t>Извор: Министарство финансија, Управа за јавни дуг</w:t>
      </w:r>
    </w:p>
    <w:p w14:paraId="05225712" w14:textId="77777777" w:rsidR="00593E7B" w:rsidRPr="00DE058F" w:rsidRDefault="00593E7B" w:rsidP="00C95509">
      <w:pPr>
        <w:spacing w:after="120" w:line="276" w:lineRule="auto"/>
        <w:rPr>
          <w:rFonts w:eastAsia="MS PGothic" w:cstheme="minorHAnsi"/>
          <w:b/>
          <w:szCs w:val="20"/>
          <w:lang w:val="sr-Cyrl-CS" w:eastAsia="ja-JP"/>
        </w:rPr>
        <w:sectPr w:rsidR="00593E7B" w:rsidRPr="00DE058F" w:rsidSect="00C95509">
          <w:type w:val="continuous"/>
          <w:pgSz w:w="12240" w:h="15840" w:code="1"/>
          <w:pgMar w:top="1440" w:right="1440" w:bottom="1440" w:left="1440" w:header="720" w:footer="720" w:gutter="0"/>
          <w:cols w:space="720"/>
          <w:docGrid w:linePitch="360"/>
        </w:sectPr>
      </w:pPr>
    </w:p>
    <w:p w14:paraId="11731267" w14:textId="77777777" w:rsidR="00593E7B" w:rsidRPr="00DE058F" w:rsidRDefault="00593E7B" w:rsidP="00C95509">
      <w:pPr>
        <w:jc w:val="left"/>
        <w:rPr>
          <w:rFonts w:eastAsia="MS PGothic" w:cstheme="minorHAnsi"/>
          <w:szCs w:val="20"/>
          <w:lang w:val="sr-Cyrl-CS" w:eastAsia="ja-JP"/>
        </w:rPr>
      </w:pPr>
    </w:p>
    <w:p w14:paraId="0695AA20" w14:textId="77777777" w:rsidR="00593E7B" w:rsidRPr="00DE058F" w:rsidRDefault="00593E7B" w:rsidP="00C95509">
      <w:pPr>
        <w:jc w:val="left"/>
        <w:rPr>
          <w:rFonts w:eastAsia="MS PGothic" w:cstheme="minorHAnsi"/>
          <w:szCs w:val="20"/>
          <w:lang w:val="sr-Cyrl-CS" w:eastAsia="ja-JP"/>
        </w:rPr>
      </w:pPr>
    </w:p>
    <w:p w14:paraId="36AC43A6" w14:textId="77777777" w:rsidR="00593E7B" w:rsidRPr="00DE058F" w:rsidRDefault="00593E7B" w:rsidP="00C95509">
      <w:pPr>
        <w:rPr>
          <w:rFonts w:eastAsia="MS PGothic" w:cstheme="minorHAnsi"/>
          <w:szCs w:val="20"/>
          <w:lang w:val="sr-Cyrl-CS" w:eastAsia="ja-JP"/>
        </w:rPr>
      </w:pPr>
      <w:r w:rsidRPr="00DE058F">
        <w:rPr>
          <w:rFonts w:eastAsia="MS PGothic" w:cstheme="minorHAnsi"/>
          <w:szCs w:val="20"/>
          <w:lang w:val="sr-Cyrl-CS" w:eastAsia="ja-JP"/>
        </w:rPr>
        <w:t>Укупна отплата главнице по основу гарантованих кредита у 2021. години износила је 11,3 млрд динара, од чега 7,7 млрд утиче на дефицит. Рачуноводствена методологија, до 2014. године, није у расходе укључивала отплате по основу гаранција</w:t>
      </w:r>
      <w:r w:rsidRPr="00DE058F">
        <w:rPr>
          <w:rFonts w:eastAsia="MS PGothic" w:cstheme="minorHAnsi"/>
          <w:szCs w:val="20"/>
          <w:vertAlign w:val="superscript"/>
          <w:lang w:val="sr-Cyrl-CS" w:eastAsia="ja-JP"/>
        </w:rPr>
        <w:footnoteReference w:id="8"/>
      </w:r>
      <w:r w:rsidRPr="00DE058F">
        <w:rPr>
          <w:rFonts w:eastAsia="MS PGothic" w:cstheme="minorHAnsi"/>
          <w:szCs w:val="20"/>
          <w:lang w:val="sr-Cyrl-CS" w:eastAsia="ja-JP"/>
        </w:rPr>
        <w:t>. Од 2014. године део ових расхода је укључен у расходе буџета</w:t>
      </w:r>
      <w:r w:rsidRPr="00DE058F">
        <w:rPr>
          <w:rFonts w:eastAsia="MS PGothic" w:cstheme="minorHAnsi"/>
          <w:szCs w:val="20"/>
          <w:vertAlign w:val="superscript"/>
          <w:lang w:val="sr-Cyrl-CS" w:eastAsia="ja-JP"/>
        </w:rPr>
        <w:footnoteReference w:id="9"/>
      </w:r>
      <w:r w:rsidRPr="00DE058F">
        <w:rPr>
          <w:rFonts w:eastAsia="MS PGothic" w:cstheme="minorHAnsi"/>
          <w:szCs w:val="20"/>
          <w:lang w:val="sr-Cyrl-CS" w:eastAsia="ja-JP"/>
        </w:rPr>
        <w:t>. Независно од буџетског и рачуноводственог приказа, дуг који уместо главног дужника плаћа држава повећава укупне потребе за задуживањем.</w:t>
      </w:r>
    </w:p>
    <w:p w14:paraId="09AC0FB9" w14:textId="77777777" w:rsidR="00593E7B" w:rsidRPr="00DE058F" w:rsidRDefault="00593E7B" w:rsidP="00C95509">
      <w:pPr>
        <w:spacing w:after="0" w:line="276" w:lineRule="auto"/>
        <w:jc w:val="center"/>
        <w:rPr>
          <w:rFonts w:eastAsia="MS PGothic" w:cstheme="minorHAnsi"/>
          <w:b/>
          <w:color w:val="002060"/>
          <w:szCs w:val="20"/>
          <w:lang w:val="sr-Cyrl-CS" w:eastAsia="ja-JP"/>
        </w:rPr>
      </w:pPr>
    </w:p>
    <w:p w14:paraId="28E3EC92" w14:textId="77777777" w:rsidR="00593E7B" w:rsidRPr="00DE058F" w:rsidRDefault="00593E7B" w:rsidP="00C95509">
      <w:pPr>
        <w:spacing w:after="0" w:line="276" w:lineRule="auto"/>
        <w:jc w:val="center"/>
        <w:rPr>
          <w:rFonts w:eastAsia="MS PGothic" w:cstheme="minorHAnsi"/>
          <w:b/>
          <w:color w:val="002060"/>
          <w:szCs w:val="20"/>
          <w:lang w:val="sr-Cyrl-CS" w:eastAsia="ja-JP"/>
        </w:rPr>
      </w:pPr>
    </w:p>
    <w:p w14:paraId="4AF77800" w14:textId="77777777" w:rsidR="00593E7B" w:rsidRPr="00DE058F" w:rsidRDefault="00593E7B" w:rsidP="00C95509">
      <w:pPr>
        <w:spacing w:after="0" w:line="276" w:lineRule="auto"/>
        <w:jc w:val="center"/>
        <w:rPr>
          <w:rFonts w:eastAsia="MS PGothic" w:cstheme="minorHAnsi"/>
          <w:b/>
          <w:color w:val="002060"/>
          <w:szCs w:val="20"/>
          <w:lang w:val="sr-Cyrl-CS" w:eastAsia="ja-JP"/>
        </w:rPr>
      </w:pPr>
    </w:p>
    <w:p w14:paraId="12C38579" w14:textId="77777777" w:rsidR="00593E7B" w:rsidRPr="00DE058F" w:rsidRDefault="00593E7B" w:rsidP="00C95509">
      <w:pPr>
        <w:spacing w:after="0" w:line="276" w:lineRule="auto"/>
        <w:jc w:val="center"/>
        <w:rPr>
          <w:rFonts w:eastAsia="MS PGothic" w:cstheme="minorHAnsi"/>
          <w:b/>
          <w:color w:val="002060"/>
          <w:szCs w:val="20"/>
          <w:lang w:val="sr-Cyrl-CS" w:eastAsia="ja-JP"/>
        </w:rPr>
      </w:pPr>
    </w:p>
    <w:p w14:paraId="71E434E4" w14:textId="77777777" w:rsidR="00593E7B" w:rsidRPr="00DE058F" w:rsidRDefault="00593E7B" w:rsidP="00C95509">
      <w:pPr>
        <w:spacing w:after="0" w:line="276" w:lineRule="auto"/>
        <w:jc w:val="center"/>
        <w:rPr>
          <w:rFonts w:eastAsia="MS PGothic" w:cstheme="minorHAnsi"/>
          <w:b/>
          <w:color w:val="002060"/>
          <w:szCs w:val="20"/>
          <w:lang w:val="sr-Cyrl-CS" w:eastAsia="ja-JP"/>
        </w:rPr>
      </w:pPr>
      <w:r w:rsidRPr="00DE058F">
        <w:rPr>
          <w:rFonts w:eastAsia="MS PGothic" w:cstheme="minorHAnsi"/>
          <w:b/>
          <w:color w:val="002060"/>
          <w:szCs w:val="20"/>
          <w:lang w:val="sr-Cyrl-CS" w:eastAsia="ja-JP"/>
        </w:rPr>
        <w:br w:type="column"/>
      </w:r>
      <w:r w:rsidRPr="00DE058F">
        <w:rPr>
          <w:rFonts w:eastAsia="MS PGothic" w:cstheme="minorHAnsi"/>
          <w:b/>
          <w:color w:val="002060"/>
          <w:szCs w:val="20"/>
          <w:lang w:val="sr-Cyrl-CS" w:eastAsia="ja-JP"/>
        </w:rPr>
        <w:t>Отплата дуга по основу активираних гаранција, млрд динара</w:t>
      </w:r>
    </w:p>
    <w:p w14:paraId="5ACE0909" w14:textId="77777777" w:rsidR="00593E7B" w:rsidRPr="00DE058F" w:rsidRDefault="00593E7B" w:rsidP="00C95509">
      <w:pPr>
        <w:spacing w:after="0" w:line="276" w:lineRule="auto"/>
        <w:rPr>
          <w:rFonts w:eastAsia="MS PGothic" w:cstheme="minorHAnsi"/>
          <w:b/>
          <w:szCs w:val="20"/>
          <w:lang w:val="sr-Cyrl-CS" w:eastAsia="ja-JP"/>
        </w:rPr>
        <w:sectPr w:rsidR="00593E7B" w:rsidRPr="00DE058F" w:rsidSect="00C95509">
          <w:type w:val="continuous"/>
          <w:pgSz w:w="12240" w:h="15840" w:code="1"/>
          <w:pgMar w:top="1440" w:right="1440" w:bottom="1440" w:left="1440" w:header="720" w:footer="720" w:gutter="0"/>
          <w:cols w:num="2" w:space="720"/>
          <w:docGrid w:linePitch="360"/>
          <w15:footnoteColumns w:val="1"/>
        </w:sectPr>
      </w:pPr>
      <w:r w:rsidRPr="00DE058F">
        <w:rPr>
          <w:rFonts w:eastAsia="MS PGothic" w:cstheme="minorHAnsi"/>
          <w:b/>
          <w:noProof/>
          <w:szCs w:val="20"/>
        </w:rPr>
        <w:drawing>
          <wp:inline distT="0" distB="0" distL="0" distR="0" wp14:anchorId="68340A42" wp14:editId="2F7A87AE">
            <wp:extent cx="3188970" cy="2181600"/>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191479" cy="2183316"/>
                    </a:xfrm>
                    <a:prstGeom prst="rect">
                      <a:avLst/>
                    </a:prstGeom>
                    <a:noFill/>
                  </pic:spPr>
                </pic:pic>
              </a:graphicData>
            </a:graphic>
          </wp:inline>
        </w:drawing>
      </w:r>
    </w:p>
    <w:p w14:paraId="44A66AD6" w14:textId="77777777" w:rsidR="00410830" w:rsidRPr="00DE058F" w:rsidRDefault="00410830">
      <w:pPr>
        <w:jc w:val="left"/>
        <w:rPr>
          <w:rFonts w:eastAsia="MS PGothic" w:cstheme="minorHAnsi"/>
          <w:b/>
          <w:bCs/>
          <w:color w:val="002060"/>
          <w:szCs w:val="20"/>
          <w:lang w:val="sr-Cyrl-CS" w:eastAsia="ja-JP"/>
        </w:rPr>
      </w:pPr>
      <w:r w:rsidRPr="00DE058F">
        <w:rPr>
          <w:rFonts w:eastAsia="MS PGothic" w:cstheme="minorHAnsi"/>
          <w:b/>
          <w:bCs/>
          <w:color w:val="002060"/>
          <w:szCs w:val="20"/>
          <w:lang w:val="sr-Cyrl-CS" w:eastAsia="ja-JP"/>
        </w:rPr>
        <w:br w:type="page"/>
      </w:r>
    </w:p>
    <w:p w14:paraId="2D3D8200" w14:textId="76F23349" w:rsidR="00593E7B" w:rsidRPr="00DE058F" w:rsidRDefault="00593E7B" w:rsidP="00C95509">
      <w:pPr>
        <w:spacing w:after="80" w:line="276" w:lineRule="auto"/>
        <w:jc w:val="center"/>
        <w:rPr>
          <w:rFonts w:eastAsia="MS PGothic" w:cstheme="minorHAnsi"/>
          <w:b/>
          <w:bCs/>
          <w:color w:val="002060"/>
          <w:szCs w:val="20"/>
          <w:lang w:val="sr-Cyrl-CS" w:eastAsia="ja-JP"/>
        </w:rPr>
      </w:pPr>
      <w:r w:rsidRPr="00DE058F">
        <w:rPr>
          <w:rFonts w:eastAsia="MS PGothic" w:cstheme="minorHAnsi"/>
          <w:b/>
          <w:bCs/>
          <w:color w:val="002060"/>
          <w:szCs w:val="20"/>
          <w:lang w:val="sr-Cyrl-CS" w:eastAsia="ja-JP"/>
        </w:rPr>
        <w:lastRenderedPageBreak/>
        <w:t>Табела 1</w:t>
      </w:r>
      <w:r w:rsidR="00623E62" w:rsidRPr="00DE058F">
        <w:rPr>
          <w:rFonts w:eastAsia="MS PGothic" w:cstheme="minorHAnsi"/>
          <w:b/>
          <w:bCs/>
          <w:color w:val="002060"/>
          <w:szCs w:val="20"/>
          <w:lang w:val="sr-Cyrl-CS" w:eastAsia="ja-JP"/>
        </w:rPr>
        <w:t>4</w:t>
      </w:r>
      <w:r w:rsidRPr="00DE058F">
        <w:rPr>
          <w:rFonts w:eastAsia="MS PGothic" w:cstheme="minorHAnsi"/>
          <w:b/>
          <w:bCs/>
          <w:color w:val="002060"/>
          <w:szCs w:val="20"/>
          <w:lang w:val="sr-Cyrl-CS" w:eastAsia="ja-JP"/>
        </w:rPr>
        <w:t>. Укупно плаћене обавезе по основу гаранција по корисницима, млрд динара</w:t>
      </w:r>
    </w:p>
    <w:tbl>
      <w:tblPr>
        <w:tblW w:w="9356" w:type="dxa"/>
        <w:tblLayout w:type="fixed"/>
        <w:tblLook w:val="04A0" w:firstRow="1" w:lastRow="0" w:firstColumn="1" w:lastColumn="0" w:noHBand="0" w:noVBand="1"/>
      </w:tblPr>
      <w:tblGrid>
        <w:gridCol w:w="3682"/>
        <w:gridCol w:w="996"/>
        <w:gridCol w:w="895"/>
        <w:gridCol w:w="946"/>
        <w:gridCol w:w="994"/>
        <w:gridCol w:w="897"/>
        <w:gridCol w:w="946"/>
      </w:tblGrid>
      <w:tr w:rsidR="00593E7B" w:rsidRPr="00DE058F" w14:paraId="6745AE43" w14:textId="77777777" w:rsidTr="00C95509">
        <w:trPr>
          <w:trHeight w:hRule="exact" w:val="284"/>
          <w:tblHeader/>
        </w:trPr>
        <w:tc>
          <w:tcPr>
            <w:tcW w:w="3682" w:type="dxa"/>
            <w:tcBorders>
              <w:top w:val="single" w:sz="8" w:space="0" w:color="002060"/>
              <w:left w:val="nil"/>
              <w:bottom w:val="single" w:sz="8" w:space="0" w:color="FFFFFF"/>
              <w:right w:val="nil"/>
            </w:tcBorders>
            <w:shd w:val="clear" w:color="auto" w:fill="auto"/>
            <w:noWrap/>
            <w:vAlign w:val="center"/>
            <w:hideMark/>
          </w:tcPr>
          <w:p w14:paraId="2BB10AC6" w14:textId="77777777" w:rsidR="00593E7B" w:rsidRPr="00DE058F" w:rsidRDefault="00593E7B" w:rsidP="00C95509">
            <w:pPr>
              <w:spacing w:after="120" w:line="276" w:lineRule="auto"/>
              <w:jc w:val="left"/>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 </w:t>
            </w:r>
          </w:p>
        </w:tc>
        <w:tc>
          <w:tcPr>
            <w:tcW w:w="2837" w:type="dxa"/>
            <w:gridSpan w:val="3"/>
            <w:tcBorders>
              <w:top w:val="single" w:sz="8" w:space="0" w:color="002060"/>
              <w:left w:val="nil"/>
              <w:bottom w:val="single" w:sz="8" w:space="0" w:color="002060"/>
              <w:right w:val="nil"/>
            </w:tcBorders>
            <w:shd w:val="clear" w:color="auto" w:fill="auto"/>
            <w:noWrap/>
            <w:vAlign w:val="center"/>
            <w:hideMark/>
          </w:tcPr>
          <w:p w14:paraId="41F7206D" w14:textId="77777777" w:rsidR="00593E7B" w:rsidRPr="00DE058F" w:rsidRDefault="00593E7B" w:rsidP="00C95509">
            <w:pPr>
              <w:spacing w:after="120" w:line="276" w:lineRule="auto"/>
              <w:jc w:val="center"/>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2021</w:t>
            </w:r>
          </w:p>
        </w:tc>
        <w:tc>
          <w:tcPr>
            <w:tcW w:w="2837" w:type="dxa"/>
            <w:gridSpan w:val="3"/>
            <w:tcBorders>
              <w:top w:val="single" w:sz="8" w:space="0" w:color="002060"/>
              <w:left w:val="nil"/>
              <w:bottom w:val="single" w:sz="8" w:space="0" w:color="002060"/>
              <w:right w:val="nil"/>
            </w:tcBorders>
            <w:shd w:val="clear" w:color="auto" w:fill="auto"/>
            <w:noWrap/>
            <w:vAlign w:val="center"/>
            <w:hideMark/>
          </w:tcPr>
          <w:p w14:paraId="40A3CEEA" w14:textId="77777777" w:rsidR="00593E7B" w:rsidRPr="00DE058F" w:rsidRDefault="00593E7B" w:rsidP="00C95509">
            <w:pPr>
              <w:spacing w:after="120" w:line="276" w:lineRule="auto"/>
              <w:jc w:val="center"/>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2022 (до 31.03.)</w:t>
            </w:r>
          </w:p>
        </w:tc>
      </w:tr>
      <w:tr w:rsidR="00593E7B" w:rsidRPr="00DE058F" w14:paraId="2ABF33D6" w14:textId="77777777" w:rsidTr="00C95509">
        <w:trPr>
          <w:trHeight w:hRule="exact" w:val="284"/>
          <w:tblHeader/>
        </w:trPr>
        <w:tc>
          <w:tcPr>
            <w:tcW w:w="3682" w:type="dxa"/>
            <w:tcBorders>
              <w:top w:val="nil"/>
              <w:left w:val="nil"/>
              <w:bottom w:val="single" w:sz="8" w:space="0" w:color="002060"/>
              <w:right w:val="nil"/>
            </w:tcBorders>
            <w:shd w:val="clear" w:color="auto" w:fill="auto"/>
            <w:noWrap/>
            <w:vAlign w:val="center"/>
            <w:hideMark/>
          </w:tcPr>
          <w:p w14:paraId="773B3693" w14:textId="77777777" w:rsidR="00593E7B" w:rsidRPr="00DE058F" w:rsidRDefault="00593E7B" w:rsidP="00C95509">
            <w:pPr>
              <w:spacing w:after="120" w:line="276" w:lineRule="auto"/>
              <w:jc w:val="left"/>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Корисник</w:t>
            </w:r>
          </w:p>
        </w:tc>
        <w:tc>
          <w:tcPr>
            <w:tcW w:w="996" w:type="dxa"/>
            <w:tcBorders>
              <w:top w:val="nil"/>
              <w:left w:val="nil"/>
              <w:bottom w:val="single" w:sz="8" w:space="0" w:color="002060"/>
              <w:right w:val="nil"/>
            </w:tcBorders>
            <w:shd w:val="clear" w:color="auto" w:fill="auto"/>
            <w:noWrap/>
            <w:vAlign w:val="center"/>
            <w:hideMark/>
          </w:tcPr>
          <w:p w14:paraId="35A9975F" w14:textId="1A31FBCB" w:rsidR="00593E7B" w:rsidRPr="00DE058F" w:rsidRDefault="00593E7B" w:rsidP="00B72AEE">
            <w:pPr>
              <w:spacing w:after="120" w:line="276" w:lineRule="auto"/>
              <w:jc w:val="center"/>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Гл</w:t>
            </w:r>
            <w:r w:rsidR="00B72AEE" w:rsidRPr="00DE058F">
              <w:rPr>
                <w:rFonts w:eastAsia="MS PGothic" w:cstheme="minorHAnsi"/>
                <w:b/>
                <w:color w:val="002060"/>
                <w:sz w:val="18"/>
                <w:szCs w:val="18"/>
                <w:lang w:val="sr-Cyrl-CS" w:eastAsia="ja-JP"/>
              </w:rPr>
              <w:t>а</w:t>
            </w:r>
            <w:r w:rsidRPr="00DE058F">
              <w:rPr>
                <w:rFonts w:eastAsia="MS PGothic" w:cstheme="minorHAnsi"/>
                <w:b/>
                <w:color w:val="002060"/>
                <w:sz w:val="18"/>
                <w:szCs w:val="18"/>
                <w:lang w:val="sr-Cyrl-CS" w:eastAsia="ja-JP"/>
              </w:rPr>
              <w:t>вн</w:t>
            </w:r>
            <w:r w:rsidR="00B72AEE" w:rsidRPr="00DE058F">
              <w:rPr>
                <w:rFonts w:eastAsia="MS PGothic" w:cstheme="minorHAnsi"/>
                <w:b/>
                <w:color w:val="002060"/>
                <w:sz w:val="18"/>
                <w:szCs w:val="18"/>
                <w:lang w:val="sr-Cyrl-CS" w:eastAsia="ja-JP"/>
              </w:rPr>
              <w:t>и</w:t>
            </w:r>
            <w:r w:rsidRPr="00DE058F">
              <w:rPr>
                <w:rFonts w:eastAsia="MS PGothic" w:cstheme="minorHAnsi"/>
                <w:b/>
                <w:color w:val="002060"/>
                <w:sz w:val="18"/>
                <w:szCs w:val="18"/>
                <w:lang w:val="sr-Cyrl-CS" w:eastAsia="ja-JP"/>
              </w:rPr>
              <w:t>ца</w:t>
            </w:r>
          </w:p>
        </w:tc>
        <w:tc>
          <w:tcPr>
            <w:tcW w:w="895" w:type="dxa"/>
            <w:tcBorders>
              <w:top w:val="nil"/>
              <w:left w:val="nil"/>
              <w:bottom w:val="single" w:sz="8" w:space="0" w:color="002060"/>
              <w:right w:val="nil"/>
            </w:tcBorders>
            <w:shd w:val="clear" w:color="auto" w:fill="auto"/>
            <w:noWrap/>
            <w:vAlign w:val="center"/>
            <w:hideMark/>
          </w:tcPr>
          <w:p w14:paraId="4620D5A1" w14:textId="77777777" w:rsidR="00593E7B" w:rsidRPr="00DE058F" w:rsidRDefault="00593E7B" w:rsidP="00C95509">
            <w:pPr>
              <w:spacing w:after="120" w:line="276" w:lineRule="auto"/>
              <w:jc w:val="center"/>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Камата</w:t>
            </w:r>
          </w:p>
        </w:tc>
        <w:tc>
          <w:tcPr>
            <w:tcW w:w="946" w:type="dxa"/>
            <w:tcBorders>
              <w:top w:val="nil"/>
              <w:left w:val="nil"/>
              <w:bottom w:val="single" w:sz="8" w:space="0" w:color="002060"/>
              <w:right w:val="nil"/>
            </w:tcBorders>
            <w:shd w:val="clear" w:color="auto" w:fill="auto"/>
            <w:noWrap/>
            <w:vAlign w:val="center"/>
            <w:hideMark/>
          </w:tcPr>
          <w:p w14:paraId="74B04B37" w14:textId="77777777" w:rsidR="00593E7B" w:rsidRPr="00DE058F" w:rsidRDefault="00593E7B" w:rsidP="00C95509">
            <w:pPr>
              <w:spacing w:after="120" w:line="276" w:lineRule="auto"/>
              <w:jc w:val="center"/>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Укупно</w:t>
            </w:r>
          </w:p>
        </w:tc>
        <w:tc>
          <w:tcPr>
            <w:tcW w:w="994" w:type="dxa"/>
            <w:tcBorders>
              <w:top w:val="nil"/>
              <w:left w:val="nil"/>
              <w:bottom w:val="single" w:sz="8" w:space="0" w:color="002060"/>
              <w:right w:val="nil"/>
            </w:tcBorders>
            <w:shd w:val="clear" w:color="auto" w:fill="auto"/>
            <w:noWrap/>
            <w:vAlign w:val="center"/>
            <w:hideMark/>
          </w:tcPr>
          <w:p w14:paraId="2A4272FF" w14:textId="77777777" w:rsidR="00593E7B" w:rsidRPr="00DE058F" w:rsidRDefault="00593E7B" w:rsidP="00C95509">
            <w:pPr>
              <w:spacing w:after="120" w:line="276" w:lineRule="auto"/>
              <w:jc w:val="center"/>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Главница</w:t>
            </w:r>
          </w:p>
        </w:tc>
        <w:tc>
          <w:tcPr>
            <w:tcW w:w="897" w:type="dxa"/>
            <w:tcBorders>
              <w:top w:val="nil"/>
              <w:left w:val="nil"/>
              <w:bottom w:val="single" w:sz="8" w:space="0" w:color="002060"/>
              <w:right w:val="nil"/>
            </w:tcBorders>
            <w:shd w:val="clear" w:color="auto" w:fill="auto"/>
            <w:noWrap/>
            <w:vAlign w:val="center"/>
            <w:hideMark/>
          </w:tcPr>
          <w:p w14:paraId="52425769" w14:textId="77777777" w:rsidR="00593E7B" w:rsidRPr="00DE058F" w:rsidRDefault="00593E7B" w:rsidP="00C95509">
            <w:pPr>
              <w:spacing w:after="120" w:line="276" w:lineRule="auto"/>
              <w:jc w:val="center"/>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Камата</w:t>
            </w:r>
          </w:p>
        </w:tc>
        <w:tc>
          <w:tcPr>
            <w:tcW w:w="946" w:type="dxa"/>
            <w:tcBorders>
              <w:top w:val="nil"/>
              <w:left w:val="nil"/>
              <w:bottom w:val="single" w:sz="8" w:space="0" w:color="002060"/>
              <w:right w:val="nil"/>
            </w:tcBorders>
            <w:shd w:val="clear" w:color="auto" w:fill="auto"/>
            <w:noWrap/>
            <w:vAlign w:val="center"/>
            <w:hideMark/>
          </w:tcPr>
          <w:p w14:paraId="56202884" w14:textId="77777777" w:rsidR="00593E7B" w:rsidRPr="00DE058F" w:rsidRDefault="00593E7B" w:rsidP="00C95509">
            <w:pPr>
              <w:spacing w:after="120" w:line="276" w:lineRule="auto"/>
              <w:jc w:val="center"/>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Укупно</w:t>
            </w:r>
          </w:p>
        </w:tc>
      </w:tr>
      <w:tr w:rsidR="00593E7B" w:rsidRPr="00DE058F" w14:paraId="78BA9E00" w14:textId="77777777" w:rsidTr="00C95509">
        <w:trPr>
          <w:trHeight w:hRule="exact" w:val="303"/>
        </w:trPr>
        <w:tc>
          <w:tcPr>
            <w:tcW w:w="3682" w:type="dxa"/>
            <w:tcBorders>
              <w:top w:val="nil"/>
              <w:left w:val="nil"/>
              <w:bottom w:val="nil"/>
              <w:right w:val="nil"/>
            </w:tcBorders>
            <w:shd w:val="clear" w:color="auto" w:fill="auto"/>
            <w:noWrap/>
            <w:vAlign w:val="center"/>
          </w:tcPr>
          <w:p w14:paraId="04345118" w14:textId="07276F82" w:rsidR="00593E7B" w:rsidRPr="00DE058F" w:rsidRDefault="00593E7B" w:rsidP="00BA51E3">
            <w:pPr>
              <w:spacing w:after="4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АД „Железнице Србије</w:t>
            </w:r>
            <w:r w:rsidR="00B72AEE" w:rsidRPr="00DE058F">
              <w:rPr>
                <w:rFonts w:eastAsia="MS PGothic" w:cstheme="minorHAnsi"/>
                <w:color w:val="002060"/>
                <w:sz w:val="18"/>
                <w:szCs w:val="18"/>
                <w:lang w:val="sr-Cyrl-CS" w:eastAsia="ja-JP"/>
              </w:rPr>
              <w:t>”</w:t>
            </w:r>
            <w:r w:rsidRPr="00DE058F">
              <w:rPr>
                <w:rFonts w:eastAsia="MS PGothic" w:cstheme="minorHAnsi"/>
                <w:color w:val="002060"/>
                <w:sz w:val="18"/>
                <w:szCs w:val="18"/>
                <w:lang w:val="sr-Cyrl-CS" w:eastAsia="ja-JP"/>
              </w:rPr>
              <w:t xml:space="preserve"> Београд</w:t>
            </w:r>
          </w:p>
        </w:tc>
        <w:tc>
          <w:tcPr>
            <w:tcW w:w="996" w:type="dxa"/>
            <w:tcBorders>
              <w:top w:val="nil"/>
              <w:left w:val="nil"/>
              <w:bottom w:val="nil"/>
              <w:right w:val="nil"/>
            </w:tcBorders>
            <w:shd w:val="clear" w:color="auto" w:fill="auto"/>
            <w:noWrap/>
            <w:vAlign w:val="center"/>
            <w:hideMark/>
          </w:tcPr>
          <w:p w14:paraId="6617A99B"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3,25</w:t>
            </w:r>
          </w:p>
        </w:tc>
        <w:tc>
          <w:tcPr>
            <w:tcW w:w="895" w:type="dxa"/>
            <w:tcBorders>
              <w:top w:val="nil"/>
              <w:left w:val="nil"/>
              <w:bottom w:val="nil"/>
              <w:right w:val="nil"/>
            </w:tcBorders>
            <w:shd w:val="clear" w:color="auto" w:fill="auto"/>
            <w:noWrap/>
            <w:vAlign w:val="center"/>
            <w:hideMark/>
          </w:tcPr>
          <w:p w14:paraId="34D29FBD"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0,36</w:t>
            </w:r>
          </w:p>
        </w:tc>
        <w:tc>
          <w:tcPr>
            <w:tcW w:w="946" w:type="dxa"/>
            <w:tcBorders>
              <w:top w:val="nil"/>
              <w:left w:val="nil"/>
              <w:bottom w:val="nil"/>
              <w:right w:val="nil"/>
            </w:tcBorders>
            <w:shd w:val="clear" w:color="auto" w:fill="auto"/>
            <w:noWrap/>
            <w:vAlign w:val="center"/>
            <w:hideMark/>
          </w:tcPr>
          <w:p w14:paraId="0F46D5E1"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3,62</w:t>
            </w:r>
          </w:p>
        </w:tc>
        <w:tc>
          <w:tcPr>
            <w:tcW w:w="994" w:type="dxa"/>
            <w:tcBorders>
              <w:top w:val="nil"/>
              <w:left w:val="nil"/>
              <w:bottom w:val="nil"/>
              <w:right w:val="nil"/>
            </w:tcBorders>
            <w:shd w:val="clear" w:color="auto" w:fill="auto"/>
            <w:noWrap/>
            <w:vAlign w:val="center"/>
            <w:hideMark/>
          </w:tcPr>
          <w:p w14:paraId="2B87BF67"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0,93</w:t>
            </w:r>
          </w:p>
        </w:tc>
        <w:tc>
          <w:tcPr>
            <w:tcW w:w="897" w:type="dxa"/>
            <w:tcBorders>
              <w:top w:val="nil"/>
              <w:left w:val="nil"/>
              <w:bottom w:val="nil"/>
              <w:right w:val="nil"/>
            </w:tcBorders>
            <w:shd w:val="clear" w:color="auto" w:fill="auto"/>
            <w:noWrap/>
            <w:vAlign w:val="center"/>
            <w:hideMark/>
          </w:tcPr>
          <w:p w14:paraId="11C6A1C5"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0,10</w:t>
            </w:r>
          </w:p>
        </w:tc>
        <w:tc>
          <w:tcPr>
            <w:tcW w:w="946" w:type="dxa"/>
            <w:tcBorders>
              <w:top w:val="nil"/>
              <w:left w:val="nil"/>
              <w:bottom w:val="nil"/>
              <w:right w:val="nil"/>
            </w:tcBorders>
            <w:shd w:val="clear" w:color="auto" w:fill="auto"/>
            <w:noWrap/>
            <w:vAlign w:val="center"/>
            <w:hideMark/>
          </w:tcPr>
          <w:p w14:paraId="0C38C3C2"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1,03</w:t>
            </w:r>
          </w:p>
        </w:tc>
      </w:tr>
      <w:tr w:rsidR="00593E7B" w:rsidRPr="00DE058F" w14:paraId="450A3B40" w14:textId="77777777" w:rsidTr="00C95509">
        <w:trPr>
          <w:trHeight w:hRule="exact" w:val="698"/>
        </w:trPr>
        <w:tc>
          <w:tcPr>
            <w:tcW w:w="3682" w:type="dxa"/>
            <w:tcBorders>
              <w:top w:val="nil"/>
              <w:left w:val="nil"/>
              <w:bottom w:val="nil"/>
              <w:right w:val="nil"/>
            </w:tcBorders>
            <w:shd w:val="clear" w:color="auto" w:fill="auto"/>
            <w:noWrap/>
            <w:vAlign w:val="center"/>
          </w:tcPr>
          <w:p w14:paraId="2A4C4C81" w14:textId="4F84E537" w:rsidR="00593E7B" w:rsidRPr="00DE058F" w:rsidRDefault="00593E7B" w:rsidP="00BA51E3">
            <w:pPr>
              <w:spacing w:after="4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АД за управљање јавном железничком инфраструктуром „</w:t>
            </w:r>
            <w:r w:rsidR="00BA51E3" w:rsidRPr="00DE058F">
              <w:rPr>
                <w:rFonts w:eastAsia="MS PGothic" w:cstheme="minorHAnsi"/>
                <w:color w:val="002060"/>
                <w:sz w:val="18"/>
                <w:szCs w:val="18"/>
                <w:lang w:val="sr-Cyrl-CS" w:eastAsia="ja-JP"/>
              </w:rPr>
              <w:t>Инфраструктура</w:t>
            </w:r>
            <w:r w:rsidRPr="00DE058F">
              <w:rPr>
                <w:rFonts w:eastAsia="MS PGothic" w:cstheme="minorHAnsi"/>
                <w:color w:val="002060"/>
                <w:sz w:val="18"/>
                <w:szCs w:val="18"/>
                <w:lang w:val="sr-Cyrl-CS" w:eastAsia="ja-JP"/>
              </w:rPr>
              <w:t xml:space="preserve"> железнице Србије</w:t>
            </w:r>
            <w:r w:rsidR="00B72AEE" w:rsidRPr="00DE058F">
              <w:rPr>
                <w:rFonts w:eastAsia="MS PGothic" w:cstheme="minorHAnsi"/>
                <w:color w:val="002060"/>
                <w:sz w:val="18"/>
                <w:szCs w:val="18"/>
                <w:lang w:val="sr-Cyrl-CS" w:eastAsia="ja-JP"/>
              </w:rPr>
              <w:t>”</w:t>
            </w:r>
            <w:r w:rsidRPr="00DE058F">
              <w:rPr>
                <w:rFonts w:eastAsia="MS PGothic" w:cstheme="minorHAnsi"/>
                <w:color w:val="002060"/>
                <w:sz w:val="18"/>
                <w:szCs w:val="18"/>
                <w:lang w:val="sr-Cyrl-CS" w:eastAsia="ja-JP"/>
              </w:rPr>
              <w:t>, Београд</w:t>
            </w:r>
          </w:p>
        </w:tc>
        <w:tc>
          <w:tcPr>
            <w:tcW w:w="996" w:type="dxa"/>
            <w:tcBorders>
              <w:top w:val="nil"/>
              <w:left w:val="nil"/>
              <w:bottom w:val="nil"/>
              <w:right w:val="nil"/>
            </w:tcBorders>
            <w:shd w:val="clear" w:color="auto" w:fill="auto"/>
            <w:noWrap/>
            <w:vAlign w:val="center"/>
            <w:hideMark/>
          </w:tcPr>
          <w:p w14:paraId="4C1FB6EC"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1,45</w:t>
            </w:r>
          </w:p>
        </w:tc>
        <w:tc>
          <w:tcPr>
            <w:tcW w:w="895" w:type="dxa"/>
            <w:tcBorders>
              <w:top w:val="nil"/>
              <w:left w:val="nil"/>
              <w:bottom w:val="nil"/>
              <w:right w:val="nil"/>
            </w:tcBorders>
            <w:shd w:val="clear" w:color="auto" w:fill="auto"/>
            <w:noWrap/>
            <w:vAlign w:val="center"/>
            <w:hideMark/>
          </w:tcPr>
          <w:p w14:paraId="77B94F34"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0,04</w:t>
            </w:r>
          </w:p>
        </w:tc>
        <w:tc>
          <w:tcPr>
            <w:tcW w:w="946" w:type="dxa"/>
            <w:tcBorders>
              <w:top w:val="nil"/>
              <w:left w:val="nil"/>
              <w:bottom w:val="nil"/>
              <w:right w:val="nil"/>
            </w:tcBorders>
            <w:shd w:val="clear" w:color="auto" w:fill="auto"/>
            <w:noWrap/>
            <w:vAlign w:val="center"/>
            <w:hideMark/>
          </w:tcPr>
          <w:p w14:paraId="1B206512"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1,49</w:t>
            </w:r>
          </w:p>
        </w:tc>
        <w:tc>
          <w:tcPr>
            <w:tcW w:w="994" w:type="dxa"/>
            <w:tcBorders>
              <w:top w:val="nil"/>
              <w:left w:val="nil"/>
              <w:bottom w:val="nil"/>
              <w:right w:val="nil"/>
            </w:tcBorders>
            <w:shd w:val="clear" w:color="auto" w:fill="auto"/>
            <w:noWrap/>
            <w:vAlign w:val="center"/>
            <w:hideMark/>
          </w:tcPr>
          <w:p w14:paraId="44D21BA9"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0,60</w:t>
            </w:r>
          </w:p>
        </w:tc>
        <w:tc>
          <w:tcPr>
            <w:tcW w:w="897" w:type="dxa"/>
            <w:tcBorders>
              <w:top w:val="nil"/>
              <w:left w:val="nil"/>
              <w:bottom w:val="nil"/>
              <w:right w:val="nil"/>
            </w:tcBorders>
            <w:shd w:val="clear" w:color="auto" w:fill="auto"/>
            <w:noWrap/>
            <w:vAlign w:val="center"/>
            <w:hideMark/>
          </w:tcPr>
          <w:p w14:paraId="4B7BFE1B"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0,01</w:t>
            </w:r>
          </w:p>
        </w:tc>
        <w:tc>
          <w:tcPr>
            <w:tcW w:w="946" w:type="dxa"/>
            <w:tcBorders>
              <w:top w:val="nil"/>
              <w:left w:val="nil"/>
              <w:bottom w:val="nil"/>
              <w:right w:val="nil"/>
            </w:tcBorders>
            <w:shd w:val="clear" w:color="auto" w:fill="auto"/>
            <w:noWrap/>
            <w:vAlign w:val="center"/>
            <w:hideMark/>
          </w:tcPr>
          <w:p w14:paraId="6ED0383C"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0,61</w:t>
            </w:r>
          </w:p>
        </w:tc>
      </w:tr>
      <w:tr w:rsidR="00593E7B" w:rsidRPr="00DE058F" w14:paraId="14ADBE73" w14:textId="77777777" w:rsidTr="00C95509">
        <w:trPr>
          <w:trHeight w:hRule="exact" w:val="425"/>
        </w:trPr>
        <w:tc>
          <w:tcPr>
            <w:tcW w:w="3682" w:type="dxa"/>
            <w:tcBorders>
              <w:top w:val="nil"/>
              <w:left w:val="nil"/>
              <w:bottom w:val="nil"/>
              <w:right w:val="nil"/>
            </w:tcBorders>
            <w:shd w:val="clear" w:color="auto" w:fill="auto"/>
            <w:noWrap/>
            <w:vAlign w:val="center"/>
          </w:tcPr>
          <w:p w14:paraId="348FDDFE" w14:textId="51BEA573" w:rsidR="00593E7B" w:rsidRPr="00DE058F" w:rsidRDefault="00593E7B" w:rsidP="00BA51E3">
            <w:pPr>
              <w:spacing w:after="4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 xml:space="preserve">АД железнички превоз путника „Србија </w:t>
            </w:r>
            <w:r w:rsidR="00580DE1" w:rsidRPr="00DE058F">
              <w:rPr>
                <w:rFonts w:eastAsia="MS PGothic" w:cstheme="minorHAnsi"/>
                <w:color w:val="002060"/>
                <w:sz w:val="18"/>
                <w:szCs w:val="18"/>
                <w:lang w:val="sr-Cyrl-CS" w:eastAsia="ja-JP"/>
              </w:rPr>
              <w:t>Воз</w:t>
            </w:r>
            <w:r w:rsidR="006B0391" w:rsidRPr="00DE058F">
              <w:rPr>
                <w:rFonts w:eastAsia="MS PGothic" w:cstheme="minorHAnsi"/>
                <w:color w:val="002060"/>
                <w:sz w:val="18"/>
                <w:szCs w:val="18"/>
                <w:lang w:val="sr-Cyrl-CS" w:eastAsia="ja-JP"/>
              </w:rPr>
              <w:t>”</w:t>
            </w:r>
            <w:r w:rsidRPr="00DE058F">
              <w:rPr>
                <w:rFonts w:eastAsia="MS PGothic" w:cstheme="minorHAnsi"/>
                <w:color w:val="002060"/>
                <w:sz w:val="18"/>
                <w:szCs w:val="18"/>
                <w:lang w:val="sr-Cyrl-CS" w:eastAsia="ja-JP"/>
              </w:rPr>
              <w:t xml:space="preserve"> Београд</w:t>
            </w:r>
          </w:p>
        </w:tc>
        <w:tc>
          <w:tcPr>
            <w:tcW w:w="996" w:type="dxa"/>
            <w:tcBorders>
              <w:top w:val="nil"/>
              <w:left w:val="nil"/>
              <w:bottom w:val="nil"/>
              <w:right w:val="nil"/>
            </w:tcBorders>
            <w:shd w:val="clear" w:color="auto" w:fill="auto"/>
            <w:noWrap/>
            <w:vAlign w:val="center"/>
            <w:hideMark/>
          </w:tcPr>
          <w:p w14:paraId="0E4427A7"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0,32</w:t>
            </w:r>
          </w:p>
        </w:tc>
        <w:tc>
          <w:tcPr>
            <w:tcW w:w="895" w:type="dxa"/>
            <w:tcBorders>
              <w:top w:val="nil"/>
              <w:left w:val="nil"/>
              <w:bottom w:val="nil"/>
              <w:right w:val="nil"/>
            </w:tcBorders>
            <w:shd w:val="clear" w:color="auto" w:fill="auto"/>
            <w:noWrap/>
            <w:vAlign w:val="center"/>
            <w:hideMark/>
          </w:tcPr>
          <w:p w14:paraId="67B1E4FE"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0,03</w:t>
            </w:r>
          </w:p>
        </w:tc>
        <w:tc>
          <w:tcPr>
            <w:tcW w:w="946" w:type="dxa"/>
            <w:tcBorders>
              <w:top w:val="nil"/>
              <w:left w:val="nil"/>
              <w:bottom w:val="nil"/>
              <w:right w:val="nil"/>
            </w:tcBorders>
            <w:shd w:val="clear" w:color="auto" w:fill="auto"/>
            <w:noWrap/>
            <w:vAlign w:val="center"/>
            <w:hideMark/>
          </w:tcPr>
          <w:p w14:paraId="2EAACE60"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0,35</w:t>
            </w:r>
          </w:p>
        </w:tc>
        <w:tc>
          <w:tcPr>
            <w:tcW w:w="994" w:type="dxa"/>
            <w:tcBorders>
              <w:top w:val="nil"/>
              <w:left w:val="nil"/>
              <w:bottom w:val="nil"/>
              <w:right w:val="nil"/>
            </w:tcBorders>
            <w:shd w:val="clear" w:color="auto" w:fill="auto"/>
            <w:noWrap/>
            <w:vAlign w:val="center"/>
            <w:hideMark/>
          </w:tcPr>
          <w:p w14:paraId="69BBF424"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0,03</w:t>
            </w:r>
          </w:p>
        </w:tc>
        <w:tc>
          <w:tcPr>
            <w:tcW w:w="897" w:type="dxa"/>
            <w:tcBorders>
              <w:top w:val="nil"/>
              <w:left w:val="nil"/>
              <w:bottom w:val="nil"/>
              <w:right w:val="nil"/>
            </w:tcBorders>
            <w:shd w:val="clear" w:color="auto" w:fill="auto"/>
            <w:noWrap/>
            <w:vAlign w:val="center"/>
            <w:hideMark/>
          </w:tcPr>
          <w:p w14:paraId="6A91FCEA"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0,00</w:t>
            </w:r>
          </w:p>
        </w:tc>
        <w:tc>
          <w:tcPr>
            <w:tcW w:w="946" w:type="dxa"/>
            <w:tcBorders>
              <w:top w:val="nil"/>
              <w:left w:val="nil"/>
              <w:bottom w:val="nil"/>
              <w:right w:val="nil"/>
            </w:tcBorders>
            <w:shd w:val="clear" w:color="auto" w:fill="auto"/>
            <w:noWrap/>
            <w:vAlign w:val="center"/>
            <w:hideMark/>
          </w:tcPr>
          <w:p w14:paraId="7DA0962A"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0,03</w:t>
            </w:r>
          </w:p>
        </w:tc>
      </w:tr>
      <w:tr w:rsidR="00593E7B" w:rsidRPr="00DE058F" w14:paraId="6805D318" w14:textId="77777777" w:rsidTr="00C95509">
        <w:trPr>
          <w:trHeight w:hRule="exact" w:val="431"/>
        </w:trPr>
        <w:tc>
          <w:tcPr>
            <w:tcW w:w="3682" w:type="dxa"/>
            <w:tcBorders>
              <w:top w:val="nil"/>
              <w:left w:val="nil"/>
              <w:bottom w:val="nil"/>
              <w:right w:val="nil"/>
            </w:tcBorders>
            <w:shd w:val="clear" w:color="auto" w:fill="auto"/>
            <w:noWrap/>
            <w:vAlign w:val="center"/>
          </w:tcPr>
          <w:p w14:paraId="686FF88C" w14:textId="232EA043" w:rsidR="00593E7B" w:rsidRPr="00DE058F" w:rsidRDefault="00593E7B" w:rsidP="00BA51E3">
            <w:pPr>
              <w:spacing w:after="40" w:line="240"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АД железнички превоз робе „Србија Карго</w:t>
            </w:r>
            <w:r w:rsidR="006B0391" w:rsidRPr="00DE058F">
              <w:rPr>
                <w:rFonts w:eastAsia="MS PGothic" w:cstheme="minorHAnsi"/>
                <w:color w:val="002060"/>
                <w:sz w:val="18"/>
                <w:szCs w:val="18"/>
                <w:lang w:val="sr-Cyrl-CS" w:eastAsia="ja-JP"/>
              </w:rPr>
              <w:t>”</w:t>
            </w:r>
            <w:r w:rsidRPr="00DE058F">
              <w:rPr>
                <w:rFonts w:eastAsia="MS PGothic" w:cstheme="minorHAnsi"/>
                <w:color w:val="002060"/>
                <w:sz w:val="18"/>
                <w:szCs w:val="18"/>
                <w:lang w:val="sr-Cyrl-CS" w:eastAsia="ja-JP"/>
              </w:rPr>
              <w:t xml:space="preserve"> Београд</w:t>
            </w:r>
          </w:p>
        </w:tc>
        <w:tc>
          <w:tcPr>
            <w:tcW w:w="996" w:type="dxa"/>
            <w:tcBorders>
              <w:top w:val="nil"/>
              <w:left w:val="nil"/>
              <w:bottom w:val="nil"/>
              <w:right w:val="nil"/>
            </w:tcBorders>
            <w:shd w:val="clear" w:color="auto" w:fill="auto"/>
            <w:noWrap/>
            <w:vAlign w:val="center"/>
            <w:hideMark/>
          </w:tcPr>
          <w:p w14:paraId="2A9F0A99"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1,23</w:t>
            </w:r>
          </w:p>
        </w:tc>
        <w:tc>
          <w:tcPr>
            <w:tcW w:w="895" w:type="dxa"/>
            <w:tcBorders>
              <w:top w:val="nil"/>
              <w:left w:val="nil"/>
              <w:bottom w:val="nil"/>
              <w:right w:val="nil"/>
            </w:tcBorders>
            <w:shd w:val="clear" w:color="auto" w:fill="auto"/>
            <w:noWrap/>
            <w:vAlign w:val="center"/>
            <w:hideMark/>
          </w:tcPr>
          <w:p w14:paraId="32664D19"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0,03</w:t>
            </w:r>
          </w:p>
        </w:tc>
        <w:tc>
          <w:tcPr>
            <w:tcW w:w="946" w:type="dxa"/>
            <w:tcBorders>
              <w:top w:val="nil"/>
              <w:left w:val="nil"/>
              <w:bottom w:val="nil"/>
              <w:right w:val="nil"/>
            </w:tcBorders>
            <w:shd w:val="clear" w:color="auto" w:fill="auto"/>
            <w:noWrap/>
            <w:vAlign w:val="center"/>
            <w:hideMark/>
          </w:tcPr>
          <w:p w14:paraId="19A896CB"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1,26</w:t>
            </w:r>
          </w:p>
        </w:tc>
        <w:tc>
          <w:tcPr>
            <w:tcW w:w="994" w:type="dxa"/>
            <w:tcBorders>
              <w:top w:val="nil"/>
              <w:left w:val="nil"/>
              <w:bottom w:val="nil"/>
              <w:right w:val="nil"/>
            </w:tcBorders>
            <w:shd w:val="clear" w:color="auto" w:fill="auto"/>
            <w:noWrap/>
            <w:vAlign w:val="center"/>
            <w:hideMark/>
          </w:tcPr>
          <w:p w14:paraId="73ADB3FF"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0,00</w:t>
            </w:r>
          </w:p>
        </w:tc>
        <w:tc>
          <w:tcPr>
            <w:tcW w:w="897" w:type="dxa"/>
            <w:tcBorders>
              <w:top w:val="nil"/>
              <w:left w:val="nil"/>
              <w:bottom w:val="nil"/>
              <w:right w:val="nil"/>
            </w:tcBorders>
            <w:shd w:val="clear" w:color="auto" w:fill="auto"/>
            <w:noWrap/>
            <w:vAlign w:val="center"/>
            <w:hideMark/>
          </w:tcPr>
          <w:p w14:paraId="69DF3E10"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0,00</w:t>
            </w:r>
          </w:p>
        </w:tc>
        <w:tc>
          <w:tcPr>
            <w:tcW w:w="946" w:type="dxa"/>
            <w:tcBorders>
              <w:top w:val="nil"/>
              <w:left w:val="nil"/>
              <w:bottom w:val="nil"/>
              <w:right w:val="nil"/>
            </w:tcBorders>
            <w:shd w:val="clear" w:color="auto" w:fill="auto"/>
            <w:noWrap/>
            <w:vAlign w:val="center"/>
            <w:hideMark/>
          </w:tcPr>
          <w:p w14:paraId="345CD28A"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0,00</w:t>
            </w:r>
          </w:p>
        </w:tc>
      </w:tr>
      <w:tr w:rsidR="00593E7B" w:rsidRPr="00DE058F" w14:paraId="78F5AE89" w14:textId="77777777" w:rsidTr="00C95509">
        <w:trPr>
          <w:trHeight w:hRule="exact" w:val="227"/>
        </w:trPr>
        <w:tc>
          <w:tcPr>
            <w:tcW w:w="3682" w:type="dxa"/>
            <w:tcBorders>
              <w:top w:val="nil"/>
              <w:left w:val="nil"/>
              <w:bottom w:val="nil"/>
              <w:right w:val="nil"/>
            </w:tcBorders>
            <w:shd w:val="clear" w:color="auto" w:fill="auto"/>
            <w:noWrap/>
            <w:vAlign w:val="center"/>
          </w:tcPr>
          <w:p w14:paraId="42802D30" w14:textId="2A7876EC" w:rsidR="00593E7B" w:rsidRPr="00DE058F" w:rsidRDefault="00593E7B" w:rsidP="00BA51E3">
            <w:pPr>
              <w:spacing w:after="120" w:line="276"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ЈП „Скијалишта Србије</w:t>
            </w:r>
            <w:r w:rsidR="006B0391" w:rsidRPr="00DE058F">
              <w:rPr>
                <w:rFonts w:eastAsia="MS PGothic" w:cstheme="minorHAnsi"/>
                <w:color w:val="002060"/>
                <w:sz w:val="18"/>
                <w:szCs w:val="18"/>
                <w:lang w:val="sr-Cyrl-CS" w:eastAsia="ja-JP"/>
              </w:rPr>
              <w:t>”</w:t>
            </w:r>
            <w:r w:rsidRPr="00DE058F">
              <w:rPr>
                <w:rFonts w:eastAsia="MS PGothic" w:cstheme="minorHAnsi"/>
                <w:color w:val="002060"/>
                <w:sz w:val="18"/>
                <w:szCs w:val="18"/>
                <w:lang w:val="sr-Cyrl-CS" w:eastAsia="ja-JP"/>
              </w:rPr>
              <w:t xml:space="preserve"> Београд</w:t>
            </w:r>
          </w:p>
          <w:p w14:paraId="4A5272BD" w14:textId="77777777" w:rsidR="00593E7B" w:rsidRPr="00DE058F" w:rsidRDefault="00593E7B" w:rsidP="00BA51E3">
            <w:pPr>
              <w:spacing w:after="120" w:line="276" w:lineRule="auto"/>
              <w:jc w:val="left"/>
              <w:rPr>
                <w:rFonts w:eastAsia="MS PGothic" w:cstheme="minorHAnsi"/>
                <w:color w:val="002060"/>
                <w:sz w:val="18"/>
                <w:szCs w:val="18"/>
                <w:lang w:val="sr-Cyrl-CS" w:eastAsia="ja-JP"/>
              </w:rPr>
            </w:pPr>
          </w:p>
        </w:tc>
        <w:tc>
          <w:tcPr>
            <w:tcW w:w="996" w:type="dxa"/>
            <w:tcBorders>
              <w:top w:val="nil"/>
              <w:left w:val="nil"/>
              <w:bottom w:val="nil"/>
              <w:right w:val="nil"/>
            </w:tcBorders>
            <w:shd w:val="clear" w:color="auto" w:fill="auto"/>
            <w:noWrap/>
            <w:vAlign w:val="center"/>
          </w:tcPr>
          <w:p w14:paraId="58089081"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0,00</w:t>
            </w:r>
          </w:p>
        </w:tc>
        <w:tc>
          <w:tcPr>
            <w:tcW w:w="895" w:type="dxa"/>
            <w:tcBorders>
              <w:top w:val="nil"/>
              <w:left w:val="nil"/>
              <w:bottom w:val="nil"/>
              <w:right w:val="nil"/>
            </w:tcBorders>
            <w:shd w:val="clear" w:color="auto" w:fill="auto"/>
            <w:noWrap/>
            <w:vAlign w:val="center"/>
          </w:tcPr>
          <w:p w14:paraId="5B9C8884"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0,05</w:t>
            </w:r>
          </w:p>
        </w:tc>
        <w:tc>
          <w:tcPr>
            <w:tcW w:w="946" w:type="dxa"/>
            <w:tcBorders>
              <w:top w:val="nil"/>
              <w:left w:val="nil"/>
              <w:bottom w:val="nil"/>
              <w:right w:val="nil"/>
            </w:tcBorders>
            <w:shd w:val="clear" w:color="auto" w:fill="auto"/>
            <w:noWrap/>
            <w:vAlign w:val="center"/>
          </w:tcPr>
          <w:p w14:paraId="1F2E2020"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0,05</w:t>
            </w:r>
          </w:p>
        </w:tc>
        <w:tc>
          <w:tcPr>
            <w:tcW w:w="994" w:type="dxa"/>
            <w:tcBorders>
              <w:top w:val="nil"/>
              <w:left w:val="nil"/>
              <w:bottom w:val="nil"/>
              <w:right w:val="nil"/>
            </w:tcBorders>
            <w:shd w:val="clear" w:color="auto" w:fill="auto"/>
            <w:noWrap/>
            <w:vAlign w:val="center"/>
          </w:tcPr>
          <w:p w14:paraId="47931BE1"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0,00</w:t>
            </w:r>
          </w:p>
        </w:tc>
        <w:tc>
          <w:tcPr>
            <w:tcW w:w="897" w:type="dxa"/>
            <w:tcBorders>
              <w:top w:val="nil"/>
              <w:left w:val="nil"/>
              <w:bottom w:val="nil"/>
              <w:right w:val="nil"/>
            </w:tcBorders>
            <w:shd w:val="clear" w:color="auto" w:fill="auto"/>
            <w:noWrap/>
            <w:vAlign w:val="center"/>
          </w:tcPr>
          <w:p w14:paraId="71A15FAD"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0,04</w:t>
            </w:r>
          </w:p>
        </w:tc>
        <w:tc>
          <w:tcPr>
            <w:tcW w:w="946" w:type="dxa"/>
            <w:tcBorders>
              <w:top w:val="nil"/>
              <w:left w:val="nil"/>
              <w:bottom w:val="nil"/>
              <w:right w:val="nil"/>
            </w:tcBorders>
            <w:shd w:val="clear" w:color="auto" w:fill="auto"/>
            <w:noWrap/>
            <w:vAlign w:val="center"/>
          </w:tcPr>
          <w:p w14:paraId="56E060FD"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0,04</w:t>
            </w:r>
          </w:p>
        </w:tc>
      </w:tr>
      <w:tr w:rsidR="00593E7B" w:rsidRPr="00DE058F" w14:paraId="1E27D3A7" w14:textId="77777777" w:rsidTr="00C95509">
        <w:trPr>
          <w:trHeight w:hRule="exact" w:val="227"/>
        </w:trPr>
        <w:tc>
          <w:tcPr>
            <w:tcW w:w="3682" w:type="dxa"/>
            <w:tcBorders>
              <w:top w:val="nil"/>
              <w:left w:val="nil"/>
              <w:bottom w:val="nil"/>
              <w:right w:val="nil"/>
            </w:tcBorders>
            <w:shd w:val="clear" w:color="auto" w:fill="auto"/>
            <w:noWrap/>
            <w:vAlign w:val="center"/>
          </w:tcPr>
          <w:p w14:paraId="0435BBCE" w14:textId="79F77589" w:rsidR="00593E7B" w:rsidRPr="00DE058F" w:rsidRDefault="00593E7B" w:rsidP="00BA51E3">
            <w:pPr>
              <w:spacing w:after="120" w:line="276"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ЈП „Емисиона техника и везе</w:t>
            </w:r>
            <w:r w:rsidR="006B0391" w:rsidRPr="00DE058F">
              <w:rPr>
                <w:rFonts w:eastAsia="MS PGothic" w:cstheme="minorHAnsi"/>
                <w:color w:val="002060"/>
                <w:sz w:val="18"/>
                <w:szCs w:val="18"/>
                <w:lang w:val="sr-Cyrl-CS" w:eastAsia="ja-JP"/>
              </w:rPr>
              <w:t>”</w:t>
            </w:r>
          </w:p>
        </w:tc>
        <w:tc>
          <w:tcPr>
            <w:tcW w:w="996" w:type="dxa"/>
            <w:tcBorders>
              <w:top w:val="nil"/>
              <w:left w:val="nil"/>
              <w:bottom w:val="nil"/>
              <w:right w:val="nil"/>
            </w:tcBorders>
            <w:shd w:val="clear" w:color="auto" w:fill="auto"/>
            <w:noWrap/>
            <w:vAlign w:val="center"/>
          </w:tcPr>
          <w:p w14:paraId="1C726F08"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0,26</w:t>
            </w:r>
          </w:p>
        </w:tc>
        <w:tc>
          <w:tcPr>
            <w:tcW w:w="895" w:type="dxa"/>
            <w:tcBorders>
              <w:top w:val="nil"/>
              <w:left w:val="nil"/>
              <w:bottom w:val="nil"/>
              <w:right w:val="nil"/>
            </w:tcBorders>
            <w:shd w:val="clear" w:color="auto" w:fill="auto"/>
            <w:noWrap/>
            <w:vAlign w:val="center"/>
          </w:tcPr>
          <w:p w14:paraId="6D1A4B4A"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0,01</w:t>
            </w:r>
          </w:p>
        </w:tc>
        <w:tc>
          <w:tcPr>
            <w:tcW w:w="946" w:type="dxa"/>
            <w:tcBorders>
              <w:top w:val="nil"/>
              <w:left w:val="nil"/>
              <w:bottom w:val="nil"/>
              <w:right w:val="nil"/>
            </w:tcBorders>
            <w:shd w:val="clear" w:color="auto" w:fill="auto"/>
            <w:noWrap/>
            <w:vAlign w:val="center"/>
          </w:tcPr>
          <w:p w14:paraId="24C7375E"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0,27</w:t>
            </w:r>
          </w:p>
        </w:tc>
        <w:tc>
          <w:tcPr>
            <w:tcW w:w="994" w:type="dxa"/>
            <w:tcBorders>
              <w:top w:val="nil"/>
              <w:left w:val="nil"/>
              <w:bottom w:val="nil"/>
              <w:right w:val="nil"/>
            </w:tcBorders>
            <w:shd w:val="clear" w:color="auto" w:fill="auto"/>
            <w:noWrap/>
            <w:vAlign w:val="center"/>
          </w:tcPr>
          <w:p w14:paraId="09A3D0C4"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0,00</w:t>
            </w:r>
          </w:p>
        </w:tc>
        <w:tc>
          <w:tcPr>
            <w:tcW w:w="897" w:type="dxa"/>
            <w:tcBorders>
              <w:top w:val="nil"/>
              <w:left w:val="nil"/>
              <w:bottom w:val="nil"/>
              <w:right w:val="nil"/>
            </w:tcBorders>
            <w:shd w:val="clear" w:color="auto" w:fill="auto"/>
            <w:noWrap/>
            <w:vAlign w:val="center"/>
          </w:tcPr>
          <w:p w14:paraId="6C8CAAD8"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0,00</w:t>
            </w:r>
          </w:p>
        </w:tc>
        <w:tc>
          <w:tcPr>
            <w:tcW w:w="946" w:type="dxa"/>
            <w:tcBorders>
              <w:top w:val="nil"/>
              <w:left w:val="nil"/>
              <w:bottom w:val="nil"/>
              <w:right w:val="nil"/>
            </w:tcBorders>
            <w:shd w:val="clear" w:color="auto" w:fill="auto"/>
            <w:noWrap/>
            <w:vAlign w:val="center"/>
          </w:tcPr>
          <w:p w14:paraId="6B8310C9"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0,00</w:t>
            </w:r>
          </w:p>
        </w:tc>
      </w:tr>
      <w:tr w:rsidR="00593E7B" w:rsidRPr="00DE058F" w14:paraId="7F232C67" w14:textId="77777777" w:rsidTr="00C95509">
        <w:trPr>
          <w:trHeight w:hRule="exact" w:val="227"/>
        </w:trPr>
        <w:tc>
          <w:tcPr>
            <w:tcW w:w="3682" w:type="dxa"/>
            <w:tcBorders>
              <w:top w:val="nil"/>
              <w:left w:val="nil"/>
              <w:bottom w:val="nil"/>
              <w:right w:val="nil"/>
            </w:tcBorders>
            <w:shd w:val="clear" w:color="auto" w:fill="auto"/>
            <w:noWrap/>
            <w:vAlign w:val="center"/>
          </w:tcPr>
          <w:p w14:paraId="78EF5F0B" w14:textId="6415DBF5" w:rsidR="00593E7B" w:rsidRPr="00DE058F" w:rsidRDefault="00593E7B" w:rsidP="00BA51E3">
            <w:pPr>
              <w:spacing w:after="120" w:line="276"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ЈП „Путеви Србије</w:t>
            </w:r>
            <w:r w:rsidR="006B0391" w:rsidRPr="00DE058F">
              <w:rPr>
                <w:rFonts w:eastAsia="MS PGothic" w:cstheme="minorHAnsi"/>
                <w:color w:val="002060"/>
                <w:sz w:val="18"/>
                <w:szCs w:val="18"/>
                <w:lang w:val="sr-Cyrl-CS" w:eastAsia="ja-JP"/>
              </w:rPr>
              <w:t>”</w:t>
            </w:r>
          </w:p>
        </w:tc>
        <w:tc>
          <w:tcPr>
            <w:tcW w:w="996" w:type="dxa"/>
            <w:tcBorders>
              <w:top w:val="nil"/>
              <w:left w:val="nil"/>
              <w:bottom w:val="nil"/>
              <w:right w:val="nil"/>
            </w:tcBorders>
            <w:shd w:val="clear" w:color="auto" w:fill="auto"/>
            <w:noWrap/>
            <w:vAlign w:val="center"/>
          </w:tcPr>
          <w:p w14:paraId="121E1DBD"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3,61</w:t>
            </w:r>
          </w:p>
        </w:tc>
        <w:tc>
          <w:tcPr>
            <w:tcW w:w="895" w:type="dxa"/>
            <w:tcBorders>
              <w:top w:val="nil"/>
              <w:left w:val="nil"/>
              <w:bottom w:val="nil"/>
              <w:right w:val="nil"/>
            </w:tcBorders>
            <w:shd w:val="clear" w:color="auto" w:fill="auto"/>
            <w:noWrap/>
            <w:vAlign w:val="center"/>
          </w:tcPr>
          <w:p w14:paraId="28678F23"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1,13</w:t>
            </w:r>
          </w:p>
        </w:tc>
        <w:tc>
          <w:tcPr>
            <w:tcW w:w="946" w:type="dxa"/>
            <w:tcBorders>
              <w:top w:val="nil"/>
              <w:left w:val="nil"/>
              <w:bottom w:val="nil"/>
              <w:right w:val="nil"/>
            </w:tcBorders>
            <w:shd w:val="clear" w:color="auto" w:fill="auto"/>
            <w:noWrap/>
            <w:vAlign w:val="center"/>
          </w:tcPr>
          <w:p w14:paraId="27EB0363"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4,74</w:t>
            </w:r>
          </w:p>
        </w:tc>
        <w:tc>
          <w:tcPr>
            <w:tcW w:w="994" w:type="dxa"/>
            <w:tcBorders>
              <w:top w:val="nil"/>
              <w:left w:val="nil"/>
              <w:bottom w:val="nil"/>
              <w:right w:val="nil"/>
            </w:tcBorders>
            <w:shd w:val="clear" w:color="auto" w:fill="auto"/>
            <w:noWrap/>
            <w:vAlign w:val="center"/>
          </w:tcPr>
          <w:p w14:paraId="7DEDC65A"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1,77</w:t>
            </w:r>
          </w:p>
        </w:tc>
        <w:tc>
          <w:tcPr>
            <w:tcW w:w="897" w:type="dxa"/>
            <w:tcBorders>
              <w:top w:val="nil"/>
              <w:left w:val="nil"/>
              <w:bottom w:val="nil"/>
              <w:right w:val="nil"/>
            </w:tcBorders>
            <w:shd w:val="clear" w:color="auto" w:fill="auto"/>
            <w:noWrap/>
            <w:vAlign w:val="center"/>
          </w:tcPr>
          <w:p w14:paraId="25DF5F49"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0,52</w:t>
            </w:r>
          </w:p>
        </w:tc>
        <w:tc>
          <w:tcPr>
            <w:tcW w:w="946" w:type="dxa"/>
            <w:tcBorders>
              <w:top w:val="nil"/>
              <w:left w:val="nil"/>
              <w:bottom w:val="nil"/>
              <w:right w:val="nil"/>
            </w:tcBorders>
            <w:shd w:val="clear" w:color="auto" w:fill="auto"/>
            <w:noWrap/>
            <w:vAlign w:val="center"/>
          </w:tcPr>
          <w:p w14:paraId="05573F47"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2,28</w:t>
            </w:r>
          </w:p>
        </w:tc>
      </w:tr>
      <w:tr w:rsidR="00593E7B" w:rsidRPr="00DE058F" w14:paraId="194C5161" w14:textId="77777777" w:rsidTr="00C95509">
        <w:trPr>
          <w:trHeight w:hRule="exact" w:val="227"/>
        </w:trPr>
        <w:tc>
          <w:tcPr>
            <w:tcW w:w="3682" w:type="dxa"/>
            <w:tcBorders>
              <w:top w:val="nil"/>
              <w:left w:val="nil"/>
              <w:bottom w:val="single" w:sz="8" w:space="0" w:color="002060"/>
              <w:right w:val="nil"/>
            </w:tcBorders>
            <w:shd w:val="clear" w:color="auto" w:fill="auto"/>
            <w:noWrap/>
            <w:vAlign w:val="center"/>
          </w:tcPr>
          <w:p w14:paraId="036B72AB" w14:textId="52B85929" w:rsidR="00593E7B" w:rsidRPr="00DE058F" w:rsidRDefault="00593E7B" w:rsidP="00BA51E3">
            <w:pPr>
              <w:spacing w:after="120" w:line="276" w:lineRule="auto"/>
              <w:jc w:val="lef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ЈП „Србијагас</w:t>
            </w:r>
            <w:r w:rsidR="006B0391" w:rsidRPr="00DE058F">
              <w:rPr>
                <w:rFonts w:eastAsia="MS PGothic" w:cstheme="minorHAnsi"/>
                <w:color w:val="002060"/>
                <w:sz w:val="18"/>
                <w:szCs w:val="18"/>
                <w:lang w:val="sr-Cyrl-CS" w:eastAsia="ja-JP"/>
              </w:rPr>
              <w:t>”</w:t>
            </w:r>
          </w:p>
        </w:tc>
        <w:tc>
          <w:tcPr>
            <w:tcW w:w="996" w:type="dxa"/>
            <w:tcBorders>
              <w:top w:val="nil"/>
              <w:left w:val="nil"/>
              <w:bottom w:val="single" w:sz="8" w:space="0" w:color="002060"/>
              <w:right w:val="nil"/>
            </w:tcBorders>
            <w:shd w:val="clear" w:color="auto" w:fill="auto"/>
            <w:noWrap/>
            <w:vAlign w:val="center"/>
          </w:tcPr>
          <w:p w14:paraId="4C1AB85A"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1,13</w:t>
            </w:r>
          </w:p>
        </w:tc>
        <w:tc>
          <w:tcPr>
            <w:tcW w:w="895" w:type="dxa"/>
            <w:tcBorders>
              <w:top w:val="nil"/>
              <w:left w:val="nil"/>
              <w:bottom w:val="single" w:sz="8" w:space="0" w:color="002060"/>
              <w:right w:val="nil"/>
            </w:tcBorders>
            <w:shd w:val="clear" w:color="auto" w:fill="auto"/>
            <w:noWrap/>
            <w:vAlign w:val="center"/>
          </w:tcPr>
          <w:p w14:paraId="381F314F"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0,02</w:t>
            </w:r>
          </w:p>
        </w:tc>
        <w:tc>
          <w:tcPr>
            <w:tcW w:w="946" w:type="dxa"/>
            <w:tcBorders>
              <w:top w:val="nil"/>
              <w:left w:val="nil"/>
              <w:bottom w:val="single" w:sz="8" w:space="0" w:color="002060"/>
              <w:right w:val="nil"/>
            </w:tcBorders>
            <w:shd w:val="clear" w:color="auto" w:fill="auto"/>
            <w:noWrap/>
            <w:vAlign w:val="center"/>
          </w:tcPr>
          <w:p w14:paraId="1FB36AA9"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1,15</w:t>
            </w:r>
          </w:p>
        </w:tc>
        <w:tc>
          <w:tcPr>
            <w:tcW w:w="994" w:type="dxa"/>
            <w:tcBorders>
              <w:top w:val="nil"/>
              <w:left w:val="nil"/>
              <w:bottom w:val="single" w:sz="8" w:space="0" w:color="002060"/>
              <w:right w:val="nil"/>
            </w:tcBorders>
            <w:shd w:val="clear" w:color="auto" w:fill="auto"/>
            <w:noWrap/>
            <w:vAlign w:val="center"/>
          </w:tcPr>
          <w:p w14:paraId="410F8965"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0,00</w:t>
            </w:r>
          </w:p>
        </w:tc>
        <w:tc>
          <w:tcPr>
            <w:tcW w:w="897" w:type="dxa"/>
            <w:tcBorders>
              <w:top w:val="nil"/>
              <w:left w:val="nil"/>
              <w:bottom w:val="single" w:sz="8" w:space="0" w:color="002060"/>
              <w:right w:val="nil"/>
            </w:tcBorders>
            <w:shd w:val="clear" w:color="auto" w:fill="auto"/>
            <w:noWrap/>
            <w:vAlign w:val="center"/>
          </w:tcPr>
          <w:p w14:paraId="0C16C3C8"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0,00</w:t>
            </w:r>
          </w:p>
        </w:tc>
        <w:tc>
          <w:tcPr>
            <w:tcW w:w="946" w:type="dxa"/>
            <w:tcBorders>
              <w:top w:val="nil"/>
              <w:left w:val="nil"/>
              <w:bottom w:val="single" w:sz="8" w:space="0" w:color="002060"/>
              <w:right w:val="nil"/>
            </w:tcBorders>
            <w:shd w:val="clear" w:color="auto" w:fill="auto"/>
            <w:noWrap/>
            <w:vAlign w:val="center"/>
          </w:tcPr>
          <w:p w14:paraId="60618C32"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0,00</w:t>
            </w:r>
          </w:p>
        </w:tc>
      </w:tr>
      <w:tr w:rsidR="00593E7B" w:rsidRPr="00DE058F" w14:paraId="247131CE" w14:textId="77777777" w:rsidTr="00C95509">
        <w:trPr>
          <w:trHeight w:hRule="exact" w:val="227"/>
        </w:trPr>
        <w:tc>
          <w:tcPr>
            <w:tcW w:w="3682" w:type="dxa"/>
            <w:tcBorders>
              <w:top w:val="single" w:sz="8" w:space="0" w:color="002060"/>
              <w:left w:val="nil"/>
              <w:bottom w:val="single" w:sz="8" w:space="0" w:color="002060"/>
              <w:right w:val="nil"/>
            </w:tcBorders>
            <w:shd w:val="clear" w:color="auto" w:fill="auto"/>
            <w:noWrap/>
            <w:vAlign w:val="center"/>
            <w:hideMark/>
          </w:tcPr>
          <w:p w14:paraId="1FDAA957" w14:textId="77777777" w:rsidR="00593E7B" w:rsidRPr="00DE058F" w:rsidRDefault="00593E7B" w:rsidP="00C95509">
            <w:pPr>
              <w:spacing w:after="120" w:line="276" w:lineRule="auto"/>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УКУПНО</w:t>
            </w:r>
          </w:p>
        </w:tc>
        <w:tc>
          <w:tcPr>
            <w:tcW w:w="996" w:type="dxa"/>
            <w:tcBorders>
              <w:top w:val="single" w:sz="8" w:space="0" w:color="002060"/>
              <w:left w:val="nil"/>
              <w:bottom w:val="single" w:sz="8" w:space="0" w:color="002060"/>
              <w:right w:val="nil"/>
            </w:tcBorders>
            <w:shd w:val="clear" w:color="auto" w:fill="auto"/>
            <w:noWrap/>
            <w:vAlign w:val="center"/>
            <w:hideMark/>
          </w:tcPr>
          <w:p w14:paraId="229F43CD" w14:textId="77777777" w:rsidR="00593E7B" w:rsidRPr="00DE058F" w:rsidRDefault="00593E7B" w:rsidP="00C95509">
            <w:pPr>
              <w:spacing w:after="120" w:line="276" w:lineRule="auto"/>
              <w:jc w:val="right"/>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11,3</w:t>
            </w:r>
          </w:p>
        </w:tc>
        <w:tc>
          <w:tcPr>
            <w:tcW w:w="895" w:type="dxa"/>
            <w:tcBorders>
              <w:top w:val="single" w:sz="8" w:space="0" w:color="002060"/>
              <w:left w:val="nil"/>
              <w:bottom w:val="single" w:sz="8" w:space="0" w:color="002060"/>
              <w:right w:val="nil"/>
            </w:tcBorders>
            <w:shd w:val="clear" w:color="auto" w:fill="auto"/>
            <w:noWrap/>
            <w:vAlign w:val="center"/>
            <w:hideMark/>
          </w:tcPr>
          <w:p w14:paraId="52F8D71A" w14:textId="77777777" w:rsidR="00593E7B" w:rsidRPr="00DE058F" w:rsidRDefault="00593E7B" w:rsidP="00C95509">
            <w:pPr>
              <w:spacing w:after="120" w:line="276" w:lineRule="auto"/>
              <w:jc w:val="right"/>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1,7</w:t>
            </w:r>
          </w:p>
        </w:tc>
        <w:tc>
          <w:tcPr>
            <w:tcW w:w="946" w:type="dxa"/>
            <w:tcBorders>
              <w:top w:val="single" w:sz="8" w:space="0" w:color="002060"/>
              <w:left w:val="nil"/>
              <w:bottom w:val="single" w:sz="8" w:space="0" w:color="002060"/>
              <w:right w:val="nil"/>
            </w:tcBorders>
            <w:shd w:val="clear" w:color="auto" w:fill="auto"/>
            <w:noWrap/>
            <w:vAlign w:val="center"/>
            <w:hideMark/>
          </w:tcPr>
          <w:p w14:paraId="2F60F329" w14:textId="77777777" w:rsidR="00593E7B" w:rsidRPr="00DE058F" w:rsidRDefault="00593E7B" w:rsidP="00C95509">
            <w:pPr>
              <w:spacing w:after="120" w:line="276" w:lineRule="auto"/>
              <w:jc w:val="right"/>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12,9</w:t>
            </w:r>
          </w:p>
        </w:tc>
        <w:tc>
          <w:tcPr>
            <w:tcW w:w="994" w:type="dxa"/>
            <w:tcBorders>
              <w:top w:val="single" w:sz="8" w:space="0" w:color="002060"/>
              <w:left w:val="nil"/>
              <w:bottom w:val="single" w:sz="8" w:space="0" w:color="002060"/>
              <w:right w:val="nil"/>
            </w:tcBorders>
            <w:shd w:val="clear" w:color="auto" w:fill="auto"/>
            <w:noWrap/>
            <w:vAlign w:val="center"/>
            <w:hideMark/>
          </w:tcPr>
          <w:p w14:paraId="355D4942" w14:textId="77777777" w:rsidR="00593E7B" w:rsidRPr="00DE058F" w:rsidRDefault="00593E7B" w:rsidP="00C95509">
            <w:pPr>
              <w:spacing w:after="120" w:line="276" w:lineRule="auto"/>
              <w:jc w:val="right"/>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3,3</w:t>
            </w:r>
          </w:p>
        </w:tc>
        <w:tc>
          <w:tcPr>
            <w:tcW w:w="897" w:type="dxa"/>
            <w:tcBorders>
              <w:top w:val="single" w:sz="8" w:space="0" w:color="002060"/>
              <w:left w:val="nil"/>
              <w:bottom w:val="single" w:sz="8" w:space="0" w:color="002060"/>
              <w:right w:val="nil"/>
            </w:tcBorders>
            <w:shd w:val="clear" w:color="auto" w:fill="auto"/>
            <w:noWrap/>
            <w:vAlign w:val="center"/>
            <w:hideMark/>
          </w:tcPr>
          <w:p w14:paraId="56D028E4" w14:textId="77777777" w:rsidR="00593E7B" w:rsidRPr="00DE058F" w:rsidRDefault="00593E7B" w:rsidP="00C95509">
            <w:pPr>
              <w:spacing w:after="120" w:line="276" w:lineRule="auto"/>
              <w:jc w:val="right"/>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0,7</w:t>
            </w:r>
          </w:p>
        </w:tc>
        <w:tc>
          <w:tcPr>
            <w:tcW w:w="946" w:type="dxa"/>
            <w:tcBorders>
              <w:top w:val="single" w:sz="8" w:space="0" w:color="002060"/>
              <w:left w:val="nil"/>
              <w:bottom w:val="single" w:sz="8" w:space="0" w:color="002060"/>
              <w:right w:val="nil"/>
            </w:tcBorders>
            <w:shd w:val="clear" w:color="auto" w:fill="auto"/>
            <w:noWrap/>
            <w:vAlign w:val="center"/>
            <w:hideMark/>
          </w:tcPr>
          <w:p w14:paraId="0ABD8A59" w14:textId="77777777" w:rsidR="00593E7B" w:rsidRPr="00DE058F" w:rsidRDefault="00593E7B" w:rsidP="00C95509">
            <w:pPr>
              <w:spacing w:after="120" w:line="276" w:lineRule="auto"/>
              <w:jc w:val="right"/>
              <w:rPr>
                <w:rFonts w:eastAsia="MS PGothic" w:cstheme="minorHAnsi"/>
                <w:b/>
                <w:color w:val="002060"/>
                <w:sz w:val="18"/>
                <w:szCs w:val="18"/>
                <w:lang w:val="sr-Cyrl-CS" w:eastAsia="ja-JP"/>
              </w:rPr>
            </w:pPr>
            <w:r w:rsidRPr="00DE058F">
              <w:rPr>
                <w:rFonts w:eastAsia="MS PGothic" w:cstheme="minorHAnsi"/>
                <w:b/>
                <w:color w:val="002060"/>
                <w:sz w:val="18"/>
                <w:szCs w:val="18"/>
                <w:lang w:val="sr-Cyrl-CS" w:eastAsia="ja-JP"/>
              </w:rPr>
              <w:t>4,0</w:t>
            </w:r>
          </w:p>
        </w:tc>
      </w:tr>
    </w:tbl>
    <w:p w14:paraId="25906B87" w14:textId="77777777" w:rsidR="00593E7B" w:rsidRPr="00DE058F" w:rsidRDefault="00593E7B" w:rsidP="00C95509">
      <w:pPr>
        <w:spacing w:after="120" w:line="276" w:lineRule="auto"/>
        <w:rPr>
          <w:rFonts w:eastAsia="MS PGothic" w:cstheme="minorHAnsi"/>
          <w:sz w:val="16"/>
          <w:szCs w:val="16"/>
          <w:lang w:val="sr-Cyrl-CS" w:eastAsia="ja-JP"/>
        </w:rPr>
        <w:sectPr w:rsidR="00593E7B" w:rsidRPr="00DE058F" w:rsidSect="00C95509">
          <w:type w:val="continuous"/>
          <w:pgSz w:w="12240" w:h="15840" w:code="1"/>
          <w:pgMar w:top="1440" w:right="1440" w:bottom="1440" w:left="1440" w:header="720" w:footer="720" w:gutter="0"/>
          <w:cols w:space="720"/>
          <w:docGrid w:linePitch="360"/>
        </w:sectPr>
      </w:pPr>
      <w:r w:rsidRPr="00DE058F">
        <w:rPr>
          <w:rFonts w:eastAsia="MS PGothic" w:cstheme="minorHAnsi"/>
          <w:sz w:val="16"/>
          <w:szCs w:val="16"/>
          <w:lang w:val="sr-Cyrl-CS" w:eastAsia="ja-JP"/>
        </w:rPr>
        <w:t>Извор: Министарство финансија, Управа за јавни дуг</w:t>
      </w:r>
    </w:p>
    <w:p w14:paraId="3079DCA8" w14:textId="6B986739" w:rsidR="00593E7B" w:rsidRPr="00DE058F" w:rsidRDefault="00593E7B" w:rsidP="00C95509">
      <w:pPr>
        <w:spacing w:after="120" w:line="257" w:lineRule="auto"/>
        <w:rPr>
          <w:rFonts w:eastAsia="MS PGothic" w:cstheme="minorHAnsi"/>
          <w:szCs w:val="20"/>
          <w:lang w:val="sr-Cyrl-CS" w:eastAsia="ja-JP"/>
        </w:rPr>
      </w:pPr>
      <w:r w:rsidRPr="00DE058F">
        <w:rPr>
          <w:rFonts w:eastAsia="MS PGothic" w:cstheme="minorHAnsi"/>
          <w:szCs w:val="20"/>
          <w:lang w:val="sr-Cyrl-CS" w:eastAsia="ja-JP"/>
        </w:rPr>
        <w:t>План отплате по основу гаранција (укупно главница и камата) у Закону о буџету</w:t>
      </w:r>
      <w:r w:rsidR="00BD7452" w:rsidRPr="00DE058F">
        <w:rPr>
          <w:rFonts w:eastAsia="MS PGothic" w:cstheme="minorHAnsi"/>
          <w:szCs w:val="20"/>
          <w:lang w:val="sr-Cyrl-CS" w:eastAsia="ja-JP"/>
        </w:rPr>
        <w:t xml:space="preserve"> Републике Србије</w:t>
      </w:r>
      <w:r w:rsidRPr="00DE058F">
        <w:rPr>
          <w:rFonts w:eastAsia="MS PGothic" w:cstheme="minorHAnsi"/>
          <w:szCs w:val="20"/>
          <w:lang w:val="sr-Cyrl-CS" w:eastAsia="ja-JP"/>
        </w:rPr>
        <w:t xml:space="preserve"> за 2022. годину износи 20,6 млрд динара, од чега се у расходе који утичу на резултат укључује 15,2 млрд динара за отплату главнице по гаранцијама.</w:t>
      </w:r>
    </w:p>
    <w:p w14:paraId="4E12DEDD" w14:textId="77777777" w:rsidR="00593E7B" w:rsidRPr="00DE058F" w:rsidRDefault="00593E7B" w:rsidP="00C95509">
      <w:pPr>
        <w:spacing w:after="120" w:line="257" w:lineRule="auto"/>
        <w:rPr>
          <w:rFonts w:eastAsia="MS PGothic" w:cstheme="minorHAnsi"/>
          <w:szCs w:val="20"/>
          <w:lang w:val="sr-Cyrl-CS" w:eastAsia="ja-JP"/>
        </w:rPr>
      </w:pPr>
      <w:r w:rsidRPr="00DE058F">
        <w:rPr>
          <w:rFonts w:eastAsia="MS PGothic" w:cstheme="minorHAnsi"/>
          <w:szCs w:val="20"/>
          <w:lang w:val="sr-Cyrl-CS" w:eastAsia="ja-JP"/>
        </w:rPr>
        <w:t xml:space="preserve">Индиректни дуг, те укључивање дела отплата по основу гаранција у буџетске расходе, и повећање дефицита по том основу, повећали су свест о растућим фискалним ризицима који произилазе по основу издатих гаранција. Стога су предузете активности које ограничавају издавање нових гаранција. Изменама Закона о јавном дугу забрањено је издавање нових гаранција за кредите за потребе ликвидности. Изменама Закона о Фонду за развој Републике Србије онемогућено је даље давање контрагаранција за </w:t>
      </w:r>
      <w:r w:rsidRPr="00DE058F">
        <w:rPr>
          <w:rFonts w:eastAsia="MS PGothic" w:cstheme="minorHAnsi"/>
          <w:szCs w:val="20"/>
          <w:lang w:val="sr-Cyrl-CS" w:eastAsia="ja-JP"/>
        </w:rPr>
        <w:t>гаранције издате од стране Фонда за развој Републике Србије.</w:t>
      </w:r>
    </w:p>
    <w:p w14:paraId="44FCA937" w14:textId="77777777" w:rsidR="00593E7B" w:rsidRPr="00DE058F" w:rsidRDefault="00593E7B" w:rsidP="00C95509">
      <w:pPr>
        <w:spacing w:after="120" w:line="257" w:lineRule="auto"/>
        <w:rPr>
          <w:rFonts w:eastAsia="MS PGothic" w:cstheme="minorHAnsi"/>
          <w:szCs w:val="20"/>
          <w:lang w:val="sr-Cyrl-CS" w:eastAsia="ja-JP"/>
        </w:rPr>
      </w:pPr>
      <w:r w:rsidRPr="00DE058F">
        <w:rPr>
          <w:rFonts w:eastAsia="MS PGothic" w:cstheme="minorHAnsi"/>
          <w:szCs w:val="20"/>
          <w:lang w:val="sr-Cyrl-CS" w:eastAsia="ja-JP"/>
        </w:rPr>
        <w:t>Поред ограничења у издавању државних гаранција кључни корак у смањењу и отклањању фискалних ризика по овом основу је у реформи државних и јавних предузећа, корисника гаранција, како би били способни да отплаћују своје кредите. Већи број предузећа, која су и највећи корисници гаранција, налазе се у процесу реструктурирања, односно спровођења планова реструктурирања урађених у сарадњи са међународним финансијским институцијама.</w:t>
      </w:r>
    </w:p>
    <w:p w14:paraId="2BF47028" w14:textId="703BB977" w:rsidR="00593E7B" w:rsidRPr="00DE058F" w:rsidRDefault="00593E7B" w:rsidP="00C95509">
      <w:pPr>
        <w:spacing w:after="120" w:line="257" w:lineRule="auto"/>
        <w:rPr>
          <w:rFonts w:eastAsia="MS PGothic" w:cstheme="minorHAnsi"/>
          <w:szCs w:val="20"/>
          <w:lang w:val="sr-Cyrl-CS" w:eastAsia="ja-JP"/>
        </w:rPr>
      </w:pPr>
      <w:r w:rsidRPr="00DE058F">
        <w:rPr>
          <w:rFonts w:eastAsia="MS PGothic" w:cstheme="minorHAnsi"/>
          <w:szCs w:val="20"/>
          <w:lang w:val="sr-Cyrl-CS" w:eastAsia="ja-JP"/>
        </w:rPr>
        <w:t>Законом о буџету</w:t>
      </w:r>
      <w:r w:rsidR="00BD7452" w:rsidRPr="00DE058F">
        <w:rPr>
          <w:rFonts w:eastAsia="MS PGothic" w:cstheme="minorHAnsi"/>
          <w:szCs w:val="20"/>
          <w:lang w:val="sr-Cyrl-CS" w:eastAsia="ja-JP"/>
        </w:rPr>
        <w:t xml:space="preserve"> Републике Србије</w:t>
      </w:r>
      <w:r w:rsidRPr="00DE058F">
        <w:rPr>
          <w:rFonts w:eastAsia="MS PGothic" w:cstheme="minorHAnsi"/>
          <w:szCs w:val="20"/>
          <w:lang w:val="sr-Cyrl-CS" w:eastAsia="ja-JP"/>
        </w:rPr>
        <w:t xml:space="preserve"> за 2022. годину планирано је издавање гаранција највише до 146,6 млрд динара и то за кредите намењене реализацији инфраструктурних пројеката.</w:t>
      </w:r>
    </w:p>
    <w:p w14:paraId="1D60278B" w14:textId="77777777" w:rsidR="00FA0995" w:rsidRPr="00DE058F" w:rsidRDefault="00FA0995" w:rsidP="00C95509">
      <w:pPr>
        <w:spacing w:after="120" w:line="257" w:lineRule="auto"/>
        <w:rPr>
          <w:rFonts w:eastAsia="MS PGothic" w:cstheme="minorHAnsi"/>
          <w:szCs w:val="20"/>
          <w:lang w:val="sr-Cyrl-CS" w:eastAsia="ja-JP"/>
        </w:rPr>
        <w:sectPr w:rsidR="00FA0995" w:rsidRPr="00DE058F" w:rsidSect="00C95509">
          <w:type w:val="continuous"/>
          <w:pgSz w:w="12240" w:h="15840" w:code="1"/>
          <w:pgMar w:top="1440" w:right="1440" w:bottom="1440" w:left="1440" w:header="720" w:footer="720" w:gutter="0"/>
          <w:cols w:num="2" w:space="720"/>
          <w:docGrid w:linePitch="360"/>
        </w:sectPr>
      </w:pPr>
    </w:p>
    <w:p w14:paraId="5B7F8BD1" w14:textId="4EA6E86E" w:rsidR="00593E7B" w:rsidRPr="00DE058F" w:rsidRDefault="00593E7B" w:rsidP="0036237E">
      <w:pPr>
        <w:spacing w:after="60" w:line="276" w:lineRule="auto"/>
        <w:jc w:val="center"/>
        <w:rPr>
          <w:rFonts w:eastAsia="MS PGothic" w:cstheme="minorHAnsi"/>
          <w:b/>
          <w:color w:val="002060"/>
          <w:szCs w:val="20"/>
          <w:lang w:val="sr-Cyrl-CS" w:eastAsia="ja-JP"/>
        </w:rPr>
      </w:pPr>
      <w:r w:rsidRPr="00DE058F">
        <w:rPr>
          <w:rFonts w:eastAsia="MS PGothic" w:cstheme="minorHAnsi"/>
          <w:b/>
          <w:color w:val="002060"/>
          <w:szCs w:val="20"/>
          <w:lang w:val="sr-Cyrl-CS" w:eastAsia="ja-JP"/>
        </w:rPr>
        <w:t>Табела 1</w:t>
      </w:r>
      <w:r w:rsidR="00623E62" w:rsidRPr="00DE058F">
        <w:rPr>
          <w:rFonts w:eastAsia="MS PGothic" w:cstheme="minorHAnsi"/>
          <w:b/>
          <w:color w:val="002060"/>
          <w:szCs w:val="20"/>
          <w:lang w:val="sr-Cyrl-CS" w:eastAsia="ja-JP"/>
        </w:rPr>
        <w:t>5</w:t>
      </w:r>
      <w:r w:rsidRPr="00DE058F">
        <w:rPr>
          <w:rFonts w:eastAsia="MS PGothic" w:cstheme="minorHAnsi"/>
          <w:b/>
          <w:color w:val="002060"/>
          <w:szCs w:val="20"/>
          <w:lang w:val="sr-Cyrl-CS" w:eastAsia="ja-JP"/>
        </w:rPr>
        <w:t>. План издавања гаранција у 2022. години</w:t>
      </w:r>
    </w:p>
    <w:tbl>
      <w:tblPr>
        <w:tblW w:w="9288" w:type="dxa"/>
        <w:tblLook w:val="04A0" w:firstRow="1" w:lastRow="0" w:firstColumn="1" w:lastColumn="0" w:noHBand="0" w:noVBand="1"/>
      </w:tblPr>
      <w:tblGrid>
        <w:gridCol w:w="665"/>
        <w:gridCol w:w="4117"/>
        <w:gridCol w:w="1502"/>
        <w:gridCol w:w="1502"/>
        <w:gridCol w:w="1502"/>
      </w:tblGrid>
      <w:tr w:rsidR="00593E7B" w:rsidRPr="00DE058F" w14:paraId="652A10A0" w14:textId="77777777" w:rsidTr="0036237E">
        <w:trPr>
          <w:trHeight w:val="397"/>
          <w:tblHeader/>
        </w:trPr>
        <w:tc>
          <w:tcPr>
            <w:tcW w:w="665" w:type="dxa"/>
            <w:tcBorders>
              <w:top w:val="single" w:sz="8" w:space="0" w:color="002060"/>
              <w:left w:val="nil"/>
              <w:bottom w:val="single" w:sz="8" w:space="0" w:color="002060"/>
              <w:right w:val="nil"/>
            </w:tcBorders>
            <w:shd w:val="clear" w:color="auto" w:fill="auto"/>
            <w:vAlign w:val="center"/>
            <w:hideMark/>
          </w:tcPr>
          <w:p w14:paraId="4723B03C" w14:textId="77777777"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Ред. број</w:t>
            </w:r>
          </w:p>
        </w:tc>
        <w:tc>
          <w:tcPr>
            <w:tcW w:w="4117" w:type="dxa"/>
            <w:tcBorders>
              <w:top w:val="single" w:sz="8" w:space="0" w:color="002060"/>
              <w:left w:val="nil"/>
              <w:bottom w:val="single" w:sz="8" w:space="0" w:color="002060"/>
              <w:right w:val="nil"/>
            </w:tcBorders>
            <w:shd w:val="clear" w:color="auto" w:fill="auto"/>
            <w:vAlign w:val="center"/>
            <w:hideMark/>
          </w:tcPr>
          <w:p w14:paraId="3F2CC96F" w14:textId="77777777"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 </w:t>
            </w:r>
          </w:p>
        </w:tc>
        <w:tc>
          <w:tcPr>
            <w:tcW w:w="1502" w:type="dxa"/>
            <w:tcBorders>
              <w:top w:val="single" w:sz="8" w:space="0" w:color="002060"/>
              <w:left w:val="nil"/>
              <w:bottom w:val="single" w:sz="8" w:space="0" w:color="002060"/>
              <w:right w:val="nil"/>
            </w:tcBorders>
            <w:shd w:val="clear" w:color="auto" w:fill="auto"/>
            <w:vAlign w:val="center"/>
            <w:hideMark/>
          </w:tcPr>
          <w:p w14:paraId="343886C9" w14:textId="77777777"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Износ у динарима</w:t>
            </w:r>
          </w:p>
        </w:tc>
        <w:tc>
          <w:tcPr>
            <w:tcW w:w="1502" w:type="dxa"/>
            <w:tcBorders>
              <w:top w:val="single" w:sz="8" w:space="0" w:color="002060"/>
              <w:left w:val="nil"/>
              <w:bottom w:val="single" w:sz="8" w:space="0" w:color="002060"/>
              <w:right w:val="nil"/>
            </w:tcBorders>
            <w:shd w:val="clear" w:color="auto" w:fill="auto"/>
            <w:vAlign w:val="center"/>
            <w:hideMark/>
          </w:tcPr>
          <w:p w14:paraId="7797903A" w14:textId="77777777"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Оригинална валута</w:t>
            </w:r>
          </w:p>
        </w:tc>
        <w:tc>
          <w:tcPr>
            <w:tcW w:w="1502" w:type="dxa"/>
            <w:tcBorders>
              <w:top w:val="single" w:sz="8" w:space="0" w:color="002060"/>
              <w:left w:val="nil"/>
              <w:bottom w:val="single" w:sz="8" w:space="0" w:color="002060"/>
              <w:right w:val="nil"/>
            </w:tcBorders>
            <w:shd w:val="clear" w:color="auto" w:fill="auto"/>
            <w:vAlign w:val="center"/>
            <w:hideMark/>
          </w:tcPr>
          <w:p w14:paraId="0C84FEA7" w14:textId="77777777"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Износ у оригиналној валути</w:t>
            </w:r>
          </w:p>
        </w:tc>
      </w:tr>
      <w:tr w:rsidR="00593E7B" w:rsidRPr="00DE058F" w14:paraId="023983E5" w14:textId="77777777" w:rsidTr="00C95509">
        <w:trPr>
          <w:trHeight w:val="302"/>
        </w:trPr>
        <w:tc>
          <w:tcPr>
            <w:tcW w:w="665" w:type="dxa"/>
            <w:tcBorders>
              <w:top w:val="nil"/>
              <w:left w:val="nil"/>
              <w:bottom w:val="nil"/>
              <w:right w:val="nil"/>
            </w:tcBorders>
            <w:shd w:val="clear" w:color="000000" w:fill="E7E6E6"/>
            <w:vAlign w:val="center"/>
            <w:hideMark/>
          </w:tcPr>
          <w:p w14:paraId="2AD3B741" w14:textId="77777777" w:rsidR="00593E7B" w:rsidRPr="00DE058F" w:rsidRDefault="00593E7B" w:rsidP="00C95509">
            <w:pPr>
              <w:spacing w:after="0" w:line="240" w:lineRule="auto"/>
              <w:jc w:val="left"/>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I.</w:t>
            </w:r>
          </w:p>
        </w:tc>
        <w:tc>
          <w:tcPr>
            <w:tcW w:w="4117" w:type="dxa"/>
            <w:tcBorders>
              <w:top w:val="nil"/>
              <w:left w:val="nil"/>
              <w:bottom w:val="nil"/>
              <w:right w:val="nil"/>
            </w:tcBorders>
            <w:shd w:val="clear" w:color="000000" w:fill="E7E6E6"/>
            <w:hideMark/>
          </w:tcPr>
          <w:p w14:paraId="1729F5E8" w14:textId="77777777" w:rsidR="00593E7B" w:rsidRPr="00DE058F" w:rsidRDefault="00593E7B" w:rsidP="00C95509">
            <w:pPr>
              <w:spacing w:after="0" w:line="240" w:lineRule="auto"/>
              <w:jc w:val="left"/>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Европској банци за обнову и развој</w:t>
            </w:r>
          </w:p>
        </w:tc>
        <w:tc>
          <w:tcPr>
            <w:tcW w:w="1502" w:type="dxa"/>
            <w:tcBorders>
              <w:top w:val="nil"/>
              <w:left w:val="nil"/>
              <w:bottom w:val="nil"/>
              <w:right w:val="nil"/>
            </w:tcBorders>
            <w:shd w:val="clear" w:color="000000" w:fill="E7E6E6"/>
            <w:hideMark/>
          </w:tcPr>
          <w:p w14:paraId="3FCB8F16" w14:textId="77777777" w:rsidR="00593E7B" w:rsidRPr="00DE058F" w:rsidRDefault="00593E7B" w:rsidP="00C95509">
            <w:pPr>
              <w:spacing w:after="0" w:line="240" w:lineRule="auto"/>
              <w:jc w:val="lef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w:t>
            </w:r>
          </w:p>
        </w:tc>
        <w:tc>
          <w:tcPr>
            <w:tcW w:w="1502" w:type="dxa"/>
            <w:tcBorders>
              <w:top w:val="nil"/>
              <w:left w:val="nil"/>
              <w:bottom w:val="nil"/>
              <w:right w:val="nil"/>
            </w:tcBorders>
            <w:shd w:val="clear" w:color="000000" w:fill="E7E6E6"/>
            <w:hideMark/>
          </w:tcPr>
          <w:p w14:paraId="7F3D159B" w14:textId="77777777" w:rsidR="00593E7B" w:rsidRPr="00DE058F" w:rsidRDefault="00593E7B" w:rsidP="00C95509">
            <w:pPr>
              <w:spacing w:after="0" w:line="240" w:lineRule="auto"/>
              <w:jc w:val="lef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w:t>
            </w:r>
          </w:p>
        </w:tc>
        <w:tc>
          <w:tcPr>
            <w:tcW w:w="1502" w:type="dxa"/>
            <w:tcBorders>
              <w:top w:val="nil"/>
              <w:left w:val="nil"/>
              <w:bottom w:val="nil"/>
              <w:right w:val="nil"/>
            </w:tcBorders>
            <w:shd w:val="clear" w:color="000000" w:fill="E7E6E6"/>
            <w:hideMark/>
          </w:tcPr>
          <w:p w14:paraId="6572DA9C" w14:textId="77777777" w:rsidR="00593E7B" w:rsidRPr="00DE058F" w:rsidRDefault="00593E7B" w:rsidP="00C95509">
            <w:pPr>
              <w:spacing w:after="0" w:line="240" w:lineRule="auto"/>
              <w:jc w:val="lef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w:t>
            </w:r>
          </w:p>
        </w:tc>
      </w:tr>
      <w:tr w:rsidR="00593E7B" w:rsidRPr="00DE058F" w14:paraId="45766F7A" w14:textId="77777777" w:rsidTr="00C95509">
        <w:trPr>
          <w:trHeight w:val="786"/>
        </w:trPr>
        <w:tc>
          <w:tcPr>
            <w:tcW w:w="665" w:type="dxa"/>
            <w:tcBorders>
              <w:top w:val="nil"/>
              <w:left w:val="nil"/>
              <w:bottom w:val="nil"/>
              <w:right w:val="nil"/>
            </w:tcBorders>
            <w:shd w:val="clear" w:color="auto" w:fill="auto"/>
            <w:vAlign w:val="center"/>
            <w:hideMark/>
          </w:tcPr>
          <w:p w14:paraId="738586E9"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1. </w:t>
            </w:r>
          </w:p>
        </w:tc>
        <w:tc>
          <w:tcPr>
            <w:tcW w:w="4117" w:type="dxa"/>
            <w:tcBorders>
              <w:top w:val="nil"/>
              <w:left w:val="nil"/>
              <w:bottom w:val="nil"/>
              <w:right w:val="nil"/>
            </w:tcBorders>
            <w:shd w:val="clear" w:color="auto" w:fill="auto"/>
            <w:hideMark/>
          </w:tcPr>
          <w:p w14:paraId="6495849E" w14:textId="77777777" w:rsidR="00593E7B" w:rsidRPr="00DE058F" w:rsidRDefault="00593E7B" w:rsidP="00C95509">
            <w:pPr>
              <w:spacing w:after="0" w:line="240" w:lineRule="auto"/>
              <w:jc w:val="lef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Акционарско друштво за железнички превоз путника „Србија Воз”, Београд – (Реконструкција и модернизација регионалних депоа)</w:t>
            </w:r>
          </w:p>
        </w:tc>
        <w:tc>
          <w:tcPr>
            <w:tcW w:w="1502" w:type="dxa"/>
            <w:tcBorders>
              <w:top w:val="nil"/>
              <w:left w:val="nil"/>
              <w:bottom w:val="nil"/>
              <w:right w:val="nil"/>
            </w:tcBorders>
            <w:shd w:val="clear" w:color="auto" w:fill="auto"/>
            <w:vAlign w:val="center"/>
            <w:hideMark/>
          </w:tcPr>
          <w:p w14:paraId="570D886C" w14:textId="37638FEB"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950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c>
          <w:tcPr>
            <w:tcW w:w="1502" w:type="dxa"/>
            <w:tcBorders>
              <w:top w:val="nil"/>
              <w:left w:val="nil"/>
              <w:bottom w:val="nil"/>
              <w:right w:val="nil"/>
            </w:tcBorders>
            <w:shd w:val="clear" w:color="auto" w:fill="auto"/>
            <w:vAlign w:val="center"/>
            <w:hideMark/>
          </w:tcPr>
          <w:p w14:paraId="3D378E12"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ЕUR</w:t>
            </w:r>
          </w:p>
        </w:tc>
        <w:tc>
          <w:tcPr>
            <w:tcW w:w="1502" w:type="dxa"/>
            <w:tcBorders>
              <w:top w:val="nil"/>
              <w:left w:val="nil"/>
              <w:bottom w:val="nil"/>
              <w:right w:val="nil"/>
            </w:tcBorders>
            <w:shd w:val="clear" w:color="auto" w:fill="auto"/>
            <w:vAlign w:val="center"/>
            <w:hideMark/>
          </w:tcPr>
          <w:p w14:paraId="17522587" w14:textId="4ABF9E3C"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25</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r>
      <w:tr w:rsidR="00593E7B" w:rsidRPr="00DE058F" w14:paraId="2CF3ED8A" w14:textId="77777777" w:rsidTr="00C95509">
        <w:trPr>
          <w:trHeight w:val="966"/>
        </w:trPr>
        <w:tc>
          <w:tcPr>
            <w:tcW w:w="665" w:type="dxa"/>
            <w:tcBorders>
              <w:top w:val="nil"/>
              <w:left w:val="nil"/>
              <w:bottom w:val="nil"/>
              <w:right w:val="nil"/>
            </w:tcBorders>
            <w:shd w:val="clear" w:color="auto" w:fill="auto"/>
            <w:vAlign w:val="center"/>
            <w:hideMark/>
          </w:tcPr>
          <w:p w14:paraId="6B9F8771"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w:t>
            </w:r>
          </w:p>
        </w:tc>
        <w:tc>
          <w:tcPr>
            <w:tcW w:w="4117" w:type="dxa"/>
            <w:tcBorders>
              <w:top w:val="nil"/>
              <w:left w:val="nil"/>
              <w:bottom w:val="nil"/>
              <w:right w:val="nil"/>
            </w:tcBorders>
            <w:shd w:val="clear" w:color="auto" w:fill="auto"/>
            <w:hideMark/>
          </w:tcPr>
          <w:p w14:paraId="621BD802" w14:textId="290EDF78" w:rsidR="00593E7B" w:rsidRPr="00DE058F" w:rsidRDefault="00593E7B" w:rsidP="00C95509">
            <w:pPr>
              <w:spacing w:after="0" w:line="240" w:lineRule="auto"/>
              <w:jc w:val="lef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Акционарско друштво за железнички превоз робе </w:t>
            </w:r>
            <w:r w:rsidR="006B0391"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Србија Карго</w:t>
            </w:r>
            <w:r w:rsidR="006B0391"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 Београд -(Набавка и реконструкција возних средстава и грађевинских објеката)</w:t>
            </w:r>
          </w:p>
        </w:tc>
        <w:tc>
          <w:tcPr>
            <w:tcW w:w="1502" w:type="dxa"/>
            <w:tcBorders>
              <w:top w:val="nil"/>
              <w:left w:val="nil"/>
              <w:bottom w:val="nil"/>
              <w:right w:val="nil"/>
            </w:tcBorders>
            <w:shd w:val="clear" w:color="auto" w:fill="auto"/>
            <w:vAlign w:val="center"/>
            <w:hideMark/>
          </w:tcPr>
          <w:p w14:paraId="613ABC89" w14:textId="2C61A18C"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5</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074</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c>
          <w:tcPr>
            <w:tcW w:w="1502" w:type="dxa"/>
            <w:tcBorders>
              <w:top w:val="nil"/>
              <w:left w:val="nil"/>
              <w:bottom w:val="nil"/>
              <w:right w:val="nil"/>
            </w:tcBorders>
            <w:shd w:val="clear" w:color="auto" w:fill="auto"/>
            <w:vAlign w:val="center"/>
            <w:hideMark/>
          </w:tcPr>
          <w:p w14:paraId="255FBE9F"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65208DFC" w14:textId="25FF600B"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43</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r>
      <w:tr w:rsidR="00593E7B" w:rsidRPr="00DE058F" w14:paraId="034E57A5" w14:textId="77777777" w:rsidTr="00C95509">
        <w:trPr>
          <w:trHeight w:val="558"/>
        </w:trPr>
        <w:tc>
          <w:tcPr>
            <w:tcW w:w="665" w:type="dxa"/>
            <w:tcBorders>
              <w:top w:val="nil"/>
              <w:left w:val="nil"/>
              <w:bottom w:val="nil"/>
              <w:right w:val="nil"/>
            </w:tcBorders>
            <w:shd w:val="clear" w:color="auto" w:fill="auto"/>
            <w:vAlign w:val="center"/>
            <w:hideMark/>
          </w:tcPr>
          <w:p w14:paraId="24EC9DAD"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3.</w:t>
            </w:r>
          </w:p>
        </w:tc>
        <w:tc>
          <w:tcPr>
            <w:tcW w:w="4117" w:type="dxa"/>
            <w:tcBorders>
              <w:top w:val="nil"/>
              <w:left w:val="nil"/>
              <w:bottom w:val="nil"/>
              <w:right w:val="nil"/>
            </w:tcBorders>
            <w:shd w:val="clear" w:color="auto" w:fill="auto"/>
            <w:hideMark/>
          </w:tcPr>
          <w:p w14:paraId="2469C7D2" w14:textId="64608303" w:rsidR="00593E7B" w:rsidRPr="00DE058F" w:rsidRDefault="00593E7B" w:rsidP="00C95509">
            <w:pPr>
              <w:spacing w:after="0" w:line="240" w:lineRule="auto"/>
              <w:jc w:val="lef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Eлектродистрибуција Србије д.о.о. Београд - Пројекат за паметна бројила</w:t>
            </w:r>
          </w:p>
        </w:tc>
        <w:tc>
          <w:tcPr>
            <w:tcW w:w="1502" w:type="dxa"/>
            <w:tcBorders>
              <w:top w:val="nil"/>
              <w:left w:val="nil"/>
              <w:bottom w:val="nil"/>
              <w:right w:val="nil"/>
            </w:tcBorders>
            <w:shd w:val="clear" w:color="auto" w:fill="auto"/>
            <w:vAlign w:val="center"/>
            <w:hideMark/>
          </w:tcPr>
          <w:p w14:paraId="09239231" w14:textId="538991C4"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4</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720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c>
          <w:tcPr>
            <w:tcW w:w="1502" w:type="dxa"/>
            <w:tcBorders>
              <w:top w:val="nil"/>
              <w:left w:val="nil"/>
              <w:bottom w:val="nil"/>
              <w:right w:val="nil"/>
            </w:tcBorders>
            <w:shd w:val="clear" w:color="auto" w:fill="auto"/>
            <w:vAlign w:val="center"/>
            <w:hideMark/>
          </w:tcPr>
          <w:p w14:paraId="34AC1F8B"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4A42E4BF" w14:textId="629823D9"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40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r>
      <w:tr w:rsidR="00593E7B" w:rsidRPr="00DE058F" w14:paraId="406E86D5" w14:textId="77777777" w:rsidTr="00C95509">
        <w:trPr>
          <w:trHeight w:val="302"/>
        </w:trPr>
        <w:tc>
          <w:tcPr>
            <w:tcW w:w="665" w:type="dxa"/>
            <w:tcBorders>
              <w:top w:val="nil"/>
              <w:left w:val="nil"/>
              <w:bottom w:val="nil"/>
              <w:right w:val="nil"/>
            </w:tcBorders>
            <w:shd w:val="clear" w:color="auto" w:fill="auto"/>
            <w:vAlign w:val="center"/>
            <w:hideMark/>
          </w:tcPr>
          <w:p w14:paraId="6F8509C3" w14:textId="77777777" w:rsidR="00593E7B" w:rsidRPr="00DE058F" w:rsidRDefault="00593E7B" w:rsidP="00C95509">
            <w:pPr>
              <w:spacing w:after="0" w:line="240" w:lineRule="auto"/>
              <w:jc w:val="center"/>
              <w:rPr>
                <w:rFonts w:ascii="Calibri" w:eastAsia="Times New Roman" w:hAnsi="Calibri" w:cs="Calibri"/>
                <w:color w:val="002060"/>
                <w:szCs w:val="20"/>
                <w:lang w:val="sr-Cyrl-CS" w:eastAsia="en-GB"/>
              </w:rPr>
            </w:pPr>
          </w:p>
        </w:tc>
        <w:tc>
          <w:tcPr>
            <w:tcW w:w="4117" w:type="dxa"/>
            <w:tcBorders>
              <w:top w:val="nil"/>
              <w:left w:val="nil"/>
              <w:bottom w:val="nil"/>
              <w:right w:val="nil"/>
            </w:tcBorders>
            <w:shd w:val="clear" w:color="auto" w:fill="auto"/>
            <w:hideMark/>
          </w:tcPr>
          <w:p w14:paraId="5DD48037" w14:textId="77777777" w:rsidR="00593E7B" w:rsidRPr="00DE058F" w:rsidRDefault="00593E7B" w:rsidP="00C95509">
            <w:pPr>
              <w:spacing w:after="0" w:line="240" w:lineRule="auto"/>
              <w:jc w:val="left"/>
              <w:rPr>
                <w:rFonts w:ascii="Calibri" w:eastAsia="Times New Roman" w:hAnsi="Calibri" w:cs="Calibri"/>
                <w:b/>
                <w:bCs/>
                <w:color w:val="002060"/>
                <w:szCs w:val="20"/>
                <w:lang w:val="sr-Cyrl-CS" w:eastAsia="en-GB"/>
              </w:rPr>
            </w:pPr>
            <w:r w:rsidRPr="00DE058F">
              <w:rPr>
                <w:rFonts w:ascii="Calibri" w:eastAsia="Times New Roman" w:hAnsi="Calibri" w:cs="Calibri"/>
                <w:b/>
                <w:bCs/>
                <w:color w:val="002060"/>
                <w:szCs w:val="20"/>
                <w:lang w:val="sr-Cyrl-CS" w:eastAsia="en-GB"/>
              </w:rPr>
              <w:t>Укупно:</w:t>
            </w:r>
          </w:p>
        </w:tc>
        <w:tc>
          <w:tcPr>
            <w:tcW w:w="1502" w:type="dxa"/>
            <w:tcBorders>
              <w:top w:val="nil"/>
              <w:left w:val="nil"/>
              <w:bottom w:val="nil"/>
              <w:right w:val="nil"/>
            </w:tcBorders>
            <w:shd w:val="clear" w:color="auto" w:fill="auto"/>
            <w:vAlign w:val="center"/>
            <w:hideMark/>
          </w:tcPr>
          <w:p w14:paraId="3C47B0FF" w14:textId="15DDEA04"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12</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744</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000</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000</w:t>
            </w:r>
          </w:p>
        </w:tc>
        <w:tc>
          <w:tcPr>
            <w:tcW w:w="1502" w:type="dxa"/>
            <w:tcBorders>
              <w:top w:val="nil"/>
              <w:left w:val="nil"/>
              <w:bottom w:val="nil"/>
              <w:right w:val="nil"/>
            </w:tcBorders>
            <w:shd w:val="clear" w:color="auto" w:fill="auto"/>
            <w:vAlign w:val="center"/>
            <w:hideMark/>
          </w:tcPr>
          <w:p w14:paraId="255DF982" w14:textId="77777777"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2139C606" w14:textId="2F6D6E3A"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108</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000</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000</w:t>
            </w:r>
          </w:p>
        </w:tc>
      </w:tr>
      <w:tr w:rsidR="00593E7B" w:rsidRPr="00DE058F" w14:paraId="5BD8E62C" w14:textId="77777777" w:rsidTr="00C95509">
        <w:trPr>
          <w:trHeight w:val="302"/>
        </w:trPr>
        <w:tc>
          <w:tcPr>
            <w:tcW w:w="665" w:type="dxa"/>
            <w:tcBorders>
              <w:top w:val="nil"/>
              <w:left w:val="nil"/>
              <w:bottom w:val="nil"/>
              <w:right w:val="nil"/>
            </w:tcBorders>
            <w:shd w:val="clear" w:color="000000" w:fill="E7E6E6"/>
            <w:vAlign w:val="center"/>
            <w:hideMark/>
          </w:tcPr>
          <w:p w14:paraId="6B376B20" w14:textId="77777777" w:rsidR="00593E7B" w:rsidRPr="00DE058F" w:rsidRDefault="00593E7B" w:rsidP="00C95509">
            <w:pPr>
              <w:spacing w:after="0" w:line="240" w:lineRule="auto"/>
              <w:jc w:val="left"/>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lastRenderedPageBreak/>
              <w:t>II.</w:t>
            </w:r>
          </w:p>
        </w:tc>
        <w:tc>
          <w:tcPr>
            <w:tcW w:w="4117" w:type="dxa"/>
            <w:tcBorders>
              <w:top w:val="nil"/>
              <w:left w:val="nil"/>
              <w:bottom w:val="nil"/>
              <w:right w:val="nil"/>
            </w:tcBorders>
            <w:shd w:val="clear" w:color="000000" w:fill="E7E6E6"/>
            <w:hideMark/>
          </w:tcPr>
          <w:p w14:paraId="48158AFC" w14:textId="77777777" w:rsidR="00593E7B" w:rsidRPr="00DE058F" w:rsidRDefault="00593E7B" w:rsidP="00C95509">
            <w:pPr>
              <w:spacing w:after="0" w:line="240" w:lineRule="auto"/>
              <w:jc w:val="left"/>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Немачкој развојној банци (KfW)</w:t>
            </w:r>
          </w:p>
        </w:tc>
        <w:tc>
          <w:tcPr>
            <w:tcW w:w="1502" w:type="dxa"/>
            <w:tcBorders>
              <w:top w:val="nil"/>
              <w:left w:val="nil"/>
              <w:bottom w:val="nil"/>
              <w:right w:val="nil"/>
            </w:tcBorders>
            <w:shd w:val="clear" w:color="000000" w:fill="E7E6E6"/>
            <w:vAlign w:val="center"/>
            <w:hideMark/>
          </w:tcPr>
          <w:p w14:paraId="7D81AFCC"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w:t>
            </w:r>
          </w:p>
        </w:tc>
        <w:tc>
          <w:tcPr>
            <w:tcW w:w="1502" w:type="dxa"/>
            <w:tcBorders>
              <w:top w:val="nil"/>
              <w:left w:val="nil"/>
              <w:bottom w:val="nil"/>
              <w:right w:val="nil"/>
            </w:tcBorders>
            <w:shd w:val="clear" w:color="000000" w:fill="E7E6E6"/>
            <w:vAlign w:val="center"/>
            <w:hideMark/>
          </w:tcPr>
          <w:p w14:paraId="73422589"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w:t>
            </w:r>
          </w:p>
        </w:tc>
        <w:tc>
          <w:tcPr>
            <w:tcW w:w="1502" w:type="dxa"/>
            <w:tcBorders>
              <w:top w:val="nil"/>
              <w:left w:val="nil"/>
              <w:bottom w:val="nil"/>
              <w:right w:val="nil"/>
            </w:tcBorders>
            <w:shd w:val="clear" w:color="000000" w:fill="E7E6E6"/>
            <w:vAlign w:val="center"/>
            <w:hideMark/>
          </w:tcPr>
          <w:p w14:paraId="4BA6DF7F"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w:t>
            </w:r>
          </w:p>
        </w:tc>
      </w:tr>
      <w:tr w:rsidR="00593E7B" w:rsidRPr="00DE058F" w14:paraId="3D3A8722" w14:textId="77777777" w:rsidTr="00C95509">
        <w:trPr>
          <w:trHeight w:val="714"/>
        </w:trPr>
        <w:tc>
          <w:tcPr>
            <w:tcW w:w="665" w:type="dxa"/>
            <w:tcBorders>
              <w:top w:val="nil"/>
              <w:left w:val="nil"/>
              <w:bottom w:val="nil"/>
              <w:right w:val="nil"/>
            </w:tcBorders>
            <w:shd w:val="clear" w:color="auto" w:fill="auto"/>
            <w:vAlign w:val="center"/>
            <w:hideMark/>
          </w:tcPr>
          <w:p w14:paraId="2B031A6D"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w:t>
            </w:r>
          </w:p>
        </w:tc>
        <w:tc>
          <w:tcPr>
            <w:tcW w:w="4117" w:type="dxa"/>
            <w:tcBorders>
              <w:top w:val="nil"/>
              <w:left w:val="nil"/>
              <w:bottom w:val="nil"/>
              <w:right w:val="nil"/>
            </w:tcBorders>
            <w:shd w:val="clear" w:color="auto" w:fill="auto"/>
            <w:hideMark/>
          </w:tcPr>
          <w:p w14:paraId="3119856A" w14:textId="77777777" w:rsidR="00593E7B" w:rsidRPr="00DE058F" w:rsidRDefault="00593E7B" w:rsidP="00C95509">
            <w:pPr>
              <w:spacing w:after="0" w:line="240" w:lineRule="auto"/>
              <w:jc w:val="lef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АД „Електромрежа Србије” – Трансбалкански коридор, секција 4-2x400 kV DV Бајина Башта(РС)- Пљевља (МЕ)-Вишеград (БиХ)</w:t>
            </w:r>
          </w:p>
        </w:tc>
        <w:tc>
          <w:tcPr>
            <w:tcW w:w="1502" w:type="dxa"/>
            <w:tcBorders>
              <w:top w:val="nil"/>
              <w:left w:val="nil"/>
              <w:bottom w:val="nil"/>
              <w:right w:val="nil"/>
            </w:tcBorders>
            <w:shd w:val="clear" w:color="auto" w:fill="auto"/>
            <w:vAlign w:val="center"/>
            <w:hideMark/>
          </w:tcPr>
          <w:p w14:paraId="3B2007BA" w14:textId="2C1C2F2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3</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540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c>
          <w:tcPr>
            <w:tcW w:w="1502" w:type="dxa"/>
            <w:tcBorders>
              <w:top w:val="nil"/>
              <w:left w:val="nil"/>
              <w:bottom w:val="nil"/>
              <w:right w:val="nil"/>
            </w:tcBorders>
            <w:shd w:val="clear" w:color="auto" w:fill="auto"/>
            <w:vAlign w:val="center"/>
            <w:hideMark/>
          </w:tcPr>
          <w:p w14:paraId="56D54AB4"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4F9FB6F4" w14:textId="2E9C558B"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30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r>
      <w:tr w:rsidR="00593E7B" w:rsidRPr="00DE058F" w14:paraId="79DFC979" w14:textId="77777777" w:rsidTr="00C95509">
        <w:trPr>
          <w:trHeight w:val="302"/>
        </w:trPr>
        <w:tc>
          <w:tcPr>
            <w:tcW w:w="665" w:type="dxa"/>
            <w:tcBorders>
              <w:top w:val="nil"/>
              <w:left w:val="nil"/>
              <w:bottom w:val="nil"/>
              <w:right w:val="nil"/>
            </w:tcBorders>
            <w:shd w:val="clear" w:color="auto" w:fill="auto"/>
            <w:vAlign w:val="center"/>
            <w:hideMark/>
          </w:tcPr>
          <w:p w14:paraId="095EEAB0"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p>
        </w:tc>
        <w:tc>
          <w:tcPr>
            <w:tcW w:w="4117" w:type="dxa"/>
            <w:tcBorders>
              <w:top w:val="nil"/>
              <w:left w:val="nil"/>
              <w:bottom w:val="nil"/>
              <w:right w:val="nil"/>
            </w:tcBorders>
            <w:shd w:val="clear" w:color="auto" w:fill="auto"/>
            <w:hideMark/>
          </w:tcPr>
          <w:p w14:paraId="195E126B" w14:textId="77777777" w:rsidR="00593E7B" w:rsidRPr="00DE058F" w:rsidRDefault="00593E7B" w:rsidP="00C95509">
            <w:pPr>
              <w:spacing w:after="0" w:line="240" w:lineRule="auto"/>
              <w:jc w:val="left"/>
              <w:rPr>
                <w:rFonts w:ascii="Calibri" w:eastAsia="Times New Roman" w:hAnsi="Calibri" w:cs="Calibri"/>
                <w:b/>
                <w:bCs/>
                <w:color w:val="002060"/>
                <w:szCs w:val="20"/>
                <w:lang w:val="sr-Cyrl-CS" w:eastAsia="en-GB"/>
              </w:rPr>
            </w:pPr>
            <w:r w:rsidRPr="00DE058F">
              <w:rPr>
                <w:rFonts w:ascii="Calibri" w:eastAsia="Times New Roman" w:hAnsi="Calibri" w:cs="Calibri"/>
                <w:b/>
                <w:bCs/>
                <w:color w:val="002060"/>
                <w:szCs w:val="20"/>
                <w:lang w:val="sr-Cyrl-CS" w:eastAsia="en-GB"/>
              </w:rPr>
              <w:t>Укупно:</w:t>
            </w:r>
          </w:p>
        </w:tc>
        <w:tc>
          <w:tcPr>
            <w:tcW w:w="1502" w:type="dxa"/>
            <w:tcBorders>
              <w:top w:val="nil"/>
              <w:left w:val="nil"/>
              <w:bottom w:val="nil"/>
              <w:right w:val="nil"/>
            </w:tcBorders>
            <w:shd w:val="clear" w:color="auto" w:fill="auto"/>
            <w:vAlign w:val="center"/>
            <w:hideMark/>
          </w:tcPr>
          <w:p w14:paraId="48F55A5A" w14:textId="00EEB010"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3</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540</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000</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000</w:t>
            </w:r>
          </w:p>
        </w:tc>
        <w:tc>
          <w:tcPr>
            <w:tcW w:w="1502" w:type="dxa"/>
            <w:tcBorders>
              <w:top w:val="nil"/>
              <w:left w:val="nil"/>
              <w:bottom w:val="nil"/>
              <w:right w:val="nil"/>
            </w:tcBorders>
            <w:shd w:val="clear" w:color="auto" w:fill="auto"/>
            <w:vAlign w:val="center"/>
            <w:hideMark/>
          </w:tcPr>
          <w:p w14:paraId="0798137A" w14:textId="77777777"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702FEE8F" w14:textId="434E1CBE"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30</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000</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000</w:t>
            </w:r>
          </w:p>
        </w:tc>
      </w:tr>
      <w:tr w:rsidR="00593E7B" w:rsidRPr="00DE058F" w14:paraId="1B0BB720" w14:textId="77777777" w:rsidTr="0036237E">
        <w:trPr>
          <w:trHeight w:val="300"/>
        </w:trPr>
        <w:tc>
          <w:tcPr>
            <w:tcW w:w="665" w:type="dxa"/>
            <w:tcBorders>
              <w:top w:val="nil"/>
              <w:left w:val="nil"/>
              <w:bottom w:val="nil"/>
              <w:right w:val="nil"/>
            </w:tcBorders>
            <w:shd w:val="clear" w:color="000000" w:fill="E7E6E6"/>
            <w:vAlign w:val="center"/>
            <w:hideMark/>
          </w:tcPr>
          <w:p w14:paraId="19412BF5" w14:textId="77777777" w:rsidR="00593E7B" w:rsidRPr="00DE058F" w:rsidRDefault="00593E7B" w:rsidP="00C95509">
            <w:pPr>
              <w:spacing w:after="0" w:line="240" w:lineRule="auto"/>
              <w:jc w:val="left"/>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III.</w:t>
            </w:r>
          </w:p>
        </w:tc>
        <w:tc>
          <w:tcPr>
            <w:tcW w:w="4117" w:type="dxa"/>
            <w:tcBorders>
              <w:top w:val="nil"/>
              <w:left w:val="nil"/>
              <w:bottom w:val="nil"/>
              <w:right w:val="nil"/>
            </w:tcBorders>
            <w:shd w:val="clear" w:color="000000" w:fill="E7E6E6"/>
            <w:hideMark/>
          </w:tcPr>
          <w:p w14:paraId="7440195D" w14:textId="77777777" w:rsidR="00593E7B" w:rsidRPr="00DE058F" w:rsidRDefault="00593E7B" w:rsidP="00C95509">
            <w:pPr>
              <w:spacing w:after="0" w:line="240" w:lineRule="auto"/>
              <w:jc w:val="left"/>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Домаћим и страним пословним банкама</w:t>
            </w:r>
          </w:p>
        </w:tc>
        <w:tc>
          <w:tcPr>
            <w:tcW w:w="1502" w:type="dxa"/>
            <w:tcBorders>
              <w:top w:val="nil"/>
              <w:left w:val="nil"/>
              <w:bottom w:val="nil"/>
              <w:right w:val="nil"/>
            </w:tcBorders>
            <w:shd w:val="clear" w:color="000000" w:fill="E7E6E6"/>
            <w:vAlign w:val="center"/>
            <w:hideMark/>
          </w:tcPr>
          <w:p w14:paraId="5A19E9F0"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w:t>
            </w:r>
          </w:p>
        </w:tc>
        <w:tc>
          <w:tcPr>
            <w:tcW w:w="1502" w:type="dxa"/>
            <w:tcBorders>
              <w:top w:val="nil"/>
              <w:left w:val="nil"/>
              <w:bottom w:val="nil"/>
              <w:right w:val="nil"/>
            </w:tcBorders>
            <w:shd w:val="clear" w:color="000000" w:fill="E7E6E6"/>
            <w:vAlign w:val="center"/>
            <w:hideMark/>
          </w:tcPr>
          <w:p w14:paraId="2F307E6B"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w:t>
            </w:r>
          </w:p>
        </w:tc>
        <w:tc>
          <w:tcPr>
            <w:tcW w:w="1502" w:type="dxa"/>
            <w:tcBorders>
              <w:top w:val="nil"/>
              <w:left w:val="nil"/>
              <w:bottom w:val="nil"/>
              <w:right w:val="nil"/>
            </w:tcBorders>
            <w:shd w:val="clear" w:color="000000" w:fill="E7E6E6"/>
            <w:vAlign w:val="center"/>
            <w:hideMark/>
          </w:tcPr>
          <w:p w14:paraId="726EADBA"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w:t>
            </w:r>
          </w:p>
        </w:tc>
      </w:tr>
      <w:tr w:rsidR="00593E7B" w:rsidRPr="00DE058F" w14:paraId="3FDB1CFB" w14:textId="77777777" w:rsidTr="00C95509">
        <w:trPr>
          <w:trHeight w:val="614"/>
        </w:trPr>
        <w:tc>
          <w:tcPr>
            <w:tcW w:w="665" w:type="dxa"/>
            <w:tcBorders>
              <w:top w:val="nil"/>
              <w:left w:val="nil"/>
              <w:bottom w:val="nil"/>
              <w:right w:val="nil"/>
            </w:tcBorders>
            <w:shd w:val="clear" w:color="auto" w:fill="auto"/>
            <w:vAlign w:val="center"/>
            <w:hideMark/>
          </w:tcPr>
          <w:p w14:paraId="2B7D1886"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w:t>
            </w:r>
          </w:p>
        </w:tc>
        <w:tc>
          <w:tcPr>
            <w:tcW w:w="4117" w:type="dxa"/>
            <w:tcBorders>
              <w:top w:val="nil"/>
              <w:left w:val="nil"/>
              <w:bottom w:val="nil"/>
              <w:right w:val="nil"/>
            </w:tcBorders>
            <w:shd w:val="clear" w:color="auto" w:fill="auto"/>
            <w:hideMark/>
          </w:tcPr>
          <w:p w14:paraId="7922949C" w14:textId="77777777" w:rsidR="00593E7B" w:rsidRPr="00DE058F" w:rsidRDefault="00593E7B" w:rsidP="00C95509">
            <w:pPr>
              <w:spacing w:after="0" w:line="240" w:lineRule="auto"/>
              <w:jc w:val="lef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ЈП „Србијагас” – Јачање транспортних капацитета гасовода у Републици Србији</w:t>
            </w:r>
          </w:p>
        </w:tc>
        <w:tc>
          <w:tcPr>
            <w:tcW w:w="1502" w:type="dxa"/>
            <w:tcBorders>
              <w:top w:val="nil"/>
              <w:left w:val="nil"/>
              <w:bottom w:val="nil"/>
              <w:right w:val="nil"/>
            </w:tcBorders>
            <w:shd w:val="clear" w:color="auto" w:fill="auto"/>
            <w:vAlign w:val="center"/>
            <w:hideMark/>
          </w:tcPr>
          <w:p w14:paraId="3EAC0CE6" w14:textId="3714F620"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21</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240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c>
          <w:tcPr>
            <w:tcW w:w="1502" w:type="dxa"/>
            <w:tcBorders>
              <w:top w:val="nil"/>
              <w:left w:val="nil"/>
              <w:bottom w:val="nil"/>
              <w:right w:val="nil"/>
            </w:tcBorders>
            <w:shd w:val="clear" w:color="auto" w:fill="auto"/>
            <w:vAlign w:val="center"/>
            <w:hideMark/>
          </w:tcPr>
          <w:p w14:paraId="6977A081"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2D55639C" w14:textId="21E255C6"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180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r>
      <w:tr w:rsidR="00593E7B" w:rsidRPr="00DE058F" w14:paraId="614EA3B7" w14:textId="77777777" w:rsidTr="00C95509">
        <w:trPr>
          <w:trHeight w:val="716"/>
        </w:trPr>
        <w:tc>
          <w:tcPr>
            <w:tcW w:w="665" w:type="dxa"/>
            <w:tcBorders>
              <w:top w:val="nil"/>
              <w:left w:val="nil"/>
              <w:bottom w:val="nil"/>
              <w:right w:val="nil"/>
            </w:tcBorders>
            <w:shd w:val="clear" w:color="auto" w:fill="auto"/>
            <w:vAlign w:val="center"/>
            <w:hideMark/>
          </w:tcPr>
          <w:p w14:paraId="53F3A3B2"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2. </w:t>
            </w:r>
          </w:p>
        </w:tc>
        <w:tc>
          <w:tcPr>
            <w:tcW w:w="4117" w:type="dxa"/>
            <w:tcBorders>
              <w:top w:val="nil"/>
              <w:left w:val="nil"/>
              <w:bottom w:val="nil"/>
              <w:right w:val="nil"/>
            </w:tcBorders>
            <w:shd w:val="clear" w:color="auto" w:fill="auto"/>
            <w:hideMark/>
          </w:tcPr>
          <w:p w14:paraId="44DBCDB0" w14:textId="40F6EF57" w:rsidR="00593E7B" w:rsidRPr="00DE058F" w:rsidRDefault="00593E7B" w:rsidP="00C95509">
            <w:pPr>
              <w:spacing w:after="0" w:line="240" w:lineRule="auto"/>
              <w:jc w:val="lef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ЈП </w:t>
            </w:r>
            <w:r w:rsidR="006B0391"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Електропривреда Србије</w:t>
            </w:r>
            <w:r w:rsidR="006B0391"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-Пројекат изградње хидроелектране Бук Бјела у Републици Српској кроз улагање у капитал</w:t>
            </w:r>
          </w:p>
        </w:tc>
        <w:tc>
          <w:tcPr>
            <w:tcW w:w="1502" w:type="dxa"/>
            <w:tcBorders>
              <w:top w:val="nil"/>
              <w:left w:val="nil"/>
              <w:bottom w:val="nil"/>
              <w:right w:val="nil"/>
            </w:tcBorders>
            <w:shd w:val="clear" w:color="auto" w:fill="auto"/>
            <w:vAlign w:val="center"/>
            <w:hideMark/>
          </w:tcPr>
          <w:p w14:paraId="3F6EB39A" w14:textId="3AAF516E"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29</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500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c>
          <w:tcPr>
            <w:tcW w:w="1502" w:type="dxa"/>
            <w:tcBorders>
              <w:top w:val="nil"/>
              <w:left w:val="nil"/>
              <w:bottom w:val="nil"/>
              <w:right w:val="nil"/>
            </w:tcBorders>
            <w:shd w:val="clear" w:color="auto" w:fill="auto"/>
            <w:vAlign w:val="center"/>
            <w:hideMark/>
          </w:tcPr>
          <w:p w14:paraId="14ECEC8C"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603B62EA" w14:textId="0B4247B3"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250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r>
      <w:tr w:rsidR="00593E7B" w:rsidRPr="00DE058F" w14:paraId="7E909112" w14:textId="77777777" w:rsidTr="00C95509">
        <w:trPr>
          <w:trHeight w:val="850"/>
        </w:trPr>
        <w:tc>
          <w:tcPr>
            <w:tcW w:w="665" w:type="dxa"/>
            <w:tcBorders>
              <w:top w:val="nil"/>
              <w:left w:val="nil"/>
              <w:bottom w:val="nil"/>
              <w:right w:val="nil"/>
            </w:tcBorders>
            <w:shd w:val="clear" w:color="auto" w:fill="auto"/>
            <w:vAlign w:val="center"/>
            <w:hideMark/>
          </w:tcPr>
          <w:p w14:paraId="20EB9539"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3.</w:t>
            </w:r>
          </w:p>
        </w:tc>
        <w:tc>
          <w:tcPr>
            <w:tcW w:w="4117" w:type="dxa"/>
            <w:tcBorders>
              <w:top w:val="nil"/>
              <w:left w:val="nil"/>
              <w:bottom w:val="nil"/>
              <w:right w:val="nil"/>
            </w:tcBorders>
            <w:shd w:val="clear" w:color="auto" w:fill="auto"/>
            <w:hideMark/>
          </w:tcPr>
          <w:p w14:paraId="08C87B36" w14:textId="051A9FD7" w:rsidR="00593E7B" w:rsidRPr="00DE058F" w:rsidRDefault="00593E7B" w:rsidP="00C95509">
            <w:pPr>
              <w:spacing w:after="0" w:line="240" w:lineRule="auto"/>
              <w:jc w:val="lef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Електродистрибуција Србије д.о.о. Београд-Пројекат аутоматизације средњенапонске дистрибутивне мреже</w:t>
            </w:r>
          </w:p>
        </w:tc>
        <w:tc>
          <w:tcPr>
            <w:tcW w:w="1502" w:type="dxa"/>
            <w:tcBorders>
              <w:top w:val="nil"/>
              <w:left w:val="nil"/>
              <w:bottom w:val="nil"/>
              <w:right w:val="nil"/>
            </w:tcBorders>
            <w:shd w:val="clear" w:color="auto" w:fill="auto"/>
            <w:vAlign w:val="center"/>
            <w:hideMark/>
          </w:tcPr>
          <w:p w14:paraId="0E2B6F62" w14:textId="528DAC31"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11</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463</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903</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904</w:t>
            </w:r>
          </w:p>
        </w:tc>
        <w:tc>
          <w:tcPr>
            <w:tcW w:w="1502" w:type="dxa"/>
            <w:tcBorders>
              <w:top w:val="nil"/>
              <w:left w:val="nil"/>
              <w:bottom w:val="nil"/>
              <w:right w:val="nil"/>
            </w:tcBorders>
            <w:shd w:val="clear" w:color="auto" w:fill="auto"/>
            <w:vAlign w:val="center"/>
            <w:hideMark/>
          </w:tcPr>
          <w:p w14:paraId="335CAEE3"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05ADFB5B" w14:textId="5A8E52FD"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97</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151</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728</w:t>
            </w:r>
          </w:p>
        </w:tc>
      </w:tr>
      <w:tr w:rsidR="00593E7B" w:rsidRPr="00DE058F" w14:paraId="0B17FA6A" w14:textId="77777777" w:rsidTr="00C95509">
        <w:trPr>
          <w:trHeight w:val="1418"/>
        </w:trPr>
        <w:tc>
          <w:tcPr>
            <w:tcW w:w="665" w:type="dxa"/>
            <w:tcBorders>
              <w:top w:val="nil"/>
              <w:left w:val="nil"/>
              <w:bottom w:val="nil"/>
              <w:right w:val="nil"/>
            </w:tcBorders>
            <w:shd w:val="clear" w:color="auto" w:fill="auto"/>
            <w:vAlign w:val="center"/>
            <w:hideMark/>
          </w:tcPr>
          <w:p w14:paraId="0B1A5687"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4.</w:t>
            </w:r>
          </w:p>
        </w:tc>
        <w:tc>
          <w:tcPr>
            <w:tcW w:w="4117" w:type="dxa"/>
            <w:tcBorders>
              <w:top w:val="nil"/>
              <w:left w:val="nil"/>
              <w:bottom w:val="nil"/>
              <w:right w:val="nil"/>
            </w:tcBorders>
            <w:shd w:val="clear" w:color="auto" w:fill="auto"/>
            <w:hideMark/>
          </w:tcPr>
          <w:p w14:paraId="0C763D9B" w14:textId="31120F77" w:rsidR="00593E7B" w:rsidRPr="00DE058F" w:rsidRDefault="00593E7B" w:rsidP="00C95509">
            <w:pPr>
              <w:spacing w:after="0" w:line="240" w:lineRule="auto"/>
              <w:jc w:val="lef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Акционарско друштво за железнички превоз робе </w:t>
            </w:r>
            <w:r w:rsidR="006B0391"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Србија Карго</w:t>
            </w:r>
            <w:r w:rsidR="006B0391"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 Београд- Набавка дизел локомотива за вучу теретних возова и за потребу маневре теретних кола, набавка резервних делова за Сименс локомотиве и реконструкција теретних кола</w:t>
            </w:r>
          </w:p>
        </w:tc>
        <w:tc>
          <w:tcPr>
            <w:tcW w:w="1502" w:type="dxa"/>
            <w:tcBorders>
              <w:top w:val="nil"/>
              <w:left w:val="nil"/>
              <w:bottom w:val="nil"/>
              <w:right w:val="nil"/>
            </w:tcBorders>
            <w:shd w:val="clear" w:color="auto" w:fill="auto"/>
            <w:vAlign w:val="center"/>
            <w:hideMark/>
          </w:tcPr>
          <w:p w14:paraId="2F261E81" w14:textId="4D730E9D"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770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c>
          <w:tcPr>
            <w:tcW w:w="1502" w:type="dxa"/>
            <w:tcBorders>
              <w:top w:val="nil"/>
              <w:left w:val="nil"/>
              <w:bottom w:val="nil"/>
              <w:right w:val="nil"/>
            </w:tcBorders>
            <w:shd w:val="clear" w:color="auto" w:fill="auto"/>
            <w:vAlign w:val="center"/>
            <w:hideMark/>
          </w:tcPr>
          <w:p w14:paraId="646D015E"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44DA706E" w14:textId="7EC99A56"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15</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r>
      <w:tr w:rsidR="00593E7B" w:rsidRPr="00DE058F" w14:paraId="111111CA" w14:textId="77777777" w:rsidTr="00C95509">
        <w:trPr>
          <w:trHeight w:val="843"/>
        </w:trPr>
        <w:tc>
          <w:tcPr>
            <w:tcW w:w="665" w:type="dxa"/>
            <w:tcBorders>
              <w:top w:val="nil"/>
              <w:left w:val="nil"/>
              <w:bottom w:val="nil"/>
              <w:right w:val="nil"/>
            </w:tcBorders>
            <w:shd w:val="clear" w:color="auto" w:fill="auto"/>
            <w:vAlign w:val="center"/>
            <w:hideMark/>
          </w:tcPr>
          <w:p w14:paraId="31EE6ECE"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5.</w:t>
            </w:r>
          </w:p>
        </w:tc>
        <w:tc>
          <w:tcPr>
            <w:tcW w:w="4117" w:type="dxa"/>
            <w:tcBorders>
              <w:top w:val="nil"/>
              <w:left w:val="nil"/>
              <w:bottom w:val="nil"/>
              <w:right w:val="nil"/>
            </w:tcBorders>
            <w:shd w:val="clear" w:color="auto" w:fill="auto"/>
            <w:hideMark/>
          </w:tcPr>
          <w:p w14:paraId="231D9474" w14:textId="0AC2774C" w:rsidR="00593E7B" w:rsidRPr="00DE058F" w:rsidRDefault="00593E7B" w:rsidP="00C95509">
            <w:pPr>
              <w:spacing w:after="0" w:line="240" w:lineRule="auto"/>
              <w:jc w:val="lef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ЈП </w:t>
            </w:r>
            <w:r w:rsidR="006B0391"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Електропривреда Србије</w:t>
            </w:r>
            <w:r w:rsidR="006B0391"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 xml:space="preserve"> - одсумпоравање димних гасова и израда постројења за пречишћавање отпадних вода на ТЕ Костолац А</w:t>
            </w:r>
          </w:p>
        </w:tc>
        <w:tc>
          <w:tcPr>
            <w:tcW w:w="1502" w:type="dxa"/>
            <w:tcBorders>
              <w:top w:val="nil"/>
              <w:left w:val="nil"/>
              <w:bottom w:val="nil"/>
              <w:right w:val="nil"/>
            </w:tcBorders>
            <w:shd w:val="clear" w:color="auto" w:fill="auto"/>
            <w:vAlign w:val="center"/>
            <w:hideMark/>
          </w:tcPr>
          <w:p w14:paraId="40D4E1C9" w14:textId="396236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14</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160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c>
          <w:tcPr>
            <w:tcW w:w="1502" w:type="dxa"/>
            <w:tcBorders>
              <w:top w:val="nil"/>
              <w:left w:val="nil"/>
              <w:bottom w:val="nil"/>
              <w:right w:val="nil"/>
            </w:tcBorders>
            <w:shd w:val="clear" w:color="auto" w:fill="auto"/>
            <w:vAlign w:val="center"/>
            <w:hideMark/>
          </w:tcPr>
          <w:p w14:paraId="41E6A5F9"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487A2603" w14:textId="33FDA80E"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120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r>
      <w:tr w:rsidR="00593E7B" w:rsidRPr="00DE058F" w14:paraId="3A2276A5" w14:textId="77777777" w:rsidTr="00C95509">
        <w:trPr>
          <w:trHeight w:val="302"/>
        </w:trPr>
        <w:tc>
          <w:tcPr>
            <w:tcW w:w="665" w:type="dxa"/>
            <w:tcBorders>
              <w:top w:val="nil"/>
              <w:left w:val="nil"/>
              <w:bottom w:val="nil"/>
              <w:right w:val="nil"/>
            </w:tcBorders>
            <w:shd w:val="clear" w:color="auto" w:fill="auto"/>
            <w:vAlign w:val="center"/>
            <w:hideMark/>
          </w:tcPr>
          <w:p w14:paraId="56E43DE9" w14:textId="77777777" w:rsidR="00593E7B" w:rsidRPr="00DE058F" w:rsidRDefault="00593E7B" w:rsidP="00C95509">
            <w:pPr>
              <w:spacing w:after="0" w:line="240" w:lineRule="auto"/>
              <w:jc w:val="center"/>
              <w:rPr>
                <w:rFonts w:ascii="Calibri" w:eastAsia="Times New Roman" w:hAnsi="Calibri" w:cs="Calibri"/>
                <w:color w:val="002060"/>
                <w:szCs w:val="20"/>
                <w:lang w:val="sr-Cyrl-CS" w:eastAsia="en-GB"/>
              </w:rPr>
            </w:pPr>
          </w:p>
        </w:tc>
        <w:tc>
          <w:tcPr>
            <w:tcW w:w="4117" w:type="dxa"/>
            <w:tcBorders>
              <w:top w:val="nil"/>
              <w:left w:val="nil"/>
              <w:bottom w:val="nil"/>
              <w:right w:val="nil"/>
            </w:tcBorders>
            <w:shd w:val="clear" w:color="auto" w:fill="auto"/>
            <w:hideMark/>
          </w:tcPr>
          <w:p w14:paraId="0D27F115" w14:textId="77777777" w:rsidR="00593E7B" w:rsidRPr="00DE058F" w:rsidRDefault="00593E7B" w:rsidP="00C95509">
            <w:pPr>
              <w:spacing w:after="0" w:line="240" w:lineRule="auto"/>
              <w:jc w:val="left"/>
              <w:rPr>
                <w:rFonts w:ascii="Calibri" w:eastAsia="Times New Roman" w:hAnsi="Calibri" w:cs="Calibri"/>
                <w:b/>
                <w:bCs/>
                <w:color w:val="002060"/>
                <w:szCs w:val="20"/>
                <w:lang w:val="sr-Cyrl-CS" w:eastAsia="en-GB"/>
              </w:rPr>
            </w:pPr>
            <w:r w:rsidRPr="00DE058F">
              <w:rPr>
                <w:rFonts w:ascii="Calibri" w:eastAsia="Times New Roman" w:hAnsi="Calibri" w:cs="Calibri"/>
                <w:b/>
                <w:bCs/>
                <w:color w:val="002060"/>
                <w:szCs w:val="20"/>
                <w:lang w:val="sr-Cyrl-CS" w:eastAsia="en-GB"/>
              </w:rPr>
              <w:t>Укупно:</w:t>
            </w:r>
          </w:p>
        </w:tc>
        <w:tc>
          <w:tcPr>
            <w:tcW w:w="1502" w:type="dxa"/>
            <w:tcBorders>
              <w:top w:val="nil"/>
              <w:left w:val="nil"/>
              <w:bottom w:val="nil"/>
              <w:right w:val="nil"/>
            </w:tcBorders>
            <w:shd w:val="clear" w:color="auto" w:fill="auto"/>
            <w:vAlign w:val="center"/>
            <w:hideMark/>
          </w:tcPr>
          <w:p w14:paraId="50587983" w14:textId="4302CD5B"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78</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133</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903</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904</w:t>
            </w:r>
          </w:p>
        </w:tc>
        <w:tc>
          <w:tcPr>
            <w:tcW w:w="1502" w:type="dxa"/>
            <w:tcBorders>
              <w:top w:val="nil"/>
              <w:left w:val="nil"/>
              <w:bottom w:val="nil"/>
              <w:right w:val="nil"/>
            </w:tcBorders>
            <w:shd w:val="clear" w:color="auto" w:fill="auto"/>
            <w:vAlign w:val="center"/>
            <w:hideMark/>
          </w:tcPr>
          <w:p w14:paraId="6D3A69FC" w14:textId="77777777"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7500C8C0" w14:textId="48EFA8FE"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662</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151</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728</w:t>
            </w:r>
          </w:p>
        </w:tc>
      </w:tr>
      <w:tr w:rsidR="00593E7B" w:rsidRPr="00DE058F" w14:paraId="701759E5" w14:textId="77777777" w:rsidTr="00C95509">
        <w:trPr>
          <w:trHeight w:val="483"/>
        </w:trPr>
        <w:tc>
          <w:tcPr>
            <w:tcW w:w="665" w:type="dxa"/>
            <w:tcBorders>
              <w:top w:val="nil"/>
              <w:left w:val="nil"/>
              <w:bottom w:val="nil"/>
              <w:right w:val="nil"/>
            </w:tcBorders>
            <w:shd w:val="clear" w:color="000000" w:fill="E7E6E6"/>
            <w:vAlign w:val="center"/>
            <w:hideMark/>
          </w:tcPr>
          <w:p w14:paraId="572E6C62" w14:textId="77777777" w:rsidR="00593E7B" w:rsidRPr="00DE058F" w:rsidRDefault="00593E7B" w:rsidP="00C95509">
            <w:pPr>
              <w:spacing w:after="0" w:line="240" w:lineRule="auto"/>
              <w:jc w:val="left"/>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IV.</w:t>
            </w:r>
          </w:p>
        </w:tc>
        <w:tc>
          <w:tcPr>
            <w:tcW w:w="4117" w:type="dxa"/>
            <w:tcBorders>
              <w:top w:val="nil"/>
              <w:left w:val="nil"/>
              <w:bottom w:val="nil"/>
              <w:right w:val="nil"/>
            </w:tcBorders>
            <w:shd w:val="clear" w:color="000000" w:fill="E7E6E6"/>
            <w:hideMark/>
          </w:tcPr>
          <w:p w14:paraId="2B00E0A4" w14:textId="1E5E18F9" w:rsidR="00593E7B" w:rsidRPr="00DE058F" w:rsidRDefault="00593E7B" w:rsidP="00C95509">
            <w:pPr>
              <w:spacing w:after="0" w:line="240" w:lineRule="auto"/>
              <w:jc w:val="left"/>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 xml:space="preserve">Руској Федерацији (Државна развојна корпорација </w:t>
            </w:r>
            <w:r w:rsidR="006B0391"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VEB.RF</w:t>
            </w:r>
            <w:r w:rsidR="006B0391"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w:t>
            </w:r>
          </w:p>
        </w:tc>
        <w:tc>
          <w:tcPr>
            <w:tcW w:w="1502" w:type="dxa"/>
            <w:tcBorders>
              <w:top w:val="nil"/>
              <w:left w:val="nil"/>
              <w:bottom w:val="nil"/>
              <w:right w:val="nil"/>
            </w:tcBorders>
            <w:shd w:val="clear" w:color="000000" w:fill="E7E6E6"/>
            <w:vAlign w:val="center"/>
            <w:hideMark/>
          </w:tcPr>
          <w:p w14:paraId="5BB6C2C7"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w:t>
            </w:r>
          </w:p>
        </w:tc>
        <w:tc>
          <w:tcPr>
            <w:tcW w:w="1502" w:type="dxa"/>
            <w:tcBorders>
              <w:top w:val="nil"/>
              <w:left w:val="nil"/>
              <w:bottom w:val="nil"/>
              <w:right w:val="nil"/>
            </w:tcBorders>
            <w:shd w:val="clear" w:color="000000" w:fill="E7E6E6"/>
            <w:vAlign w:val="center"/>
            <w:hideMark/>
          </w:tcPr>
          <w:p w14:paraId="0D5B25E9"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w:t>
            </w:r>
          </w:p>
        </w:tc>
        <w:tc>
          <w:tcPr>
            <w:tcW w:w="1502" w:type="dxa"/>
            <w:tcBorders>
              <w:top w:val="nil"/>
              <w:left w:val="nil"/>
              <w:bottom w:val="nil"/>
              <w:right w:val="nil"/>
            </w:tcBorders>
            <w:shd w:val="clear" w:color="000000" w:fill="E7E6E6"/>
            <w:vAlign w:val="center"/>
            <w:hideMark/>
          </w:tcPr>
          <w:p w14:paraId="7CCA1868"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w:t>
            </w:r>
          </w:p>
        </w:tc>
      </w:tr>
      <w:tr w:rsidR="00593E7B" w:rsidRPr="00DE058F" w14:paraId="6AB31B98" w14:textId="77777777" w:rsidTr="00C95509">
        <w:trPr>
          <w:trHeight w:val="496"/>
        </w:trPr>
        <w:tc>
          <w:tcPr>
            <w:tcW w:w="665" w:type="dxa"/>
            <w:tcBorders>
              <w:top w:val="nil"/>
              <w:left w:val="nil"/>
              <w:bottom w:val="nil"/>
              <w:right w:val="nil"/>
            </w:tcBorders>
            <w:shd w:val="clear" w:color="auto" w:fill="auto"/>
            <w:vAlign w:val="center"/>
            <w:hideMark/>
          </w:tcPr>
          <w:p w14:paraId="4AE099CE"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w:t>
            </w:r>
          </w:p>
        </w:tc>
        <w:tc>
          <w:tcPr>
            <w:tcW w:w="4117" w:type="dxa"/>
            <w:tcBorders>
              <w:top w:val="nil"/>
              <w:left w:val="nil"/>
              <w:bottom w:val="nil"/>
              <w:right w:val="nil"/>
            </w:tcBorders>
            <w:shd w:val="clear" w:color="auto" w:fill="auto"/>
            <w:hideMark/>
          </w:tcPr>
          <w:p w14:paraId="2579582B" w14:textId="1FEDF317" w:rsidR="00593E7B" w:rsidRPr="00DE058F" w:rsidRDefault="00593E7B" w:rsidP="00C95509">
            <w:pPr>
              <w:spacing w:after="0" w:line="240" w:lineRule="auto"/>
              <w:jc w:val="lef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ЈП </w:t>
            </w:r>
            <w:r w:rsidR="006B0391"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Електропривреда Србије</w:t>
            </w:r>
            <w:r w:rsidR="006B0391"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 xml:space="preserve">-Ревитализација хидроелектране </w:t>
            </w:r>
            <w:r w:rsidR="006B0391"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Ђердап 2</w:t>
            </w:r>
            <w:r w:rsidR="006B0391" w:rsidRPr="00DE058F">
              <w:rPr>
                <w:rFonts w:ascii="Calibri" w:eastAsia="Times New Roman" w:hAnsi="Calibri" w:cs="Calibri"/>
                <w:color w:val="002060"/>
                <w:sz w:val="18"/>
                <w:szCs w:val="18"/>
                <w:lang w:val="sr-Cyrl-CS" w:eastAsia="en-GB"/>
              </w:rPr>
              <w:t>”</w:t>
            </w:r>
          </w:p>
        </w:tc>
        <w:tc>
          <w:tcPr>
            <w:tcW w:w="1502" w:type="dxa"/>
            <w:tcBorders>
              <w:top w:val="nil"/>
              <w:left w:val="nil"/>
              <w:bottom w:val="nil"/>
              <w:right w:val="nil"/>
            </w:tcBorders>
            <w:shd w:val="clear" w:color="auto" w:fill="auto"/>
            <w:vAlign w:val="center"/>
            <w:hideMark/>
          </w:tcPr>
          <w:p w14:paraId="3B38256A" w14:textId="581EFCE3"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060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c>
          <w:tcPr>
            <w:tcW w:w="1502" w:type="dxa"/>
            <w:tcBorders>
              <w:top w:val="nil"/>
              <w:left w:val="nil"/>
              <w:bottom w:val="nil"/>
              <w:right w:val="nil"/>
            </w:tcBorders>
            <w:shd w:val="clear" w:color="auto" w:fill="auto"/>
            <w:vAlign w:val="center"/>
            <w:hideMark/>
          </w:tcPr>
          <w:p w14:paraId="74002B65"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458DC45E" w14:textId="4EB37B62"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170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r>
      <w:tr w:rsidR="00593E7B" w:rsidRPr="00DE058F" w14:paraId="1D385ADC" w14:textId="77777777" w:rsidTr="00C95509">
        <w:trPr>
          <w:trHeight w:val="498"/>
        </w:trPr>
        <w:tc>
          <w:tcPr>
            <w:tcW w:w="665" w:type="dxa"/>
            <w:tcBorders>
              <w:top w:val="nil"/>
              <w:left w:val="nil"/>
              <w:bottom w:val="nil"/>
              <w:right w:val="nil"/>
            </w:tcBorders>
            <w:shd w:val="clear" w:color="auto" w:fill="auto"/>
            <w:vAlign w:val="center"/>
            <w:hideMark/>
          </w:tcPr>
          <w:p w14:paraId="74368110"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w:t>
            </w:r>
          </w:p>
        </w:tc>
        <w:tc>
          <w:tcPr>
            <w:tcW w:w="4117" w:type="dxa"/>
            <w:tcBorders>
              <w:top w:val="nil"/>
              <w:left w:val="nil"/>
              <w:bottom w:val="nil"/>
              <w:right w:val="nil"/>
            </w:tcBorders>
            <w:shd w:val="clear" w:color="auto" w:fill="auto"/>
            <w:hideMark/>
          </w:tcPr>
          <w:p w14:paraId="6A0243C3" w14:textId="67E3F7F8" w:rsidR="00593E7B" w:rsidRPr="00DE058F" w:rsidRDefault="00593E7B" w:rsidP="00C95509">
            <w:pPr>
              <w:spacing w:after="0" w:line="240" w:lineRule="auto"/>
              <w:jc w:val="lef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ЈП </w:t>
            </w:r>
            <w:r w:rsidR="006B0391"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Електропривреда Србије</w:t>
            </w:r>
            <w:r w:rsidR="006B0391"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 xml:space="preserve"> - Ревитализација блокова ТЕНТ А1 и А2</w:t>
            </w:r>
          </w:p>
        </w:tc>
        <w:tc>
          <w:tcPr>
            <w:tcW w:w="1502" w:type="dxa"/>
            <w:tcBorders>
              <w:top w:val="nil"/>
              <w:left w:val="nil"/>
              <w:bottom w:val="nil"/>
              <w:right w:val="nil"/>
            </w:tcBorders>
            <w:shd w:val="clear" w:color="auto" w:fill="auto"/>
            <w:vAlign w:val="center"/>
            <w:hideMark/>
          </w:tcPr>
          <w:p w14:paraId="73EE80E7" w14:textId="7C16E0E0"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24</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544</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c>
          <w:tcPr>
            <w:tcW w:w="1502" w:type="dxa"/>
            <w:tcBorders>
              <w:top w:val="nil"/>
              <w:left w:val="nil"/>
              <w:bottom w:val="nil"/>
              <w:right w:val="nil"/>
            </w:tcBorders>
            <w:shd w:val="clear" w:color="auto" w:fill="auto"/>
            <w:vAlign w:val="center"/>
            <w:hideMark/>
          </w:tcPr>
          <w:p w14:paraId="1FD421CB"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28213699" w14:textId="5DFC9EA3"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208</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r>
      <w:tr w:rsidR="00593E7B" w:rsidRPr="00DE058F" w14:paraId="3DB143E8" w14:textId="77777777" w:rsidTr="00C95509">
        <w:trPr>
          <w:trHeight w:val="302"/>
        </w:trPr>
        <w:tc>
          <w:tcPr>
            <w:tcW w:w="665" w:type="dxa"/>
            <w:tcBorders>
              <w:top w:val="nil"/>
              <w:left w:val="nil"/>
              <w:bottom w:val="nil"/>
              <w:right w:val="nil"/>
            </w:tcBorders>
            <w:shd w:val="clear" w:color="auto" w:fill="auto"/>
            <w:vAlign w:val="center"/>
            <w:hideMark/>
          </w:tcPr>
          <w:p w14:paraId="16026425"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p>
        </w:tc>
        <w:tc>
          <w:tcPr>
            <w:tcW w:w="4117" w:type="dxa"/>
            <w:tcBorders>
              <w:top w:val="nil"/>
              <w:left w:val="nil"/>
              <w:bottom w:val="nil"/>
              <w:right w:val="nil"/>
            </w:tcBorders>
            <w:shd w:val="clear" w:color="auto" w:fill="auto"/>
            <w:hideMark/>
          </w:tcPr>
          <w:p w14:paraId="74C89816" w14:textId="77777777" w:rsidR="00593E7B" w:rsidRPr="00DE058F" w:rsidRDefault="00593E7B" w:rsidP="00C95509">
            <w:pPr>
              <w:spacing w:after="0" w:line="240" w:lineRule="auto"/>
              <w:jc w:val="left"/>
              <w:rPr>
                <w:rFonts w:ascii="Calibri" w:eastAsia="Times New Roman" w:hAnsi="Calibri" w:cs="Calibri"/>
                <w:b/>
                <w:bCs/>
                <w:color w:val="002060"/>
                <w:szCs w:val="20"/>
                <w:lang w:val="sr-Cyrl-CS" w:eastAsia="en-GB"/>
              </w:rPr>
            </w:pPr>
            <w:r w:rsidRPr="00DE058F">
              <w:rPr>
                <w:rFonts w:ascii="Calibri" w:eastAsia="Times New Roman" w:hAnsi="Calibri" w:cs="Calibri"/>
                <w:b/>
                <w:bCs/>
                <w:color w:val="002060"/>
                <w:szCs w:val="20"/>
                <w:lang w:val="sr-Cyrl-CS" w:eastAsia="en-GB"/>
              </w:rPr>
              <w:t>Укупно:</w:t>
            </w:r>
          </w:p>
        </w:tc>
        <w:tc>
          <w:tcPr>
            <w:tcW w:w="1502" w:type="dxa"/>
            <w:tcBorders>
              <w:top w:val="nil"/>
              <w:left w:val="nil"/>
              <w:bottom w:val="nil"/>
              <w:right w:val="nil"/>
            </w:tcBorders>
            <w:shd w:val="clear" w:color="auto" w:fill="auto"/>
            <w:vAlign w:val="center"/>
            <w:hideMark/>
          </w:tcPr>
          <w:p w14:paraId="4E7F6A1E" w14:textId="39813454"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44</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604</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000</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000</w:t>
            </w:r>
          </w:p>
        </w:tc>
        <w:tc>
          <w:tcPr>
            <w:tcW w:w="1502" w:type="dxa"/>
            <w:tcBorders>
              <w:top w:val="nil"/>
              <w:left w:val="nil"/>
              <w:bottom w:val="nil"/>
              <w:right w:val="nil"/>
            </w:tcBorders>
            <w:shd w:val="clear" w:color="auto" w:fill="auto"/>
            <w:vAlign w:val="center"/>
            <w:hideMark/>
          </w:tcPr>
          <w:p w14:paraId="0916F0EB" w14:textId="77777777"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5025300D" w14:textId="6BD9BE4A"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378</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000</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000</w:t>
            </w:r>
          </w:p>
        </w:tc>
      </w:tr>
      <w:tr w:rsidR="00593E7B" w:rsidRPr="00DE058F" w14:paraId="081B6152" w14:textId="77777777" w:rsidTr="006B0391">
        <w:trPr>
          <w:trHeight w:val="302"/>
        </w:trPr>
        <w:tc>
          <w:tcPr>
            <w:tcW w:w="665" w:type="dxa"/>
            <w:tcBorders>
              <w:top w:val="nil"/>
              <w:left w:val="nil"/>
              <w:bottom w:val="nil"/>
              <w:right w:val="nil"/>
            </w:tcBorders>
            <w:shd w:val="clear" w:color="000000" w:fill="E7E6E6"/>
            <w:vAlign w:val="center"/>
            <w:hideMark/>
          </w:tcPr>
          <w:p w14:paraId="5486E54F" w14:textId="77777777" w:rsidR="00593E7B" w:rsidRPr="00DE058F" w:rsidRDefault="00593E7B" w:rsidP="00C95509">
            <w:pPr>
              <w:spacing w:after="0" w:line="240" w:lineRule="auto"/>
              <w:jc w:val="left"/>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V.</w:t>
            </w:r>
          </w:p>
        </w:tc>
        <w:tc>
          <w:tcPr>
            <w:tcW w:w="4117" w:type="dxa"/>
            <w:tcBorders>
              <w:top w:val="nil"/>
              <w:left w:val="nil"/>
              <w:bottom w:val="nil"/>
              <w:right w:val="nil"/>
            </w:tcBorders>
            <w:shd w:val="clear" w:color="000000" w:fill="E7E6E6"/>
            <w:vAlign w:val="center"/>
            <w:hideMark/>
          </w:tcPr>
          <w:p w14:paraId="5617F338" w14:textId="77777777" w:rsidR="00593E7B" w:rsidRPr="00DE058F" w:rsidRDefault="00593E7B" w:rsidP="006B0391">
            <w:pPr>
              <w:spacing w:after="0" w:line="240" w:lineRule="auto"/>
              <w:jc w:val="left"/>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Републици Француској (Трезор)</w:t>
            </w:r>
          </w:p>
        </w:tc>
        <w:tc>
          <w:tcPr>
            <w:tcW w:w="1502" w:type="dxa"/>
            <w:tcBorders>
              <w:top w:val="nil"/>
              <w:left w:val="nil"/>
              <w:bottom w:val="nil"/>
              <w:right w:val="nil"/>
            </w:tcBorders>
            <w:shd w:val="clear" w:color="000000" w:fill="E7E6E6"/>
            <w:vAlign w:val="center"/>
            <w:hideMark/>
          </w:tcPr>
          <w:p w14:paraId="6FDA9E48"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w:t>
            </w:r>
          </w:p>
        </w:tc>
        <w:tc>
          <w:tcPr>
            <w:tcW w:w="1502" w:type="dxa"/>
            <w:tcBorders>
              <w:top w:val="nil"/>
              <w:left w:val="nil"/>
              <w:bottom w:val="nil"/>
              <w:right w:val="nil"/>
            </w:tcBorders>
            <w:shd w:val="clear" w:color="000000" w:fill="E7E6E6"/>
            <w:vAlign w:val="center"/>
            <w:hideMark/>
          </w:tcPr>
          <w:p w14:paraId="30F7226C"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w:t>
            </w:r>
          </w:p>
        </w:tc>
        <w:tc>
          <w:tcPr>
            <w:tcW w:w="1502" w:type="dxa"/>
            <w:tcBorders>
              <w:top w:val="nil"/>
              <w:left w:val="nil"/>
              <w:bottom w:val="nil"/>
              <w:right w:val="nil"/>
            </w:tcBorders>
            <w:shd w:val="clear" w:color="000000" w:fill="E7E6E6"/>
            <w:vAlign w:val="center"/>
            <w:hideMark/>
          </w:tcPr>
          <w:p w14:paraId="13F0633A"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w:t>
            </w:r>
          </w:p>
        </w:tc>
      </w:tr>
      <w:tr w:rsidR="00593E7B" w:rsidRPr="00DE058F" w14:paraId="55DA84CF" w14:textId="77777777" w:rsidTr="006B0391">
        <w:trPr>
          <w:trHeight w:val="746"/>
        </w:trPr>
        <w:tc>
          <w:tcPr>
            <w:tcW w:w="665" w:type="dxa"/>
            <w:tcBorders>
              <w:top w:val="nil"/>
              <w:left w:val="nil"/>
              <w:bottom w:val="nil"/>
              <w:right w:val="nil"/>
            </w:tcBorders>
            <w:shd w:val="clear" w:color="auto" w:fill="auto"/>
            <w:vAlign w:val="center"/>
            <w:hideMark/>
          </w:tcPr>
          <w:p w14:paraId="1D713193"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w:t>
            </w:r>
          </w:p>
        </w:tc>
        <w:tc>
          <w:tcPr>
            <w:tcW w:w="4117" w:type="dxa"/>
            <w:tcBorders>
              <w:top w:val="nil"/>
              <w:left w:val="nil"/>
              <w:bottom w:val="nil"/>
              <w:right w:val="nil"/>
            </w:tcBorders>
            <w:shd w:val="clear" w:color="auto" w:fill="auto"/>
            <w:vAlign w:val="center"/>
            <w:hideMark/>
          </w:tcPr>
          <w:p w14:paraId="1A87A361" w14:textId="5144734A" w:rsidR="00593E7B" w:rsidRPr="00DE058F" w:rsidRDefault="00593E7B" w:rsidP="006B0391">
            <w:pPr>
              <w:spacing w:after="0" w:line="240" w:lineRule="auto"/>
              <w:jc w:val="lef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Електродистрибуција Србије д.о.о. Београд -Пројекат аутоматизације средњенапонске дистрибутивне мреже</w:t>
            </w:r>
          </w:p>
        </w:tc>
        <w:tc>
          <w:tcPr>
            <w:tcW w:w="1502" w:type="dxa"/>
            <w:tcBorders>
              <w:top w:val="nil"/>
              <w:left w:val="nil"/>
              <w:bottom w:val="nil"/>
              <w:right w:val="nil"/>
            </w:tcBorders>
            <w:shd w:val="clear" w:color="auto" w:fill="auto"/>
            <w:vAlign w:val="center"/>
            <w:hideMark/>
          </w:tcPr>
          <w:p w14:paraId="609384F2" w14:textId="11FDACF4"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873</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096</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096</w:t>
            </w:r>
          </w:p>
        </w:tc>
        <w:tc>
          <w:tcPr>
            <w:tcW w:w="1502" w:type="dxa"/>
            <w:tcBorders>
              <w:top w:val="nil"/>
              <w:left w:val="nil"/>
              <w:bottom w:val="nil"/>
              <w:right w:val="nil"/>
            </w:tcBorders>
            <w:shd w:val="clear" w:color="auto" w:fill="auto"/>
            <w:vAlign w:val="center"/>
            <w:hideMark/>
          </w:tcPr>
          <w:p w14:paraId="16602769"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01D4A56A" w14:textId="73163FCB"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24</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348</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272</w:t>
            </w:r>
          </w:p>
        </w:tc>
      </w:tr>
      <w:tr w:rsidR="00593E7B" w:rsidRPr="00DE058F" w14:paraId="0E4E5888" w14:textId="77777777" w:rsidTr="006B0391">
        <w:trPr>
          <w:trHeight w:val="302"/>
        </w:trPr>
        <w:tc>
          <w:tcPr>
            <w:tcW w:w="665" w:type="dxa"/>
            <w:tcBorders>
              <w:top w:val="nil"/>
              <w:left w:val="nil"/>
              <w:bottom w:val="nil"/>
              <w:right w:val="nil"/>
            </w:tcBorders>
            <w:shd w:val="clear" w:color="auto" w:fill="auto"/>
            <w:vAlign w:val="center"/>
            <w:hideMark/>
          </w:tcPr>
          <w:p w14:paraId="3B25E6F9"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p>
        </w:tc>
        <w:tc>
          <w:tcPr>
            <w:tcW w:w="4117" w:type="dxa"/>
            <w:tcBorders>
              <w:top w:val="nil"/>
              <w:left w:val="nil"/>
              <w:bottom w:val="nil"/>
              <w:right w:val="nil"/>
            </w:tcBorders>
            <w:shd w:val="clear" w:color="auto" w:fill="auto"/>
            <w:vAlign w:val="center"/>
            <w:hideMark/>
          </w:tcPr>
          <w:p w14:paraId="381AACE8" w14:textId="77777777" w:rsidR="00593E7B" w:rsidRPr="00DE058F" w:rsidRDefault="00593E7B" w:rsidP="006B0391">
            <w:pPr>
              <w:spacing w:after="0" w:line="240" w:lineRule="auto"/>
              <w:jc w:val="left"/>
              <w:rPr>
                <w:rFonts w:ascii="Calibri" w:eastAsia="Times New Roman" w:hAnsi="Calibri" w:cs="Calibri"/>
                <w:b/>
                <w:bCs/>
                <w:color w:val="002060"/>
                <w:szCs w:val="20"/>
                <w:lang w:val="sr-Cyrl-CS" w:eastAsia="en-GB"/>
              </w:rPr>
            </w:pPr>
            <w:r w:rsidRPr="00DE058F">
              <w:rPr>
                <w:rFonts w:ascii="Calibri" w:eastAsia="Times New Roman" w:hAnsi="Calibri" w:cs="Calibri"/>
                <w:b/>
                <w:bCs/>
                <w:color w:val="002060"/>
                <w:szCs w:val="20"/>
                <w:lang w:val="sr-Cyrl-CS" w:eastAsia="en-GB"/>
              </w:rPr>
              <w:t>Укупно:</w:t>
            </w:r>
          </w:p>
        </w:tc>
        <w:tc>
          <w:tcPr>
            <w:tcW w:w="1502" w:type="dxa"/>
            <w:tcBorders>
              <w:top w:val="nil"/>
              <w:left w:val="nil"/>
              <w:bottom w:val="nil"/>
              <w:right w:val="nil"/>
            </w:tcBorders>
            <w:shd w:val="clear" w:color="auto" w:fill="auto"/>
            <w:vAlign w:val="center"/>
            <w:hideMark/>
          </w:tcPr>
          <w:p w14:paraId="726820F0" w14:textId="74905243"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2</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873</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096</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096</w:t>
            </w:r>
          </w:p>
        </w:tc>
        <w:tc>
          <w:tcPr>
            <w:tcW w:w="1502" w:type="dxa"/>
            <w:tcBorders>
              <w:top w:val="nil"/>
              <w:left w:val="nil"/>
              <w:bottom w:val="nil"/>
              <w:right w:val="nil"/>
            </w:tcBorders>
            <w:shd w:val="clear" w:color="auto" w:fill="auto"/>
            <w:vAlign w:val="center"/>
            <w:hideMark/>
          </w:tcPr>
          <w:p w14:paraId="1FC47D2B" w14:textId="77777777"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50029657" w14:textId="2C2579E8"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24</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348</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272</w:t>
            </w:r>
          </w:p>
        </w:tc>
      </w:tr>
      <w:tr w:rsidR="00593E7B" w:rsidRPr="00DE058F" w14:paraId="08DA3A26" w14:textId="77777777" w:rsidTr="006B0391">
        <w:trPr>
          <w:trHeight w:val="302"/>
        </w:trPr>
        <w:tc>
          <w:tcPr>
            <w:tcW w:w="665" w:type="dxa"/>
            <w:tcBorders>
              <w:top w:val="nil"/>
              <w:left w:val="nil"/>
              <w:bottom w:val="nil"/>
              <w:right w:val="nil"/>
            </w:tcBorders>
            <w:shd w:val="clear" w:color="000000" w:fill="E7E6E6"/>
            <w:vAlign w:val="center"/>
            <w:hideMark/>
          </w:tcPr>
          <w:p w14:paraId="6EA71379" w14:textId="77777777" w:rsidR="00593E7B" w:rsidRPr="00DE058F" w:rsidRDefault="00593E7B" w:rsidP="00C95509">
            <w:pPr>
              <w:spacing w:after="0" w:line="240" w:lineRule="auto"/>
              <w:jc w:val="left"/>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VI.</w:t>
            </w:r>
          </w:p>
        </w:tc>
        <w:tc>
          <w:tcPr>
            <w:tcW w:w="4117" w:type="dxa"/>
            <w:tcBorders>
              <w:top w:val="nil"/>
              <w:left w:val="nil"/>
              <w:bottom w:val="nil"/>
              <w:right w:val="nil"/>
            </w:tcBorders>
            <w:shd w:val="clear" w:color="000000" w:fill="E7E6E6"/>
            <w:vAlign w:val="center"/>
            <w:hideMark/>
          </w:tcPr>
          <w:p w14:paraId="1AA30065" w14:textId="77777777" w:rsidR="00593E7B" w:rsidRPr="00DE058F" w:rsidRDefault="00593E7B" w:rsidP="006B0391">
            <w:pPr>
              <w:spacing w:after="0" w:line="240" w:lineRule="auto"/>
              <w:jc w:val="left"/>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Европској инвестиционој банци</w:t>
            </w:r>
          </w:p>
        </w:tc>
        <w:tc>
          <w:tcPr>
            <w:tcW w:w="1502" w:type="dxa"/>
            <w:tcBorders>
              <w:top w:val="nil"/>
              <w:left w:val="nil"/>
              <w:bottom w:val="nil"/>
              <w:right w:val="nil"/>
            </w:tcBorders>
            <w:shd w:val="clear" w:color="000000" w:fill="E7E6E6"/>
            <w:vAlign w:val="center"/>
            <w:hideMark/>
          </w:tcPr>
          <w:p w14:paraId="7A52EAD8"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w:t>
            </w:r>
          </w:p>
        </w:tc>
        <w:tc>
          <w:tcPr>
            <w:tcW w:w="1502" w:type="dxa"/>
            <w:tcBorders>
              <w:top w:val="nil"/>
              <w:left w:val="nil"/>
              <w:bottom w:val="nil"/>
              <w:right w:val="nil"/>
            </w:tcBorders>
            <w:shd w:val="clear" w:color="000000" w:fill="E7E6E6"/>
            <w:vAlign w:val="center"/>
            <w:hideMark/>
          </w:tcPr>
          <w:p w14:paraId="5A085D99"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w:t>
            </w:r>
          </w:p>
        </w:tc>
        <w:tc>
          <w:tcPr>
            <w:tcW w:w="1502" w:type="dxa"/>
            <w:tcBorders>
              <w:top w:val="nil"/>
              <w:left w:val="nil"/>
              <w:bottom w:val="nil"/>
              <w:right w:val="nil"/>
            </w:tcBorders>
            <w:shd w:val="clear" w:color="000000" w:fill="E7E6E6"/>
            <w:vAlign w:val="center"/>
            <w:hideMark/>
          </w:tcPr>
          <w:p w14:paraId="0DFB9D9D"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w:t>
            </w:r>
          </w:p>
        </w:tc>
      </w:tr>
      <w:tr w:rsidR="00593E7B" w:rsidRPr="00DE058F" w14:paraId="415DB507" w14:textId="77777777" w:rsidTr="006B0391">
        <w:trPr>
          <w:trHeight w:val="513"/>
        </w:trPr>
        <w:tc>
          <w:tcPr>
            <w:tcW w:w="665" w:type="dxa"/>
            <w:tcBorders>
              <w:top w:val="nil"/>
              <w:left w:val="nil"/>
              <w:bottom w:val="nil"/>
              <w:right w:val="nil"/>
            </w:tcBorders>
            <w:shd w:val="clear" w:color="auto" w:fill="auto"/>
            <w:vAlign w:val="center"/>
            <w:hideMark/>
          </w:tcPr>
          <w:p w14:paraId="36F57A6E"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w:t>
            </w:r>
          </w:p>
        </w:tc>
        <w:tc>
          <w:tcPr>
            <w:tcW w:w="4117" w:type="dxa"/>
            <w:tcBorders>
              <w:top w:val="nil"/>
              <w:left w:val="nil"/>
              <w:bottom w:val="nil"/>
              <w:right w:val="nil"/>
            </w:tcBorders>
            <w:shd w:val="clear" w:color="auto" w:fill="auto"/>
            <w:vAlign w:val="center"/>
            <w:hideMark/>
          </w:tcPr>
          <w:p w14:paraId="02669167" w14:textId="501B833B" w:rsidR="00593E7B" w:rsidRPr="00DE058F" w:rsidRDefault="00593E7B" w:rsidP="006B0391">
            <w:pPr>
              <w:spacing w:after="0" w:line="240" w:lineRule="auto"/>
              <w:jc w:val="lef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Електродистрибуција Србије д.о.о. Београд - Пројекат за паметна бројила</w:t>
            </w:r>
          </w:p>
        </w:tc>
        <w:tc>
          <w:tcPr>
            <w:tcW w:w="1502" w:type="dxa"/>
            <w:tcBorders>
              <w:top w:val="nil"/>
              <w:left w:val="nil"/>
              <w:bottom w:val="nil"/>
              <w:right w:val="nil"/>
            </w:tcBorders>
            <w:shd w:val="clear" w:color="auto" w:fill="auto"/>
            <w:vAlign w:val="center"/>
            <w:hideMark/>
          </w:tcPr>
          <w:p w14:paraId="33E4BBD0" w14:textId="3376822E"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4</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720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c>
          <w:tcPr>
            <w:tcW w:w="1502" w:type="dxa"/>
            <w:tcBorders>
              <w:top w:val="nil"/>
              <w:left w:val="nil"/>
              <w:bottom w:val="nil"/>
              <w:right w:val="nil"/>
            </w:tcBorders>
            <w:shd w:val="clear" w:color="auto" w:fill="auto"/>
            <w:vAlign w:val="center"/>
            <w:hideMark/>
          </w:tcPr>
          <w:p w14:paraId="6905F886" w14:textId="77777777"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EUR</w:t>
            </w:r>
          </w:p>
        </w:tc>
        <w:tc>
          <w:tcPr>
            <w:tcW w:w="1502" w:type="dxa"/>
            <w:tcBorders>
              <w:top w:val="nil"/>
              <w:left w:val="nil"/>
              <w:bottom w:val="nil"/>
              <w:right w:val="nil"/>
            </w:tcBorders>
            <w:shd w:val="clear" w:color="auto" w:fill="auto"/>
            <w:vAlign w:val="center"/>
            <w:hideMark/>
          </w:tcPr>
          <w:p w14:paraId="251C14FB" w14:textId="22F324F5"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40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r w:rsidR="00BE451C"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r>
      <w:tr w:rsidR="00593E7B" w:rsidRPr="00DE058F" w14:paraId="31911F7A" w14:textId="77777777" w:rsidTr="0036237E">
        <w:trPr>
          <w:trHeight w:val="302"/>
        </w:trPr>
        <w:tc>
          <w:tcPr>
            <w:tcW w:w="665" w:type="dxa"/>
            <w:tcBorders>
              <w:top w:val="nil"/>
              <w:left w:val="nil"/>
              <w:bottom w:val="single" w:sz="8" w:space="0" w:color="002060"/>
              <w:right w:val="nil"/>
            </w:tcBorders>
            <w:shd w:val="clear" w:color="auto" w:fill="auto"/>
            <w:vAlign w:val="center"/>
            <w:hideMark/>
          </w:tcPr>
          <w:p w14:paraId="42F6B133" w14:textId="77777777" w:rsidR="00593E7B" w:rsidRPr="00DE058F" w:rsidRDefault="00593E7B" w:rsidP="00C95509">
            <w:pPr>
              <w:spacing w:after="0" w:line="240" w:lineRule="auto"/>
              <w:jc w:val="center"/>
              <w:rPr>
                <w:rFonts w:ascii="Calibri" w:eastAsia="Times New Roman" w:hAnsi="Calibri" w:cs="Calibri"/>
                <w:color w:val="002060"/>
                <w:szCs w:val="20"/>
                <w:lang w:val="sr-Cyrl-CS" w:eastAsia="en-GB"/>
              </w:rPr>
            </w:pPr>
          </w:p>
        </w:tc>
        <w:tc>
          <w:tcPr>
            <w:tcW w:w="4117" w:type="dxa"/>
            <w:tcBorders>
              <w:top w:val="nil"/>
              <w:left w:val="nil"/>
              <w:bottom w:val="single" w:sz="8" w:space="0" w:color="002060"/>
              <w:right w:val="nil"/>
            </w:tcBorders>
            <w:shd w:val="clear" w:color="auto" w:fill="auto"/>
            <w:vAlign w:val="center"/>
            <w:hideMark/>
          </w:tcPr>
          <w:p w14:paraId="0CF8BB56" w14:textId="77777777" w:rsidR="00593E7B" w:rsidRPr="00DE058F" w:rsidRDefault="00593E7B" w:rsidP="006B0391">
            <w:pPr>
              <w:spacing w:after="0" w:line="240" w:lineRule="auto"/>
              <w:jc w:val="left"/>
              <w:rPr>
                <w:rFonts w:ascii="Calibri" w:eastAsia="Times New Roman" w:hAnsi="Calibri" w:cs="Calibri"/>
                <w:b/>
                <w:bCs/>
                <w:color w:val="002060"/>
                <w:szCs w:val="20"/>
                <w:lang w:val="sr-Cyrl-CS" w:eastAsia="en-GB"/>
              </w:rPr>
            </w:pPr>
            <w:r w:rsidRPr="00DE058F">
              <w:rPr>
                <w:rFonts w:ascii="Calibri" w:eastAsia="Times New Roman" w:hAnsi="Calibri" w:cs="Calibri"/>
                <w:b/>
                <w:bCs/>
                <w:color w:val="002060"/>
                <w:szCs w:val="20"/>
                <w:lang w:val="sr-Cyrl-CS" w:eastAsia="en-GB"/>
              </w:rPr>
              <w:t>Укупно:</w:t>
            </w:r>
          </w:p>
        </w:tc>
        <w:tc>
          <w:tcPr>
            <w:tcW w:w="1502" w:type="dxa"/>
            <w:tcBorders>
              <w:top w:val="nil"/>
              <w:left w:val="nil"/>
              <w:bottom w:val="single" w:sz="8" w:space="0" w:color="002060"/>
              <w:right w:val="nil"/>
            </w:tcBorders>
            <w:shd w:val="clear" w:color="auto" w:fill="auto"/>
            <w:vAlign w:val="center"/>
            <w:hideMark/>
          </w:tcPr>
          <w:p w14:paraId="3D37827F" w14:textId="2663F88C"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4</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720</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000</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000</w:t>
            </w:r>
          </w:p>
        </w:tc>
        <w:tc>
          <w:tcPr>
            <w:tcW w:w="1502" w:type="dxa"/>
            <w:tcBorders>
              <w:top w:val="nil"/>
              <w:left w:val="nil"/>
              <w:bottom w:val="single" w:sz="8" w:space="0" w:color="002060"/>
              <w:right w:val="nil"/>
            </w:tcBorders>
            <w:shd w:val="clear" w:color="auto" w:fill="auto"/>
            <w:vAlign w:val="center"/>
            <w:hideMark/>
          </w:tcPr>
          <w:p w14:paraId="15961B14" w14:textId="77777777"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EUR</w:t>
            </w:r>
          </w:p>
        </w:tc>
        <w:tc>
          <w:tcPr>
            <w:tcW w:w="1502" w:type="dxa"/>
            <w:tcBorders>
              <w:top w:val="nil"/>
              <w:left w:val="nil"/>
              <w:bottom w:val="single" w:sz="8" w:space="0" w:color="002060"/>
              <w:right w:val="nil"/>
            </w:tcBorders>
            <w:shd w:val="clear" w:color="auto" w:fill="auto"/>
            <w:vAlign w:val="center"/>
            <w:hideMark/>
          </w:tcPr>
          <w:p w14:paraId="3A99990B" w14:textId="3C00708F"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40</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000</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000</w:t>
            </w:r>
          </w:p>
        </w:tc>
      </w:tr>
      <w:tr w:rsidR="00593E7B" w:rsidRPr="00DE058F" w14:paraId="049C8715" w14:textId="77777777" w:rsidTr="0036237E">
        <w:trPr>
          <w:trHeight w:val="300"/>
        </w:trPr>
        <w:tc>
          <w:tcPr>
            <w:tcW w:w="665" w:type="dxa"/>
            <w:tcBorders>
              <w:top w:val="single" w:sz="8" w:space="0" w:color="002060"/>
              <w:left w:val="nil"/>
              <w:bottom w:val="single" w:sz="8" w:space="0" w:color="002060"/>
              <w:right w:val="nil"/>
            </w:tcBorders>
            <w:shd w:val="clear" w:color="000000" w:fill="E7E6E6"/>
            <w:vAlign w:val="center"/>
            <w:hideMark/>
          </w:tcPr>
          <w:p w14:paraId="2771550D" w14:textId="38D9E248" w:rsidR="00593E7B" w:rsidRPr="00DE058F" w:rsidRDefault="00593E7B" w:rsidP="00C95509">
            <w:pPr>
              <w:spacing w:after="0" w:line="240" w:lineRule="auto"/>
              <w:jc w:val="center"/>
              <w:rPr>
                <w:rFonts w:ascii="Calibri" w:eastAsia="Times New Roman" w:hAnsi="Calibri" w:cs="Calibri"/>
                <w:color w:val="002060"/>
                <w:sz w:val="18"/>
                <w:szCs w:val="18"/>
                <w:lang w:val="sr-Cyrl-CS" w:eastAsia="en-GB"/>
              </w:rPr>
            </w:pPr>
          </w:p>
        </w:tc>
        <w:tc>
          <w:tcPr>
            <w:tcW w:w="4117" w:type="dxa"/>
            <w:tcBorders>
              <w:top w:val="single" w:sz="8" w:space="0" w:color="002060"/>
              <w:left w:val="nil"/>
              <w:bottom w:val="single" w:sz="8" w:space="0" w:color="002060"/>
              <w:right w:val="nil"/>
            </w:tcBorders>
            <w:shd w:val="clear" w:color="000000" w:fill="E7E6E6"/>
            <w:vAlign w:val="center"/>
            <w:hideMark/>
          </w:tcPr>
          <w:p w14:paraId="41D8A35F" w14:textId="77777777" w:rsidR="00593E7B" w:rsidRPr="00DE058F" w:rsidRDefault="00593E7B" w:rsidP="006B0391">
            <w:pPr>
              <w:spacing w:after="0" w:line="240" w:lineRule="auto"/>
              <w:jc w:val="left"/>
              <w:rPr>
                <w:rFonts w:ascii="Calibri" w:eastAsia="Times New Roman" w:hAnsi="Calibri" w:cs="Calibri"/>
                <w:b/>
                <w:bCs/>
                <w:color w:val="002060"/>
                <w:szCs w:val="20"/>
                <w:lang w:val="sr-Cyrl-CS" w:eastAsia="en-GB"/>
              </w:rPr>
            </w:pPr>
            <w:r w:rsidRPr="00DE058F">
              <w:rPr>
                <w:rFonts w:ascii="Calibri" w:eastAsia="Times New Roman" w:hAnsi="Calibri" w:cs="Calibri"/>
                <w:b/>
                <w:bCs/>
                <w:color w:val="002060"/>
                <w:szCs w:val="20"/>
                <w:lang w:val="sr-Cyrl-CS" w:eastAsia="en-GB"/>
              </w:rPr>
              <w:t>УКУПНО:</w:t>
            </w:r>
          </w:p>
        </w:tc>
        <w:tc>
          <w:tcPr>
            <w:tcW w:w="1502" w:type="dxa"/>
            <w:tcBorders>
              <w:top w:val="single" w:sz="8" w:space="0" w:color="002060"/>
              <w:left w:val="nil"/>
              <w:bottom w:val="single" w:sz="8" w:space="0" w:color="002060"/>
              <w:right w:val="nil"/>
            </w:tcBorders>
            <w:shd w:val="clear" w:color="000000" w:fill="E7E6E6"/>
            <w:vAlign w:val="center"/>
            <w:hideMark/>
          </w:tcPr>
          <w:p w14:paraId="2F005093" w14:textId="5426FAC6"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146</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615</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000</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000</w:t>
            </w:r>
          </w:p>
        </w:tc>
        <w:tc>
          <w:tcPr>
            <w:tcW w:w="1502" w:type="dxa"/>
            <w:tcBorders>
              <w:top w:val="single" w:sz="8" w:space="0" w:color="002060"/>
              <w:left w:val="nil"/>
              <w:bottom w:val="single" w:sz="8" w:space="0" w:color="002060"/>
              <w:right w:val="nil"/>
            </w:tcBorders>
            <w:shd w:val="clear" w:color="000000" w:fill="E7E6E6"/>
            <w:vAlign w:val="center"/>
            <w:hideMark/>
          </w:tcPr>
          <w:p w14:paraId="3A1FE1CF" w14:textId="77777777"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ЕUR</w:t>
            </w:r>
          </w:p>
        </w:tc>
        <w:tc>
          <w:tcPr>
            <w:tcW w:w="1502" w:type="dxa"/>
            <w:tcBorders>
              <w:top w:val="single" w:sz="8" w:space="0" w:color="002060"/>
              <w:left w:val="nil"/>
              <w:bottom w:val="single" w:sz="8" w:space="0" w:color="002060"/>
              <w:right w:val="nil"/>
            </w:tcBorders>
            <w:shd w:val="clear" w:color="000000" w:fill="E7E6E6"/>
            <w:vAlign w:val="center"/>
            <w:hideMark/>
          </w:tcPr>
          <w:p w14:paraId="742683D5" w14:textId="515573E3"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1</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242</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500</w:t>
            </w:r>
            <w:r w:rsidR="00BE451C" w:rsidRPr="00DE058F">
              <w:rPr>
                <w:rFonts w:ascii="Calibri" w:eastAsia="Times New Roman" w:hAnsi="Calibri" w:cs="Calibri"/>
                <w:b/>
                <w:bCs/>
                <w:color w:val="002060"/>
                <w:sz w:val="18"/>
                <w:szCs w:val="18"/>
                <w:lang w:val="sr-Cyrl-CS" w:eastAsia="en-GB"/>
              </w:rPr>
              <w:t>.</w:t>
            </w:r>
            <w:r w:rsidRPr="00DE058F">
              <w:rPr>
                <w:rFonts w:ascii="Calibri" w:eastAsia="Times New Roman" w:hAnsi="Calibri" w:cs="Calibri"/>
                <w:b/>
                <w:bCs/>
                <w:color w:val="002060"/>
                <w:sz w:val="18"/>
                <w:szCs w:val="18"/>
                <w:lang w:val="sr-Cyrl-CS" w:eastAsia="en-GB"/>
              </w:rPr>
              <w:t>000</w:t>
            </w:r>
          </w:p>
        </w:tc>
      </w:tr>
    </w:tbl>
    <w:p w14:paraId="41543D2C" w14:textId="77777777" w:rsidR="00593E7B" w:rsidRPr="00DE058F" w:rsidRDefault="00593E7B" w:rsidP="00C95509">
      <w:pPr>
        <w:spacing w:after="120" w:line="276" w:lineRule="auto"/>
        <w:rPr>
          <w:rFonts w:eastAsia="MS PGothic" w:cstheme="minorHAnsi"/>
          <w:sz w:val="16"/>
          <w:szCs w:val="16"/>
          <w:lang w:val="sr-Cyrl-CS" w:eastAsia="ja-JP"/>
        </w:rPr>
        <w:sectPr w:rsidR="00593E7B" w:rsidRPr="00DE058F" w:rsidSect="00C95509">
          <w:type w:val="continuous"/>
          <w:pgSz w:w="12240" w:h="15840" w:code="1"/>
          <w:pgMar w:top="1440" w:right="1440" w:bottom="1440" w:left="1440" w:header="720" w:footer="720" w:gutter="0"/>
          <w:cols w:space="720"/>
          <w:docGrid w:linePitch="360"/>
        </w:sectPr>
      </w:pPr>
      <w:r w:rsidRPr="00DE058F">
        <w:rPr>
          <w:rFonts w:eastAsia="MS PGothic" w:cstheme="minorHAnsi"/>
          <w:sz w:val="16"/>
          <w:szCs w:val="16"/>
          <w:lang w:val="sr-Cyrl-CS" w:eastAsia="ja-JP"/>
        </w:rPr>
        <w:t>Извор: Министарство финансија</w:t>
      </w:r>
    </w:p>
    <w:p w14:paraId="57BB9D38" w14:textId="77777777" w:rsidR="00593E7B" w:rsidRPr="00DE058F" w:rsidRDefault="00593E7B" w:rsidP="00C95509">
      <w:pPr>
        <w:rPr>
          <w:rFonts w:eastAsia="MS PGothic" w:cstheme="minorHAnsi"/>
          <w:szCs w:val="20"/>
          <w:lang w:val="sr-Cyrl-CS" w:eastAsia="ja-JP"/>
        </w:rPr>
      </w:pPr>
      <w:r w:rsidRPr="00DE058F">
        <w:rPr>
          <w:rFonts w:eastAsia="MS PGothic" w:cstheme="minorHAnsi"/>
          <w:szCs w:val="20"/>
          <w:lang w:val="sr-Cyrl-CS" w:eastAsia="ja-JP"/>
        </w:rPr>
        <w:t xml:space="preserve">У наредним годинама није планиран значајнији раст ове категорије расхода. Учешће ових расхода </w:t>
      </w:r>
      <w:r w:rsidRPr="00DE058F">
        <w:rPr>
          <w:rFonts w:eastAsia="MS PGothic" w:cstheme="minorHAnsi"/>
          <w:szCs w:val="20"/>
          <w:lang w:val="sr-Cyrl-CS" w:eastAsia="ja-JP"/>
        </w:rPr>
        <w:t>у БДП креће се у просеку око 0,2% БДП у средњем року.</w:t>
      </w:r>
    </w:p>
    <w:p w14:paraId="538B5E2F" w14:textId="77777777" w:rsidR="00593E7B" w:rsidRPr="00DE058F" w:rsidRDefault="00593E7B" w:rsidP="00C95509">
      <w:pPr>
        <w:rPr>
          <w:rFonts w:eastAsia="MS PGothic" w:cstheme="minorHAnsi"/>
          <w:szCs w:val="20"/>
          <w:lang w:val="sr-Cyrl-CS" w:eastAsia="ja-JP"/>
        </w:rPr>
      </w:pPr>
      <w:r w:rsidRPr="00DE058F">
        <w:rPr>
          <w:rFonts w:eastAsia="MS PGothic" w:cstheme="minorHAnsi"/>
          <w:szCs w:val="20"/>
          <w:lang w:val="sr-Cyrl-CS" w:eastAsia="ja-JP"/>
        </w:rPr>
        <w:lastRenderedPageBreak/>
        <w:t>Структурне реформе јавних и државних предузећа, њихово оспособљавање за тржишну утакмицу и финансијску одрживост, с једне стране, и ограничено и циљано издавање нових гаранција, с друге стране, допринеће умањењу фискалних ризика по овом основу и одржавању расхода у планираним, тј. пројектованим оквирима у наредном средњорочном периоду.</w:t>
      </w:r>
    </w:p>
    <w:p w14:paraId="24A9200C" w14:textId="77777777" w:rsidR="00593E7B" w:rsidRPr="00DE058F" w:rsidRDefault="00593E7B" w:rsidP="00C95509">
      <w:pPr>
        <w:rPr>
          <w:rFonts w:cstheme="minorHAnsi"/>
          <w:b/>
          <w:bCs/>
          <w:color w:val="2F5496" w:themeColor="accent1" w:themeShade="BF"/>
          <w:sz w:val="22"/>
          <w:szCs w:val="20"/>
          <w:lang w:val="sr-Cyrl-CS"/>
        </w:rPr>
      </w:pPr>
      <w:r w:rsidRPr="00DE058F">
        <w:rPr>
          <w:rFonts w:cstheme="minorHAnsi"/>
          <w:b/>
          <w:bCs/>
          <w:color w:val="2F5496" w:themeColor="accent1" w:themeShade="BF"/>
          <w:sz w:val="22"/>
          <w:szCs w:val="20"/>
          <w:lang w:val="sr-Cyrl-CS"/>
        </w:rPr>
        <w:t>Јавна предузећа</w:t>
      </w:r>
    </w:p>
    <w:p w14:paraId="073F2037" w14:textId="77777777" w:rsidR="00593E7B" w:rsidRPr="00DE058F" w:rsidRDefault="00593E7B" w:rsidP="00C95509">
      <w:pPr>
        <w:rPr>
          <w:rFonts w:eastAsia="MS PGothic" w:cstheme="minorHAnsi"/>
          <w:szCs w:val="20"/>
          <w:lang w:val="sr-Cyrl-CS" w:eastAsia="ja-JP"/>
        </w:rPr>
      </w:pPr>
      <w:r w:rsidRPr="00DE058F">
        <w:rPr>
          <w:rFonts w:eastAsia="MS PGothic" w:cstheme="minorHAnsi"/>
          <w:szCs w:val="20"/>
          <w:lang w:val="sr-Cyrl-CS" w:eastAsia="ja-JP"/>
        </w:rPr>
        <w:t>Пословање јавних предузећа представља значајан извор фискалних ризика, како на страни буџетских прихода, тако и на страни расхода. Јавна предузећа се у пословању суочавају са бројним проблемима, од наплате потраживања, до редовног измиривања обавеза према повериоцима, држави и запосленима и сл. Држава као оснивач и њихов једини власник је одговорна за пословање и њихово је последње уточиште у случају неликвидности. Постоји неколико канала кроз које се могу материјализовати фискални ризици везани за пословање јавних предузећа. Највећи, али не и једини ризик, су државне гаранције дате за кредите јавних предузећа. Одрживост, ефикасност и профитабилност јавних предузећа утичу на приходе буџета, односно на износ добити коју уплаћују у буџет. Квалитет производа и услуга које обезбеђују јавна предузећа утичу на ефикасност и профитабилност приватног сектора и у крајњој инстанци на ниво пореза које уплаћују у буџет.</w:t>
      </w:r>
    </w:p>
    <w:p w14:paraId="1BC385C5" w14:textId="022CB148" w:rsidR="00593E7B" w:rsidRPr="00DE058F" w:rsidRDefault="00593E7B" w:rsidP="00C95509">
      <w:pPr>
        <w:rPr>
          <w:rFonts w:eastAsia="MS PGothic" w:cstheme="minorHAnsi"/>
          <w:szCs w:val="20"/>
          <w:lang w:val="sr-Cyrl-CS" w:eastAsia="ja-JP"/>
        </w:rPr>
      </w:pPr>
      <w:r w:rsidRPr="00DE058F">
        <w:rPr>
          <w:rFonts w:eastAsia="MS PGothic" w:cstheme="minorHAnsi"/>
          <w:szCs w:val="20"/>
          <w:lang w:val="sr-Cyrl-CS" w:eastAsia="ja-JP"/>
        </w:rPr>
        <w:t xml:space="preserve">Јавна предузећа представљају значајан сегмент српске привреде који запошљава око </w:t>
      </w:r>
      <w:r w:rsidR="00012A00" w:rsidRPr="00DE058F">
        <w:rPr>
          <w:rFonts w:eastAsia="MS PGothic" w:cstheme="minorHAnsi"/>
          <w:szCs w:val="20"/>
          <w:lang w:val="sr-Cyrl-CS" w:eastAsia="ja-JP"/>
        </w:rPr>
        <w:t xml:space="preserve">69 </w:t>
      </w:r>
      <w:r w:rsidRPr="00DE058F">
        <w:rPr>
          <w:rFonts w:eastAsia="MS PGothic" w:cstheme="minorHAnsi"/>
          <w:szCs w:val="20"/>
          <w:lang w:val="sr-Cyrl-CS" w:eastAsia="ja-JP"/>
        </w:rPr>
        <w:t>хиљад</w:t>
      </w:r>
      <w:r w:rsidR="00012A00" w:rsidRPr="00DE058F">
        <w:rPr>
          <w:rFonts w:eastAsia="MS PGothic" w:cstheme="minorHAnsi"/>
          <w:szCs w:val="20"/>
          <w:lang w:val="sr-Cyrl-CS" w:eastAsia="ja-JP"/>
        </w:rPr>
        <w:t>а</w:t>
      </w:r>
      <w:r w:rsidRPr="00DE058F">
        <w:rPr>
          <w:rFonts w:eastAsia="MS PGothic" w:cstheme="minorHAnsi"/>
          <w:szCs w:val="20"/>
          <w:lang w:val="sr-Cyrl-CS" w:eastAsia="ja-JP"/>
        </w:rPr>
        <w:t xml:space="preserve"> људи. Јавна предузећа се оснивају као друштва за обављање делатности од општег интереса. Њихов рад уређен је Законом о јавним предузећима, који је усвојен у фебруару 2016. године, као и подсекторским законима који дефинишу специфична подручја која нису обухваћена </w:t>
      </w:r>
      <w:r w:rsidRPr="00DE058F">
        <w:rPr>
          <w:rFonts w:eastAsia="MS PGothic" w:cstheme="minorHAnsi"/>
          <w:szCs w:val="20"/>
          <w:lang w:val="sr-Cyrl-CS" w:eastAsia="ja-JP"/>
        </w:rPr>
        <w:t>Законом о јавним предузећима (Закон о енергетици, Закон о привредним друштвима и др).</w:t>
      </w:r>
    </w:p>
    <w:p w14:paraId="36EF9B5A" w14:textId="77777777" w:rsidR="00593E7B" w:rsidRPr="00DE058F" w:rsidRDefault="00593E7B" w:rsidP="00C95509">
      <w:pPr>
        <w:rPr>
          <w:rFonts w:cstheme="minorHAnsi"/>
          <w:b/>
          <w:bCs/>
          <w:color w:val="2F5496" w:themeColor="accent1" w:themeShade="BF"/>
          <w:sz w:val="22"/>
          <w:szCs w:val="20"/>
          <w:lang w:val="sr-Cyrl-CS"/>
        </w:rPr>
      </w:pPr>
      <w:r w:rsidRPr="00DE058F">
        <w:rPr>
          <w:rFonts w:cstheme="minorHAnsi"/>
          <w:b/>
          <w:bCs/>
          <w:color w:val="2F5496" w:themeColor="accent1" w:themeShade="BF"/>
          <w:sz w:val="22"/>
          <w:szCs w:val="20"/>
          <w:lang w:val="sr-Cyrl-CS"/>
        </w:rPr>
        <w:t>Кључни финансијски показатељи пословања јавних предузећа</w:t>
      </w:r>
    </w:p>
    <w:p w14:paraId="21279BCC" w14:textId="77777777" w:rsidR="00593E7B" w:rsidRPr="00DE058F" w:rsidRDefault="00593E7B" w:rsidP="00C95509">
      <w:pPr>
        <w:jc w:val="left"/>
        <w:rPr>
          <w:b/>
          <w:color w:val="2F5496" w:themeColor="accent1" w:themeShade="BF"/>
          <w:lang w:val="sr-Cyrl-CS"/>
        </w:rPr>
      </w:pPr>
      <w:r w:rsidRPr="00DE058F">
        <w:rPr>
          <w:b/>
          <w:color w:val="2F5496" w:themeColor="accent1" w:themeShade="BF"/>
          <w:lang w:val="sr-Cyrl-CS"/>
        </w:rPr>
        <w:t>Резултати пословања јавних предузећа у 2021. години</w:t>
      </w:r>
    </w:p>
    <w:p w14:paraId="07909B42" w14:textId="77777777" w:rsidR="00593E7B" w:rsidRPr="00DE058F" w:rsidRDefault="00593E7B" w:rsidP="00C95509">
      <w:pPr>
        <w:rPr>
          <w:rFonts w:eastAsia="MS PGothic" w:cstheme="minorHAnsi"/>
          <w:szCs w:val="20"/>
          <w:lang w:val="sr-Cyrl-CS" w:eastAsia="ja-JP"/>
        </w:rPr>
      </w:pPr>
      <w:r w:rsidRPr="00DE058F">
        <w:rPr>
          <w:rFonts w:eastAsia="MS PGothic" w:cstheme="minorHAnsi"/>
          <w:szCs w:val="20"/>
          <w:lang w:val="sr-Cyrl-CS" w:eastAsia="ja-JP"/>
        </w:rPr>
        <w:t>Укупна имовина републичких јавних предузећа на крају 2021. године износила је 3.185 млрд динара, док је као крајњи резултат остварен нето губитак у износу од 10,1 млрд динара.</w:t>
      </w:r>
    </w:p>
    <w:p w14:paraId="51A0E4A7" w14:textId="2B97525C" w:rsidR="00593E7B" w:rsidRPr="00DE058F" w:rsidRDefault="00593E7B" w:rsidP="00C95509">
      <w:pPr>
        <w:spacing w:after="40"/>
        <w:jc w:val="center"/>
        <w:rPr>
          <w:rFonts w:eastAsia="MS PGothic" w:cstheme="minorHAnsi"/>
          <w:b/>
          <w:bCs/>
          <w:color w:val="002060"/>
          <w:szCs w:val="20"/>
          <w:lang w:val="sr-Cyrl-CS" w:eastAsia="ja-JP"/>
        </w:rPr>
      </w:pPr>
      <w:r w:rsidRPr="00DE058F">
        <w:rPr>
          <w:rFonts w:eastAsia="MS PGothic" w:cstheme="minorHAnsi"/>
          <w:b/>
          <w:bCs/>
          <w:color w:val="002060"/>
          <w:szCs w:val="20"/>
          <w:lang w:val="sr-Cyrl-CS" w:eastAsia="ja-JP"/>
        </w:rPr>
        <w:t>Табела 1</w:t>
      </w:r>
      <w:r w:rsidR="00623E62" w:rsidRPr="00DE058F">
        <w:rPr>
          <w:rFonts w:eastAsia="MS PGothic" w:cstheme="minorHAnsi"/>
          <w:b/>
          <w:bCs/>
          <w:color w:val="002060"/>
          <w:szCs w:val="20"/>
          <w:lang w:val="sr-Cyrl-CS" w:eastAsia="ja-JP"/>
        </w:rPr>
        <w:t>6</w:t>
      </w:r>
      <w:r w:rsidRPr="00DE058F">
        <w:rPr>
          <w:rFonts w:eastAsia="MS PGothic" w:cstheme="minorHAnsi"/>
          <w:b/>
          <w:bCs/>
          <w:color w:val="002060"/>
          <w:szCs w:val="20"/>
          <w:lang w:val="sr-Cyrl-CS" w:eastAsia="ja-JP"/>
        </w:rPr>
        <w:t>. Главни финансијски показатељи пословања јавних предузећа, млрд дин.</w:t>
      </w:r>
    </w:p>
    <w:tbl>
      <w:tblPr>
        <w:tblW w:w="0" w:type="auto"/>
        <w:jc w:val="center"/>
        <w:tblLook w:val="04A0" w:firstRow="1" w:lastRow="0" w:firstColumn="1" w:lastColumn="0" w:noHBand="0" w:noVBand="1"/>
      </w:tblPr>
      <w:tblGrid>
        <w:gridCol w:w="2931"/>
        <w:gridCol w:w="627"/>
        <w:gridCol w:w="627"/>
      </w:tblGrid>
      <w:tr w:rsidR="00593E7B" w:rsidRPr="00DE058F" w14:paraId="4AD4EE8B" w14:textId="77777777" w:rsidTr="00C95509">
        <w:trPr>
          <w:trHeight w:hRule="exact" w:val="227"/>
          <w:jc w:val="center"/>
        </w:trPr>
        <w:tc>
          <w:tcPr>
            <w:tcW w:w="0" w:type="auto"/>
            <w:tcBorders>
              <w:top w:val="single" w:sz="8" w:space="0" w:color="002060"/>
              <w:left w:val="nil"/>
              <w:bottom w:val="single" w:sz="8" w:space="0" w:color="002060"/>
              <w:right w:val="nil"/>
            </w:tcBorders>
            <w:shd w:val="clear" w:color="auto" w:fill="auto"/>
            <w:noWrap/>
            <w:vAlign w:val="center"/>
            <w:hideMark/>
          </w:tcPr>
          <w:p w14:paraId="2470C4EB"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Опис</w:t>
            </w:r>
          </w:p>
        </w:tc>
        <w:tc>
          <w:tcPr>
            <w:tcW w:w="0" w:type="auto"/>
            <w:tcBorders>
              <w:top w:val="single" w:sz="8" w:space="0" w:color="002060"/>
              <w:left w:val="nil"/>
              <w:bottom w:val="single" w:sz="8" w:space="0" w:color="002060"/>
              <w:right w:val="nil"/>
            </w:tcBorders>
            <w:shd w:val="clear" w:color="auto" w:fill="auto"/>
            <w:noWrap/>
            <w:vAlign w:val="center"/>
            <w:hideMark/>
          </w:tcPr>
          <w:p w14:paraId="153F3494"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2020</w:t>
            </w:r>
          </w:p>
        </w:tc>
        <w:tc>
          <w:tcPr>
            <w:tcW w:w="0" w:type="auto"/>
            <w:tcBorders>
              <w:top w:val="single" w:sz="8" w:space="0" w:color="002060"/>
              <w:left w:val="nil"/>
              <w:bottom w:val="single" w:sz="8" w:space="0" w:color="002060"/>
              <w:right w:val="nil"/>
            </w:tcBorders>
            <w:shd w:val="clear" w:color="auto" w:fill="auto"/>
            <w:noWrap/>
            <w:vAlign w:val="center"/>
            <w:hideMark/>
          </w:tcPr>
          <w:p w14:paraId="34D0D700"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2021</w:t>
            </w:r>
          </w:p>
        </w:tc>
      </w:tr>
      <w:tr w:rsidR="00593E7B" w:rsidRPr="00DE058F" w14:paraId="684C083B" w14:textId="77777777" w:rsidTr="00C95509">
        <w:trPr>
          <w:trHeight w:hRule="exact" w:val="227"/>
          <w:jc w:val="center"/>
        </w:trPr>
        <w:tc>
          <w:tcPr>
            <w:tcW w:w="0" w:type="auto"/>
            <w:tcBorders>
              <w:top w:val="nil"/>
              <w:left w:val="nil"/>
              <w:bottom w:val="nil"/>
              <w:right w:val="nil"/>
            </w:tcBorders>
            <w:shd w:val="clear" w:color="auto" w:fill="auto"/>
            <w:noWrap/>
            <w:vAlign w:val="center"/>
            <w:hideMark/>
          </w:tcPr>
          <w:p w14:paraId="65D038A4"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Укупна имовина</w:t>
            </w:r>
          </w:p>
        </w:tc>
        <w:tc>
          <w:tcPr>
            <w:tcW w:w="0" w:type="auto"/>
            <w:tcBorders>
              <w:top w:val="nil"/>
              <w:left w:val="nil"/>
              <w:bottom w:val="nil"/>
              <w:right w:val="nil"/>
            </w:tcBorders>
            <w:shd w:val="clear" w:color="auto" w:fill="auto"/>
            <w:noWrap/>
            <w:vAlign w:val="center"/>
            <w:hideMark/>
          </w:tcPr>
          <w:p w14:paraId="0019C5DF"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2.654</w:t>
            </w:r>
          </w:p>
        </w:tc>
        <w:tc>
          <w:tcPr>
            <w:tcW w:w="0" w:type="auto"/>
            <w:tcBorders>
              <w:top w:val="nil"/>
              <w:left w:val="nil"/>
              <w:bottom w:val="nil"/>
              <w:right w:val="nil"/>
            </w:tcBorders>
            <w:shd w:val="clear" w:color="auto" w:fill="auto"/>
            <w:noWrap/>
            <w:vAlign w:val="center"/>
          </w:tcPr>
          <w:p w14:paraId="77C8AAC4"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3.185</w:t>
            </w:r>
          </w:p>
        </w:tc>
      </w:tr>
      <w:tr w:rsidR="00593E7B" w:rsidRPr="00DE058F" w14:paraId="315F15BB" w14:textId="77777777" w:rsidTr="00C95509">
        <w:trPr>
          <w:trHeight w:hRule="exact" w:val="227"/>
          <w:jc w:val="center"/>
        </w:trPr>
        <w:tc>
          <w:tcPr>
            <w:tcW w:w="0" w:type="auto"/>
            <w:tcBorders>
              <w:top w:val="nil"/>
              <w:left w:val="nil"/>
              <w:bottom w:val="nil"/>
              <w:right w:val="nil"/>
            </w:tcBorders>
            <w:shd w:val="clear" w:color="auto" w:fill="auto"/>
            <w:noWrap/>
            <w:vAlign w:val="center"/>
            <w:hideMark/>
          </w:tcPr>
          <w:p w14:paraId="47E49D9E"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Сопствени капитал</w:t>
            </w:r>
          </w:p>
        </w:tc>
        <w:tc>
          <w:tcPr>
            <w:tcW w:w="0" w:type="auto"/>
            <w:tcBorders>
              <w:top w:val="nil"/>
              <w:left w:val="nil"/>
              <w:bottom w:val="nil"/>
              <w:right w:val="nil"/>
            </w:tcBorders>
            <w:shd w:val="clear" w:color="auto" w:fill="auto"/>
            <w:noWrap/>
            <w:vAlign w:val="center"/>
            <w:hideMark/>
          </w:tcPr>
          <w:p w14:paraId="287F9C9A"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1.033</w:t>
            </w:r>
          </w:p>
        </w:tc>
        <w:tc>
          <w:tcPr>
            <w:tcW w:w="0" w:type="auto"/>
            <w:tcBorders>
              <w:top w:val="nil"/>
              <w:left w:val="nil"/>
              <w:bottom w:val="nil"/>
              <w:right w:val="nil"/>
            </w:tcBorders>
            <w:shd w:val="clear" w:color="auto" w:fill="auto"/>
            <w:noWrap/>
            <w:vAlign w:val="center"/>
          </w:tcPr>
          <w:p w14:paraId="42A7907E"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1.140</w:t>
            </w:r>
          </w:p>
        </w:tc>
      </w:tr>
      <w:tr w:rsidR="00593E7B" w:rsidRPr="00DE058F" w14:paraId="258A87B1" w14:textId="77777777" w:rsidTr="00C95509">
        <w:trPr>
          <w:trHeight w:hRule="exact" w:val="227"/>
          <w:jc w:val="center"/>
        </w:trPr>
        <w:tc>
          <w:tcPr>
            <w:tcW w:w="0" w:type="auto"/>
            <w:tcBorders>
              <w:top w:val="nil"/>
              <w:left w:val="nil"/>
              <w:bottom w:val="nil"/>
              <w:right w:val="nil"/>
            </w:tcBorders>
            <w:shd w:val="clear" w:color="auto" w:fill="auto"/>
            <w:noWrap/>
            <w:vAlign w:val="center"/>
            <w:hideMark/>
          </w:tcPr>
          <w:p w14:paraId="27D16640"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Укупни приходи</w:t>
            </w:r>
          </w:p>
        </w:tc>
        <w:tc>
          <w:tcPr>
            <w:tcW w:w="0" w:type="auto"/>
            <w:tcBorders>
              <w:top w:val="nil"/>
              <w:left w:val="nil"/>
              <w:bottom w:val="nil"/>
              <w:right w:val="nil"/>
            </w:tcBorders>
            <w:shd w:val="clear" w:color="auto" w:fill="auto"/>
            <w:noWrap/>
            <w:vAlign w:val="center"/>
            <w:hideMark/>
          </w:tcPr>
          <w:p w14:paraId="274C6B62"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536,4</w:t>
            </w:r>
          </w:p>
        </w:tc>
        <w:tc>
          <w:tcPr>
            <w:tcW w:w="0" w:type="auto"/>
            <w:tcBorders>
              <w:top w:val="nil"/>
              <w:left w:val="nil"/>
              <w:bottom w:val="nil"/>
              <w:right w:val="nil"/>
            </w:tcBorders>
            <w:shd w:val="clear" w:color="auto" w:fill="auto"/>
            <w:noWrap/>
            <w:vAlign w:val="center"/>
          </w:tcPr>
          <w:p w14:paraId="39C0690A"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776</w:t>
            </w:r>
          </w:p>
        </w:tc>
      </w:tr>
      <w:tr w:rsidR="00593E7B" w:rsidRPr="00DE058F" w14:paraId="122FB8DF" w14:textId="77777777" w:rsidTr="00C95509">
        <w:trPr>
          <w:trHeight w:hRule="exact" w:val="227"/>
          <w:jc w:val="center"/>
        </w:trPr>
        <w:tc>
          <w:tcPr>
            <w:tcW w:w="0" w:type="auto"/>
            <w:tcBorders>
              <w:top w:val="nil"/>
              <w:left w:val="nil"/>
              <w:bottom w:val="nil"/>
              <w:right w:val="nil"/>
            </w:tcBorders>
            <w:shd w:val="clear" w:color="auto" w:fill="auto"/>
            <w:noWrap/>
            <w:vAlign w:val="center"/>
            <w:hideMark/>
          </w:tcPr>
          <w:p w14:paraId="4E8449B9"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Нето резултат</w:t>
            </w:r>
          </w:p>
        </w:tc>
        <w:tc>
          <w:tcPr>
            <w:tcW w:w="0" w:type="auto"/>
            <w:tcBorders>
              <w:top w:val="nil"/>
              <w:left w:val="nil"/>
              <w:bottom w:val="nil"/>
              <w:right w:val="nil"/>
            </w:tcBorders>
            <w:shd w:val="clear" w:color="auto" w:fill="auto"/>
            <w:noWrap/>
            <w:vAlign w:val="center"/>
            <w:hideMark/>
          </w:tcPr>
          <w:p w14:paraId="440D0F6E"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15,2</w:t>
            </w:r>
          </w:p>
        </w:tc>
        <w:tc>
          <w:tcPr>
            <w:tcW w:w="0" w:type="auto"/>
            <w:tcBorders>
              <w:top w:val="nil"/>
              <w:left w:val="nil"/>
              <w:bottom w:val="nil"/>
              <w:right w:val="nil"/>
            </w:tcBorders>
            <w:shd w:val="clear" w:color="auto" w:fill="auto"/>
            <w:noWrap/>
            <w:vAlign w:val="center"/>
          </w:tcPr>
          <w:p w14:paraId="4415C4E7"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-10,1</w:t>
            </w:r>
          </w:p>
        </w:tc>
      </w:tr>
      <w:tr w:rsidR="00593E7B" w:rsidRPr="00DE058F" w14:paraId="388DCFA8" w14:textId="77777777" w:rsidTr="00C95509">
        <w:trPr>
          <w:trHeight w:hRule="exact" w:val="227"/>
          <w:jc w:val="center"/>
        </w:trPr>
        <w:tc>
          <w:tcPr>
            <w:tcW w:w="0" w:type="auto"/>
            <w:tcBorders>
              <w:top w:val="nil"/>
              <w:left w:val="nil"/>
              <w:bottom w:val="nil"/>
              <w:right w:val="nil"/>
            </w:tcBorders>
            <w:shd w:val="clear" w:color="auto" w:fill="auto"/>
            <w:noWrap/>
            <w:vAlign w:val="center"/>
            <w:hideMark/>
          </w:tcPr>
          <w:p w14:paraId="4BD40C84"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Субвенције</w:t>
            </w:r>
          </w:p>
        </w:tc>
        <w:tc>
          <w:tcPr>
            <w:tcW w:w="0" w:type="auto"/>
            <w:tcBorders>
              <w:top w:val="nil"/>
              <w:left w:val="nil"/>
              <w:bottom w:val="nil"/>
              <w:right w:val="nil"/>
            </w:tcBorders>
            <w:shd w:val="clear" w:color="auto" w:fill="auto"/>
            <w:noWrap/>
            <w:vAlign w:val="center"/>
            <w:hideMark/>
          </w:tcPr>
          <w:p w14:paraId="20F10510"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66,7</w:t>
            </w:r>
          </w:p>
        </w:tc>
        <w:tc>
          <w:tcPr>
            <w:tcW w:w="0" w:type="auto"/>
            <w:tcBorders>
              <w:top w:val="nil"/>
              <w:left w:val="nil"/>
              <w:bottom w:val="nil"/>
              <w:right w:val="nil"/>
            </w:tcBorders>
            <w:shd w:val="clear" w:color="auto" w:fill="auto"/>
            <w:noWrap/>
            <w:vAlign w:val="center"/>
          </w:tcPr>
          <w:p w14:paraId="595BF9DF"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88,5</w:t>
            </w:r>
          </w:p>
        </w:tc>
      </w:tr>
      <w:tr w:rsidR="00593E7B" w:rsidRPr="00DE058F" w14:paraId="72E4900D" w14:textId="77777777" w:rsidTr="00C95509">
        <w:trPr>
          <w:trHeight w:hRule="exact" w:val="227"/>
          <w:jc w:val="center"/>
        </w:trPr>
        <w:tc>
          <w:tcPr>
            <w:tcW w:w="0" w:type="auto"/>
            <w:tcBorders>
              <w:top w:val="nil"/>
              <w:left w:val="nil"/>
              <w:bottom w:val="single" w:sz="8" w:space="0" w:color="002060"/>
              <w:right w:val="nil"/>
            </w:tcBorders>
            <w:shd w:val="clear" w:color="auto" w:fill="auto"/>
            <w:noWrap/>
            <w:vAlign w:val="center"/>
            <w:hideMark/>
          </w:tcPr>
          <w:p w14:paraId="33642C3C"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Субвенције, без ЈП „Путеви Србије”</w:t>
            </w:r>
          </w:p>
        </w:tc>
        <w:tc>
          <w:tcPr>
            <w:tcW w:w="0" w:type="auto"/>
            <w:tcBorders>
              <w:top w:val="nil"/>
              <w:left w:val="nil"/>
              <w:bottom w:val="single" w:sz="8" w:space="0" w:color="002060"/>
              <w:right w:val="nil"/>
            </w:tcBorders>
            <w:shd w:val="clear" w:color="auto" w:fill="auto"/>
            <w:noWrap/>
            <w:vAlign w:val="center"/>
            <w:hideMark/>
          </w:tcPr>
          <w:p w14:paraId="2501C939"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39,6</w:t>
            </w:r>
          </w:p>
        </w:tc>
        <w:tc>
          <w:tcPr>
            <w:tcW w:w="0" w:type="auto"/>
            <w:tcBorders>
              <w:top w:val="nil"/>
              <w:left w:val="nil"/>
              <w:bottom w:val="single" w:sz="8" w:space="0" w:color="002060"/>
              <w:right w:val="nil"/>
            </w:tcBorders>
            <w:shd w:val="clear" w:color="auto" w:fill="auto"/>
            <w:noWrap/>
            <w:vAlign w:val="center"/>
          </w:tcPr>
          <w:p w14:paraId="509157DD"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59,3</w:t>
            </w:r>
          </w:p>
        </w:tc>
      </w:tr>
    </w:tbl>
    <w:p w14:paraId="45772999" w14:textId="77777777" w:rsidR="00593E7B" w:rsidRPr="00DE058F" w:rsidRDefault="00593E7B" w:rsidP="00623E62">
      <w:pPr>
        <w:spacing w:after="40" w:line="276" w:lineRule="auto"/>
        <w:ind w:left="57"/>
        <w:rPr>
          <w:rFonts w:eastAsia="MS PGothic" w:cstheme="minorHAnsi"/>
          <w:sz w:val="16"/>
          <w:szCs w:val="16"/>
          <w:vertAlign w:val="superscript"/>
          <w:lang w:val="sr-Cyrl-CS" w:eastAsia="ja-JP"/>
        </w:rPr>
      </w:pPr>
      <w:r w:rsidRPr="00DE058F">
        <w:rPr>
          <w:rFonts w:eastAsia="MS PGothic" w:cstheme="minorHAnsi"/>
          <w:sz w:val="16"/>
          <w:szCs w:val="16"/>
          <w:lang w:val="sr-Cyrl-CS" w:eastAsia="ja-JP"/>
        </w:rPr>
        <w:t>Извор: Финансијски извештаји за 2020. и 2021. годину</w:t>
      </w:r>
    </w:p>
    <w:p w14:paraId="0783BB8F" w14:textId="3E7BE38D" w:rsidR="00593E7B" w:rsidRPr="00DE058F" w:rsidRDefault="00593E7B" w:rsidP="00C95509">
      <w:pPr>
        <w:rPr>
          <w:rFonts w:eastAsia="MS PGothic" w:cstheme="minorHAnsi"/>
          <w:szCs w:val="20"/>
          <w:lang w:val="sr-Cyrl-CS" w:eastAsia="ja-JP"/>
        </w:rPr>
      </w:pPr>
      <w:r w:rsidRPr="00DE058F">
        <w:rPr>
          <w:rFonts w:eastAsia="MS PGothic" w:cstheme="minorHAnsi"/>
          <w:szCs w:val="20"/>
          <w:lang w:val="sr-Cyrl-CS" w:eastAsia="ja-JP"/>
        </w:rPr>
        <w:t>У 2021. години субвенције су, изражене у проценту укупних прихода, на нижем нивоу у односу на претходну годину и чине 11,4% укупних прихода јавних предузећа. Одређене субвенције имају капитални карактер</w:t>
      </w:r>
      <w:r w:rsidR="00291CA6" w:rsidRPr="00DE058F">
        <w:rPr>
          <w:rFonts w:eastAsia="MS PGothic" w:cstheme="minorHAnsi"/>
          <w:szCs w:val="20"/>
          <w:lang w:val="sr-Cyrl-CS" w:eastAsia="ja-JP"/>
        </w:rPr>
        <w:t>,</w:t>
      </w:r>
      <w:r w:rsidRPr="00DE058F">
        <w:rPr>
          <w:rFonts w:eastAsia="MS PGothic" w:cstheme="minorHAnsi"/>
          <w:szCs w:val="20"/>
          <w:lang w:val="sr-Cyrl-CS" w:eastAsia="ja-JP"/>
        </w:rPr>
        <w:t xml:space="preserve"> као што су субвенције за ЈП „Путеви Србије</w:t>
      </w:r>
      <w:r w:rsidRPr="00DE058F">
        <w:rPr>
          <w:rFonts w:eastAsia="MS PGothic" w:cstheme="minorHAnsi"/>
          <w:bCs/>
          <w:szCs w:val="20"/>
          <w:lang w:val="sr-Cyrl-CS" w:eastAsia="ja-JP"/>
        </w:rPr>
        <w:t>”</w:t>
      </w:r>
      <w:r w:rsidRPr="00DE058F">
        <w:rPr>
          <w:rFonts w:eastAsia="MS PGothic" w:cstheme="minorHAnsi"/>
          <w:szCs w:val="20"/>
          <w:lang w:val="sr-Cyrl-CS" w:eastAsia="ja-JP"/>
        </w:rPr>
        <w:t>, које су намењене реконструкцији путне инфраструктуре.</w:t>
      </w:r>
    </w:p>
    <w:p w14:paraId="63BF22C8" w14:textId="77777777" w:rsidR="00593E7B" w:rsidRPr="00DE058F" w:rsidRDefault="00593E7B" w:rsidP="00C95509">
      <w:pPr>
        <w:jc w:val="left"/>
        <w:rPr>
          <w:b/>
          <w:color w:val="2F5496" w:themeColor="accent1" w:themeShade="BF"/>
          <w:lang w:val="sr-Cyrl-CS"/>
        </w:rPr>
      </w:pPr>
      <w:r w:rsidRPr="00DE058F">
        <w:rPr>
          <w:b/>
          <w:color w:val="2F5496" w:themeColor="accent1" w:themeShade="BF"/>
          <w:lang w:val="sr-Cyrl-CS"/>
        </w:rPr>
        <w:t>Резултати пословања јавних предузећа у првом кварталу 2022. године</w:t>
      </w:r>
    </w:p>
    <w:p w14:paraId="36A63796" w14:textId="77777777" w:rsidR="00593E7B" w:rsidRPr="00DE058F" w:rsidRDefault="00593E7B" w:rsidP="005726C0">
      <w:pPr>
        <w:spacing w:after="560"/>
        <w:rPr>
          <w:rFonts w:eastAsia="MS PGothic" w:cstheme="minorHAnsi"/>
          <w:szCs w:val="20"/>
          <w:lang w:val="sr-Cyrl-CS" w:eastAsia="ja-JP"/>
        </w:rPr>
      </w:pPr>
      <w:r w:rsidRPr="00DE058F">
        <w:rPr>
          <w:rFonts w:eastAsia="MS PGothic" w:cstheme="minorHAnsi"/>
          <w:szCs w:val="20"/>
          <w:lang w:val="sr-Cyrl-CS" w:eastAsia="ja-JP"/>
        </w:rPr>
        <w:t>Укупан нето резултат утврђен у првом кварталу 2022. године је губитак у износу од 21,4 млрд динара. Резултат текуће године је прецењен за трошкове амортизације ЈП „Путеви Србије</w:t>
      </w:r>
      <w:r w:rsidRPr="00DE058F">
        <w:rPr>
          <w:rFonts w:eastAsia="MS PGothic" w:cstheme="minorHAnsi"/>
          <w:bCs/>
          <w:szCs w:val="20"/>
          <w:lang w:val="sr-Cyrl-CS" w:eastAsia="ja-JP"/>
        </w:rPr>
        <w:t>”</w:t>
      </w:r>
      <w:r w:rsidRPr="00DE058F">
        <w:rPr>
          <w:rFonts w:eastAsia="MS PGothic" w:cstheme="minorHAnsi"/>
          <w:szCs w:val="20"/>
          <w:lang w:val="sr-Cyrl-CS" w:eastAsia="ja-JP"/>
        </w:rPr>
        <w:t>, јер предузеће ове трошкове књижи тек на крају године у целокупном износу за дату годину.</w:t>
      </w:r>
    </w:p>
    <w:p w14:paraId="21AF42AC" w14:textId="77777777" w:rsidR="00593E7B" w:rsidRPr="00DE058F" w:rsidRDefault="00593E7B" w:rsidP="00C95509">
      <w:pPr>
        <w:spacing w:after="120" w:line="276" w:lineRule="auto"/>
        <w:rPr>
          <w:rFonts w:eastAsia="MS PGothic" w:cstheme="minorHAnsi"/>
          <w:szCs w:val="20"/>
          <w:lang w:val="sr-Cyrl-CS" w:eastAsia="ja-JP"/>
        </w:rPr>
        <w:sectPr w:rsidR="00593E7B" w:rsidRPr="00DE058F" w:rsidSect="00C95509">
          <w:type w:val="continuous"/>
          <w:pgSz w:w="12240" w:h="15840" w:code="1"/>
          <w:pgMar w:top="1440" w:right="1440" w:bottom="1440" w:left="1440" w:header="720" w:footer="720" w:gutter="0"/>
          <w:cols w:num="2" w:space="720"/>
          <w:docGrid w:linePitch="360"/>
        </w:sectPr>
      </w:pPr>
    </w:p>
    <w:p w14:paraId="5B9D7768" w14:textId="3E487E74" w:rsidR="00593E7B" w:rsidRPr="00DE058F" w:rsidRDefault="00593E7B" w:rsidP="00C95509">
      <w:pPr>
        <w:spacing w:after="0" w:line="276" w:lineRule="auto"/>
        <w:jc w:val="center"/>
        <w:rPr>
          <w:rFonts w:eastAsia="MS PGothic" w:cstheme="minorHAnsi"/>
          <w:b/>
          <w:bCs/>
          <w:color w:val="002060"/>
          <w:szCs w:val="20"/>
          <w:lang w:val="sr-Cyrl-CS" w:eastAsia="ja-JP"/>
        </w:rPr>
      </w:pPr>
      <w:r w:rsidRPr="00DE058F">
        <w:rPr>
          <w:rFonts w:eastAsia="MS PGothic" w:cstheme="minorHAnsi"/>
          <w:b/>
          <w:bCs/>
          <w:color w:val="002060"/>
          <w:szCs w:val="20"/>
          <w:lang w:val="sr-Cyrl-CS" w:eastAsia="ja-JP"/>
        </w:rPr>
        <w:t>Табела 1</w:t>
      </w:r>
      <w:r w:rsidR="00623E62" w:rsidRPr="00DE058F">
        <w:rPr>
          <w:rFonts w:eastAsia="MS PGothic" w:cstheme="minorHAnsi"/>
          <w:b/>
          <w:bCs/>
          <w:color w:val="002060"/>
          <w:szCs w:val="20"/>
          <w:lang w:val="sr-Cyrl-CS" w:eastAsia="ja-JP"/>
        </w:rPr>
        <w:t>7</w:t>
      </w:r>
      <w:r w:rsidRPr="00DE058F">
        <w:rPr>
          <w:rFonts w:eastAsia="MS PGothic" w:cstheme="minorHAnsi"/>
          <w:b/>
          <w:bCs/>
          <w:color w:val="002060"/>
          <w:szCs w:val="20"/>
          <w:lang w:val="sr-Cyrl-CS" w:eastAsia="ja-JP"/>
        </w:rPr>
        <w:t>. Основни показатељи пословања ЈП на дан 31.03.2022. године, у млрд динара</w:t>
      </w:r>
    </w:p>
    <w:tbl>
      <w:tblPr>
        <w:tblW w:w="9239" w:type="dxa"/>
        <w:tblLayout w:type="fixed"/>
        <w:tblLook w:val="04A0" w:firstRow="1" w:lastRow="0" w:firstColumn="1" w:lastColumn="0" w:noHBand="0" w:noVBand="1"/>
      </w:tblPr>
      <w:tblGrid>
        <w:gridCol w:w="3119"/>
        <w:gridCol w:w="2040"/>
        <w:gridCol w:w="2040"/>
        <w:gridCol w:w="2040"/>
      </w:tblGrid>
      <w:tr w:rsidR="00593E7B" w:rsidRPr="00DE058F" w14:paraId="18DCFD72" w14:textId="77777777" w:rsidTr="00C95509">
        <w:trPr>
          <w:trHeight w:hRule="exact" w:val="227"/>
          <w:tblHeader/>
        </w:trPr>
        <w:tc>
          <w:tcPr>
            <w:tcW w:w="3119" w:type="dxa"/>
            <w:tcBorders>
              <w:top w:val="single" w:sz="8" w:space="0" w:color="002060"/>
              <w:left w:val="nil"/>
              <w:bottom w:val="single" w:sz="8" w:space="0" w:color="002060"/>
              <w:right w:val="nil"/>
            </w:tcBorders>
            <w:shd w:val="clear" w:color="auto" w:fill="auto"/>
            <w:noWrap/>
            <w:vAlign w:val="center"/>
            <w:hideMark/>
          </w:tcPr>
          <w:p w14:paraId="42FAB017"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Показатељи пословања</w:t>
            </w:r>
          </w:p>
        </w:tc>
        <w:tc>
          <w:tcPr>
            <w:tcW w:w="2040" w:type="dxa"/>
            <w:tcBorders>
              <w:top w:val="single" w:sz="8" w:space="0" w:color="002060"/>
              <w:left w:val="nil"/>
              <w:bottom w:val="single" w:sz="8" w:space="0" w:color="002060"/>
              <w:right w:val="nil"/>
            </w:tcBorders>
            <w:shd w:val="clear" w:color="auto" w:fill="auto"/>
            <w:noWrap/>
            <w:vAlign w:val="center"/>
            <w:hideMark/>
          </w:tcPr>
          <w:p w14:paraId="26423DFF"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2020</w:t>
            </w:r>
          </w:p>
        </w:tc>
        <w:tc>
          <w:tcPr>
            <w:tcW w:w="2040" w:type="dxa"/>
            <w:tcBorders>
              <w:top w:val="single" w:sz="8" w:space="0" w:color="002060"/>
              <w:left w:val="nil"/>
              <w:bottom w:val="single" w:sz="8" w:space="0" w:color="002060"/>
              <w:right w:val="nil"/>
            </w:tcBorders>
            <w:shd w:val="clear" w:color="auto" w:fill="auto"/>
            <w:noWrap/>
            <w:vAlign w:val="center"/>
            <w:hideMark/>
          </w:tcPr>
          <w:p w14:paraId="565118BB"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2021</w:t>
            </w:r>
          </w:p>
        </w:tc>
        <w:tc>
          <w:tcPr>
            <w:tcW w:w="2040" w:type="dxa"/>
            <w:tcBorders>
              <w:top w:val="single" w:sz="8" w:space="0" w:color="002060"/>
              <w:left w:val="nil"/>
              <w:bottom w:val="single" w:sz="8" w:space="0" w:color="002060"/>
              <w:right w:val="nil"/>
            </w:tcBorders>
            <w:shd w:val="clear" w:color="auto" w:fill="auto"/>
            <w:noWrap/>
            <w:vAlign w:val="center"/>
            <w:hideMark/>
          </w:tcPr>
          <w:p w14:paraId="002EA783"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01.01–31.03.2022.</w:t>
            </w:r>
          </w:p>
        </w:tc>
      </w:tr>
      <w:tr w:rsidR="00593E7B" w:rsidRPr="00DE058F" w14:paraId="06D57244" w14:textId="77777777" w:rsidTr="00C95509">
        <w:trPr>
          <w:trHeight w:hRule="exact" w:val="227"/>
        </w:trPr>
        <w:tc>
          <w:tcPr>
            <w:tcW w:w="3119" w:type="dxa"/>
            <w:tcBorders>
              <w:top w:val="nil"/>
              <w:left w:val="nil"/>
              <w:bottom w:val="nil"/>
              <w:right w:val="nil"/>
            </w:tcBorders>
            <w:shd w:val="clear" w:color="auto" w:fill="auto"/>
            <w:noWrap/>
            <w:vAlign w:val="center"/>
            <w:hideMark/>
          </w:tcPr>
          <w:p w14:paraId="70F3C25F"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Пословни приходи</w:t>
            </w:r>
          </w:p>
        </w:tc>
        <w:tc>
          <w:tcPr>
            <w:tcW w:w="2040" w:type="dxa"/>
            <w:tcBorders>
              <w:top w:val="nil"/>
              <w:left w:val="nil"/>
              <w:bottom w:val="nil"/>
              <w:right w:val="nil"/>
            </w:tcBorders>
            <w:shd w:val="clear" w:color="auto" w:fill="auto"/>
            <w:noWrap/>
            <w:vAlign w:val="center"/>
          </w:tcPr>
          <w:p w14:paraId="5274BB6A"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504,5</w:t>
            </w:r>
          </w:p>
        </w:tc>
        <w:tc>
          <w:tcPr>
            <w:tcW w:w="2040" w:type="dxa"/>
            <w:tcBorders>
              <w:top w:val="nil"/>
              <w:left w:val="nil"/>
              <w:bottom w:val="nil"/>
              <w:right w:val="nil"/>
            </w:tcBorders>
            <w:shd w:val="clear" w:color="auto" w:fill="auto"/>
            <w:noWrap/>
            <w:vAlign w:val="center"/>
          </w:tcPr>
          <w:p w14:paraId="6346BC21"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739,5</w:t>
            </w:r>
          </w:p>
        </w:tc>
        <w:tc>
          <w:tcPr>
            <w:tcW w:w="2040" w:type="dxa"/>
            <w:tcBorders>
              <w:top w:val="nil"/>
              <w:left w:val="nil"/>
              <w:bottom w:val="nil"/>
              <w:right w:val="nil"/>
            </w:tcBorders>
            <w:shd w:val="clear" w:color="auto" w:fill="auto"/>
            <w:noWrap/>
            <w:vAlign w:val="center"/>
          </w:tcPr>
          <w:p w14:paraId="2BAC2A09"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264,5</w:t>
            </w:r>
          </w:p>
        </w:tc>
      </w:tr>
      <w:tr w:rsidR="00593E7B" w:rsidRPr="00DE058F" w14:paraId="2849B21D" w14:textId="77777777" w:rsidTr="00C95509">
        <w:trPr>
          <w:trHeight w:hRule="exact" w:val="227"/>
        </w:trPr>
        <w:tc>
          <w:tcPr>
            <w:tcW w:w="3119" w:type="dxa"/>
            <w:tcBorders>
              <w:top w:val="nil"/>
              <w:left w:val="nil"/>
              <w:bottom w:val="nil"/>
              <w:right w:val="nil"/>
            </w:tcBorders>
            <w:shd w:val="clear" w:color="auto" w:fill="auto"/>
            <w:noWrap/>
            <w:vAlign w:val="center"/>
            <w:hideMark/>
          </w:tcPr>
          <w:p w14:paraId="458D49C2"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Пословни расходи</w:t>
            </w:r>
          </w:p>
        </w:tc>
        <w:tc>
          <w:tcPr>
            <w:tcW w:w="2040" w:type="dxa"/>
            <w:tcBorders>
              <w:top w:val="nil"/>
              <w:left w:val="nil"/>
              <w:bottom w:val="nil"/>
              <w:right w:val="nil"/>
            </w:tcBorders>
            <w:shd w:val="clear" w:color="auto" w:fill="auto"/>
            <w:noWrap/>
            <w:vAlign w:val="center"/>
          </w:tcPr>
          <w:p w14:paraId="58537403"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468,2</w:t>
            </w:r>
          </w:p>
          <w:p w14:paraId="14967D72"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p>
        </w:tc>
        <w:tc>
          <w:tcPr>
            <w:tcW w:w="2040" w:type="dxa"/>
            <w:tcBorders>
              <w:top w:val="nil"/>
              <w:left w:val="nil"/>
              <w:bottom w:val="nil"/>
              <w:right w:val="nil"/>
            </w:tcBorders>
            <w:shd w:val="clear" w:color="auto" w:fill="auto"/>
            <w:noWrap/>
            <w:vAlign w:val="center"/>
          </w:tcPr>
          <w:p w14:paraId="6C573688"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741,1</w:t>
            </w:r>
          </w:p>
        </w:tc>
        <w:tc>
          <w:tcPr>
            <w:tcW w:w="2040" w:type="dxa"/>
            <w:tcBorders>
              <w:top w:val="nil"/>
              <w:left w:val="nil"/>
              <w:bottom w:val="nil"/>
              <w:right w:val="nil"/>
            </w:tcBorders>
            <w:shd w:val="clear" w:color="auto" w:fill="auto"/>
            <w:noWrap/>
            <w:vAlign w:val="center"/>
          </w:tcPr>
          <w:p w14:paraId="68D4017B"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281,2</w:t>
            </w:r>
          </w:p>
        </w:tc>
      </w:tr>
      <w:tr w:rsidR="00593E7B" w:rsidRPr="00DE058F" w14:paraId="49488257" w14:textId="77777777" w:rsidTr="00C95509">
        <w:trPr>
          <w:trHeight w:hRule="exact" w:val="227"/>
        </w:trPr>
        <w:tc>
          <w:tcPr>
            <w:tcW w:w="3119" w:type="dxa"/>
            <w:tcBorders>
              <w:top w:val="nil"/>
              <w:left w:val="nil"/>
              <w:bottom w:val="nil"/>
              <w:right w:val="nil"/>
            </w:tcBorders>
            <w:shd w:val="clear" w:color="auto" w:fill="auto"/>
            <w:noWrap/>
            <w:vAlign w:val="center"/>
            <w:hideMark/>
          </w:tcPr>
          <w:p w14:paraId="2E42C1A0"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Пословна добит</w:t>
            </w:r>
          </w:p>
        </w:tc>
        <w:tc>
          <w:tcPr>
            <w:tcW w:w="2040" w:type="dxa"/>
            <w:tcBorders>
              <w:top w:val="nil"/>
              <w:left w:val="nil"/>
              <w:bottom w:val="nil"/>
              <w:right w:val="nil"/>
            </w:tcBorders>
            <w:shd w:val="clear" w:color="auto" w:fill="auto"/>
            <w:noWrap/>
            <w:vAlign w:val="center"/>
          </w:tcPr>
          <w:p w14:paraId="520AEEB7"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36,1</w:t>
            </w:r>
          </w:p>
        </w:tc>
        <w:tc>
          <w:tcPr>
            <w:tcW w:w="2040" w:type="dxa"/>
            <w:tcBorders>
              <w:top w:val="nil"/>
              <w:left w:val="nil"/>
              <w:bottom w:val="nil"/>
              <w:right w:val="nil"/>
            </w:tcBorders>
            <w:shd w:val="clear" w:color="auto" w:fill="auto"/>
            <w:noWrap/>
            <w:vAlign w:val="center"/>
          </w:tcPr>
          <w:p w14:paraId="0874C949"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-1,6</w:t>
            </w:r>
          </w:p>
        </w:tc>
        <w:tc>
          <w:tcPr>
            <w:tcW w:w="2040" w:type="dxa"/>
            <w:tcBorders>
              <w:top w:val="nil"/>
              <w:left w:val="nil"/>
              <w:bottom w:val="nil"/>
              <w:right w:val="nil"/>
            </w:tcBorders>
            <w:shd w:val="clear" w:color="auto" w:fill="auto"/>
            <w:noWrap/>
            <w:vAlign w:val="center"/>
          </w:tcPr>
          <w:p w14:paraId="035AB117"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-16,6</w:t>
            </w:r>
          </w:p>
        </w:tc>
      </w:tr>
      <w:tr w:rsidR="00593E7B" w:rsidRPr="00DE058F" w14:paraId="1638C9D5" w14:textId="77777777" w:rsidTr="00C95509">
        <w:trPr>
          <w:trHeight w:hRule="exact" w:val="227"/>
        </w:trPr>
        <w:tc>
          <w:tcPr>
            <w:tcW w:w="3119" w:type="dxa"/>
            <w:tcBorders>
              <w:top w:val="nil"/>
              <w:left w:val="nil"/>
              <w:bottom w:val="nil"/>
              <w:right w:val="nil"/>
            </w:tcBorders>
            <w:shd w:val="clear" w:color="auto" w:fill="auto"/>
            <w:noWrap/>
            <w:vAlign w:val="center"/>
            <w:hideMark/>
          </w:tcPr>
          <w:p w14:paraId="7DBD2C47"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Нето резултат</w:t>
            </w:r>
          </w:p>
        </w:tc>
        <w:tc>
          <w:tcPr>
            <w:tcW w:w="2040" w:type="dxa"/>
            <w:tcBorders>
              <w:top w:val="nil"/>
              <w:left w:val="nil"/>
              <w:bottom w:val="nil"/>
              <w:right w:val="nil"/>
            </w:tcBorders>
            <w:shd w:val="clear" w:color="auto" w:fill="auto"/>
            <w:noWrap/>
            <w:vAlign w:val="center"/>
          </w:tcPr>
          <w:p w14:paraId="5D58967A"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15,2</w:t>
            </w:r>
          </w:p>
        </w:tc>
        <w:tc>
          <w:tcPr>
            <w:tcW w:w="2040" w:type="dxa"/>
            <w:tcBorders>
              <w:top w:val="nil"/>
              <w:left w:val="nil"/>
              <w:bottom w:val="nil"/>
              <w:right w:val="nil"/>
            </w:tcBorders>
            <w:shd w:val="clear" w:color="auto" w:fill="auto"/>
            <w:noWrap/>
            <w:vAlign w:val="center"/>
          </w:tcPr>
          <w:p w14:paraId="2A91BBBC"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-10,1</w:t>
            </w:r>
          </w:p>
        </w:tc>
        <w:tc>
          <w:tcPr>
            <w:tcW w:w="2040" w:type="dxa"/>
            <w:tcBorders>
              <w:top w:val="nil"/>
              <w:left w:val="nil"/>
              <w:bottom w:val="nil"/>
              <w:right w:val="nil"/>
            </w:tcBorders>
            <w:shd w:val="clear" w:color="auto" w:fill="auto"/>
            <w:noWrap/>
            <w:vAlign w:val="center"/>
          </w:tcPr>
          <w:p w14:paraId="33DBE6FA"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-21,4</w:t>
            </w:r>
          </w:p>
        </w:tc>
      </w:tr>
      <w:tr w:rsidR="00593E7B" w:rsidRPr="00DE058F" w14:paraId="545D4B36" w14:textId="77777777" w:rsidTr="00C95509">
        <w:trPr>
          <w:trHeight w:hRule="exact" w:val="227"/>
        </w:trPr>
        <w:tc>
          <w:tcPr>
            <w:tcW w:w="3119" w:type="dxa"/>
            <w:tcBorders>
              <w:top w:val="nil"/>
              <w:left w:val="nil"/>
              <w:bottom w:val="nil"/>
              <w:right w:val="nil"/>
            </w:tcBorders>
            <w:shd w:val="clear" w:color="auto" w:fill="auto"/>
            <w:noWrap/>
            <w:vAlign w:val="center"/>
            <w:hideMark/>
          </w:tcPr>
          <w:p w14:paraId="1BA3AF06"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Трошкови зарада*</w:t>
            </w:r>
          </w:p>
        </w:tc>
        <w:tc>
          <w:tcPr>
            <w:tcW w:w="2040" w:type="dxa"/>
            <w:tcBorders>
              <w:top w:val="nil"/>
              <w:left w:val="nil"/>
              <w:bottom w:val="nil"/>
              <w:right w:val="nil"/>
            </w:tcBorders>
            <w:shd w:val="clear" w:color="auto" w:fill="auto"/>
            <w:noWrap/>
            <w:vAlign w:val="center"/>
          </w:tcPr>
          <w:p w14:paraId="717E26F5"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110,8</w:t>
            </w:r>
          </w:p>
        </w:tc>
        <w:tc>
          <w:tcPr>
            <w:tcW w:w="2040" w:type="dxa"/>
            <w:tcBorders>
              <w:top w:val="nil"/>
              <w:left w:val="nil"/>
              <w:bottom w:val="nil"/>
              <w:right w:val="nil"/>
            </w:tcBorders>
            <w:shd w:val="clear" w:color="auto" w:fill="auto"/>
            <w:noWrap/>
            <w:vAlign w:val="center"/>
          </w:tcPr>
          <w:p w14:paraId="0FA98489"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115,0</w:t>
            </w:r>
          </w:p>
        </w:tc>
        <w:tc>
          <w:tcPr>
            <w:tcW w:w="2040" w:type="dxa"/>
            <w:tcBorders>
              <w:top w:val="nil"/>
              <w:left w:val="nil"/>
              <w:bottom w:val="nil"/>
              <w:right w:val="nil"/>
            </w:tcBorders>
            <w:shd w:val="clear" w:color="auto" w:fill="auto"/>
            <w:noWrap/>
            <w:vAlign w:val="center"/>
          </w:tcPr>
          <w:p w14:paraId="754E353D"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28,9</w:t>
            </w:r>
          </w:p>
        </w:tc>
      </w:tr>
      <w:tr w:rsidR="00593E7B" w:rsidRPr="00DE058F" w14:paraId="6A51907D" w14:textId="77777777" w:rsidTr="00C95509">
        <w:trPr>
          <w:trHeight w:hRule="exact" w:val="229"/>
        </w:trPr>
        <w:tc>
          <w:tcPr>
            <w:tcW w:w="3119" w:type="dxa"/>
            <w:tcBorders>
              <w:top w:val="nil"/>
              <w:left w:val="nil"/>
              <w:bottom w:val="single" w:sz="8" w:space="0" w:color="002060"/>
              <w:right w:val="nil"/>
            </w:tcBorders>
            <w:shd w:val="clear" w:color="auto" w:fill="auto"/>
            <w:noWrap/>
            <w:vAlign w:val="center"/>
            <w:hideMark/>
          </w:tcPr>
          <w:p w14:paraId="1A1B3FBF" w14:textId="77777777" w:rsidR="00593E7B" w:rsidRPr="00DE058F" w:rsidRDefault="00593E7B" w:rsidP="00C95509">
            <w:pPr>
              <w:spacing w:after="120" w:line="276" w:lineRule="auto"/>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 xml:space="preserve">Број ЈП која су остварила добит </w:t>
            </w:r>
          </w:p>
        </w:tc>
        <w:tc>
          <w:tcPr>
            <w:tcW w:w="2040" w:type="dxa"/>
            <w:tcBorders>
              <w:top w:val="nil"/>
              <w:left w:val="nil"/>
              <w:bottom w:val="single" w:sz="8" w:space="0" w:color="002060"/>
              <w:right w:val="nil"/>
            </w:tcBorders>
            <w:shd w:val="clear" w:color="auto" w:fill="auto"/>
            <w:noWrap/>
            <w:vAlign w:val="center"/>
          </w:tcPr>
          <w:p w14:paraId="22692FCC"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25</w:t>
            </w:r>
          </w:p>
        </w:tc>
        <w:tc>
          <w:tcPr>
            <w:tcW w:w="2040" w:type="dxa"/>
            <w:tcBorders>
              <w:top w:val="nil"/>
              <w:left w:val="nil"/>
              <w:bottom w:val="single" w:sz="8" w:space="0" w:color="002060"/>
              <w:right w:val="nil"/>
            </w:tcBorders>
            <w:shd w:val="clear" w:color="auto" w:fill="auto"/>
            <w:noWrap/>
            <w:vAlign w:val="center"/>
          </w:tcPr>
          <w:p w14:paraId="385B5B6F"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26</w:t>
            </w:r>
          </w:p>
        </w:tc>
        <w:tc>
          <w:tcPr>
            <w:tcW w:w="2040" w:type="dxa"/>
            <w:tcBorders>
              <w:top w:val="nil"/>
              <w:left w:val="nil"/>
              <w:bottom w:val="single" w:sz="8" w:space="0" w:color="002060"/>
              <w:right w:val="nil"/>
            </w:tcBorders>
            <w:shd w:val="clear" w:color="auto" w:fill="auto"/>
            <w:noWrap/>
            <w:vAlign w:val="center"/>
          </w:tcPr>
          <w:p w14:paraId="23CF7F40" w14:textId="77777777" w:rsidR="00593E7B" w:rsidRPr="00DE058F" w:rsidRDefault="00593E7B" w:rsidP="00C95509">
            <w:pPr>
              <w:spacing w:after="120" w:line="276" w:lineRule="auto"/>
              <w:jc w:val="right"/>
              <w:rPr>
                <w:rFonts w:eastAsia="MS PGothic" w:cstheme="minorHAnsi"/>
                <w:color w:val="002060"/>
                <w:sz w:val="18"/>
                <w:szCs w:val="18"/>
                <w:lang w:val="sr-Cyrl-CS" w:eastAsia="ja-JP"/>
              </w:rPr>
            </w:pPr>
            <w:r w:rsidRPr="00DE058F">
              <w:rPr>
                <w:rFonts w:eastAsia="MS PGothic" w:cstheme="minorHAnsi"/>
                <w:color w:val="002060"/>
                <w:sz w:val="18"/>
                <w:szCs w:val="18"/>
                <w:lang w:val="sr-Cyrl-CS" w:eastAsia="ja-JP"/>
              </w:rPr>
              <w:t>20</w:t>
            </w:r>
          </w:p>
        </w:tc>
      </w:tr>
    </w:tbl>
    <w:p w14:paraId="56210E3C" w14:textId="7E4114CD" w:rsidR="00593E7B" w:rsidRPr="00DE058F" w:rsidRDefault="00593E7B" w:rsidP="00C95509">
      <w:pPr>
        <w:spacing w:before="40" w:after="0" w:line="276" w:lineRule="auto"/>
        <w:rPr>
          <w:rFonts w:eastAsia="MS PGothic" w:cstheme="minorHAnsi"/>
          <w:sz w:val="16"/>
          <w:szCs w:val="16"/>
          <w:lang w:val="sr-Cyrl-CS" w:eastAsia="ja-JP"/>
        </w:rPr>
      </w:pPr>
      <w:r w:rsidRPr="00DE058F">
        <w:rPr>
          <w:rFonts w:eastAsia="MS PGothic" w:cstheme="minorHAnsi"/>
          <w:sz w:val="16"/>
          <w:szCs w:val="16"/>
          <w:lang w:val="sr-Cyrl-CS" w:eastAsia="ja-JP"/>
        </w:rPr>
        <w:t>*</w:t>
      </w:r>
      <w:r w:rsidR="00BB64CB" w:rsidRPr="00DE058F">
        <w:rPr>
          <w:rFonts w:eastAsia="MS PGothic" w:cstheme="minorHAnsi"/>
          <w:sz w:val="16"/>
          <w:szCs w:val="16"/>
          <w:lang w:val="sr-Cyrl-CS" w:eastAsia="ja-JP"/>
        </w:rPr>
        <w:t xml:space="preserve"> </w:t>
      </w:r>
      <w:r w:rsidRPr="00DE058F">
        <w:rPr>
          <w:rFonts w:eastAsia="MS PGothic" w:cstheme="minorHAnsi"/>
          <w:sz w:val="16"/>
          <w:szCs w:val="16"/>
          <w:lang w:val="sr-Cyrl-CS" w:eastAsia="ja-JP"/>
        </w:rPr>
        <w:t>Трошкови зарада, накнада зарада и остали лични расходи</w:t>
      </w:r>
    </w:p>
    <w:p w14:paraId="2A1D0E51" w14:textId="2049109C" w:rsidR="00593E7B" w:rsidRPr="00DE058F" w:rsidRDefault="00593E7B" w:rsidP="0036237E">
      <w:pPr>
        <w:spacing w:after="80" w:line="276" w:lineRule="auto"/>
        <w:rPr>
          <w:rFonts w:eastAsia="MS PGothic" w:cstheme="minorHAnsi"/>
          <w:sz w:val="16"/>
          <w:szCs w:val="20"/>
          <w:lang w:val="sr-Cyrl-CS" w:eastAsia="ja-JP"/>
        </w:rPr>
      </w:pPr>
      <w:r w:rsidRPr="00DE058F">
        <w:rPr>
          <w:rFonts w:eastAsia="MS PGothic" w:cstheme="minorHAnsi"/>
          <w:sz w:val="16"/>
          <w:szCs w:val="16"/>
          <w:lang w:val="sr-Cyrl-CS" w:eastAsia="ja-JP"/>
        </w:rPr>
        <w:t>Извор: Финансијски извештаји за 2020. и 2021. годину и квартални извештаји Министарства привреде за 2022. годину</w:t>
      </w:r>
    </w:p>
    <w:p w14:paraId="37BB14C4" w14:textId="77777777" w:rsidR="00593E7B" w:rsidRPr="00DE058F" w:rsidRDefault="00593E7B" w:rsidP="00C95509">
      <w:pPr>
        <w:spacing w:after="0" w:line="276" w:lineRule="auto"/>
        <w:rPr>
          <w:rFonts w:eastAsia="MS PGothic" w:cstheme="minorHAnsi"/>
          <w:sz w:val="6"/>
          <w:szCs w:val="20"/>
          <w:lang w:val="sr-Cyrl-CS" w:eastAsia="ja-JP"/>
        </w:rPr>
        <w:sectPr w:rsidR="00593E7B" w:rsidRPr="00DE058F" w:rsidSect="00C95509">
          <w:type w:val="continuous"/>
          <w:pgSz w:w="12240" w:h="15840" w:code="1"/>
          <w:pgMar w:top="1440" w:right="1440" w:bottom="1440" w:left="1440" w:header="720" w:footer="720" w:gutter="0"/>
          <w:cols w:space="720"/>
          <w:docGrid w:linePitch="360"/>
        </w:sectPr>
      </w:pPr>
    </w:p>
    <w:p w14:paraId="1F1866CA" w14:textId="5131138E" w:rsidR="00593E7B" w:rsidRPr="00DE058F" w:rsidRDefault="00593E7B" w:rsidP="00C95509">
      <w:pPr>
        <w:spacing w:after="360"/>
        <w:rPr>
          <w:rFonts w:eastAsia="MS PGothic" w:cstheme="minorHAnsi"/>
          <w:szCs w:val="20"/>
          <w:lang w:val="sr-Cyrl-CS" w:eastAsia="ja-JP"/>
        </w:rPr>
      </w:pPr>
      <w:r w:rsidRPr="00DE058F">
        <w:rPr>
          <w:rFonts w:eastAsia="MS PGothic" w:cstheme="minorHAnsi"/>
          <w:szCs w:val="20"/>
          <w:lang w:val="sr-Cyrl-CS" w:eastAsia="ja-JP"/>
        </w:rPr>
        <w:lastRenderedPageBreak/>
        <w:t xml:space="preserve">У првом кварталу текуће године добит је остварило 20 предузећа у укупном износу од 11,6 млрд динара, то је више у односу на планирано (планирана вредност износи 3,7 млрд динара). </w:t>
      </w:r>
      <w:r w:rsidRPr="00DE058F">
        <w:rPr>
          <w:rFonts w:eastAsia="MS PGothic" w:cstheme="minorHAnsi"/>
          <w:szCs w:val="20"/>
          <w:lang w:val="sr-Cyrl-CS" w:eastAsia="ja-JP"/>
        </w:rPr>
        <w:t>Највећи утицај на позитиван нето резултат у посматраном периоду има ЈП „Србијагас”, које је остварило нето добит у износу од 6,9 млрд дин</w:t>
      </w:r>
      <w:r w:rsidR="00BD7452" w:rsidRPr="00DE058F">
        <w:rPr>
          <w:rFonts w:eastAsia="MS PGothic" w:cstheme="minorHAnsi"/>
          <w:szCs w:val="20"/>
          <w:lang w:val="sr-Cyrl-CS" w:eastAsia="ja-JP"/>
        </w:rPr>
        <w:t>ара</w:t>
      </w:r>
      <w:r w:rsidRPr="00DE058F">
        <w:rPr>
          <w:rFonts w:eastAsia="MS PGothic" w:cstheme="minorHAnsi"/>
          <w:szCs w:val="20"/>
          <w:lang w:val="sr-Cyrl-CS" w:eastAsia="ja-JP"/>
        </w:rPr>
        <w:t>.</w:t>
      </w:r>
    </w:p>
    <w:p w14:paraId="062C2715" w14:textId="77777777" w:rsidR="00593E7B" w:rsidRPr="00DE058F" w:rsidRDefault="00593E7B" w:rsidP="00C95509">
      <w:pPr>
        <w:rPr>
          <w:rFonts w:eastAsia="MS PGothic" w:cstheme="minorHAnsi"/>
          <w:szCs w:val="20"/>
          <w:lang w:val="sr-Cyrl-CS" w:eastAsia="ja-JP"/>
        </w:rPr>
        <w:sectPr w:rsidR="00593E7B" w:rsidRPr="00DE058F" w:rsidSect="00C95509">
          <w:type w:val="continuous"/>
          <w:pgSz w:w="12240" w:h="15840" w:code="1"/>
          <w:pgMar w:top="1440" w:right="1440" w:bottom="1440" w:left="1440" w:header="720" w:footer="720" w:gutter="0"/>
          <w:cols w:num="2" w:space="720"/>
          <w:docGrid w:linePitch="360"/>
        </w:sectPr>
      </w:pPr>
    </w:p>
    <w:p w14:paraId="66E3FFFB" w14:textId="05F34A88" w:rsidR="00593E7B" w:rsidRPr="00DE058F" w:rsidRDefault="00593E7B" w:rsidP="00C95509">
      <w:pPr>
        <w:spacing w:after="0"/>
        <w:rPr>
          <w:rFonts w:eastAsia="MS PGothic" w:cstheme="minorHAnsi"/>
          <w:b/>
          <w:bCs/>
          <w:color w:val="002060"/>
          <w:szCs w:val="20"/>
          <w:lang w:val="sr-Cyrl-CS" w:eastAsia="ja-JP"/>
        </w:rPr>
        <w:sectPr w:rsidR="00593E7B" w:rsidRPr="00DE058F" w:rsidSect="00C95509">
          <w:type w:val="continuous"/>
          <w:pgSz w:w="12240" w:h="15840" w:code="1"/>
          <w:pgMar w:top="1440" w:right="1440" w:bottom="1440" w:left="1440" w:header="720" w:footer="720" w:gutter="0"/>
          <w:cols w:space="720"/>
          <w:docGrid w:linePitch="360"/>
        </w:sectPr>
      </w:pPr>
      <w:r w:rsidRPr="00DE058F">
        <w:rPr>
          <w:rFonts w:eastAsia="MS PGothic" w:cstheme="minorHAnsi"/>
          <w:b/>
          <w:bCs/>
          <w:color w:val="002060"/>
          <w:szCs w:val="20"/>
          <w:lang w:val="sr-Cyrl-CS" w:eastAsia="ja-JP"/>
        </w:rPr>
        <w:t>Табела 1</w:t>
      </w:r>
      <w:r w:rsidR="00623E62" w:rsidRPr="00DE058F">
        <w:rPr>
          <w:rFonts w:eastAsia="MS PGothic" w:cstheme="minorHAnsi"/>
          <w:b/>
          <w:bCs/>
          <w:color w:val="002060"/>
          <w:szCs w:val="20"/>
          <w:lang w:val="sr-Cyrl-CS" w:eastAsia="ja-JP"/>
        </w:rPr>
        <w:t>8</w:t>
      </w:r>
      <w:r w:rsidRPr="00DE058F">
        <w:rPr>
          <w:rFonts w:eastAsia="MS PGothic" w:cstheme="minorHAnsi"/>
          <w:b/>
          <w:bCs/>
          <w:color w:val="002060"/>
          <w:szCs w:val="20"/>
          <w:lang w:val="sr-Cyrl-CS" w:eastAsia="ja-JP"/>
        </w:rPr>
        <w:t>. Јавна предузећа која су остварила нето добит у периоду 01.01–31.03.2022. године, у хиљ. динара</w:t>
      </w:r>
    </w:p>
    <w:tbl>
      <w:tblPr>
        <w:tblpPr w:leftFromText="180" w:rightFromText="180" w:vertAnchor="text" w:horzAnchor="margin" w:tblpY="109"/>
        <w:tblW w:w="9137" w:type="dxa"/>
        <w:tblLook w:val="04A0" w:firstRow="1" w:lastRow="0" w:firstColumn="1" w:lastColumn="0" w:noHBand="0" w:noVBand="1"/>
      </w:tblPr>
      <w:tblGrid>
        <w:gridCol w:w="4093"/>
        <w:gridCol w:w="1466"/>
        <w:gridCol w:w="1745"/>
        <w:gridCol w:w="1833"/>
      </w:tblGrid>
      <w:tr w:rsidR="00593E7B" w:rsidRPr="00DE058F" w14:paraId="28D93626" w14:textId="77777777" w:rsidTr="00C95509">
        <w:trPr>
          <w:trHeight w:val="220"/>
        </w:trPr>
        <w:tc>
          <w:tcPr>
            <w:tcW w:w="4093" w:type="dxa"/>
            <w:tcBorders>
              <w:top w:val="single" w:sz="8" w:space="0" w:color="002060"/>
              <w:left w:val="nil"/>
              <w:bottom w:val="single" w:sz="8" w:space="0" w:color="002060"/>
              <w:right w:val="nil"/>
            </w:tcBorders>
            <w:shd w:val="clear" w:color="auto" w:fill="auto"/>
            <w:noWrap/>
            <w:vAlign w:val="center"/>
            <w:hideMark/>
          </w:tcPr>
          <w:p w14:paraId="53E03898" w14:textId="77777777"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Предузеће</w:t>
            </w:r>
          </w:p>
        </w:tc>
        <w:tc>
          <w:tcPr>
            <w:tcW w:w="1466" w:type="dxa"/>
            <w:tcBorders>
              <w:top w:val="single" w:sz="8" w:space="0" w:color="002060"/>
              <w:left w:val="nil"/>
              <w:bottom w:val="single" w:sz="8" w:space="0" w:color="002060"/>
              <w:right w:val="nil"/>
            </w:tcBorders>
            <w:shd w:val="clear" w:color="auto" w:fill="auto"/>
            <w:vAlign w:val="center"/>
            <w:hideMark/>
          </w:tcPr>
          <w:p w14:paraId="5BE7F516" w14:textId="77777777"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Реализација 2021</w:t>
            </w:r>
          </w:p>
        </w:tc>
        <w:tc>
          <w:tcPr>
            <w:tcW w:w="1745" w:type="dxa"/>
            <w:tcBorders>
              <w:top w:val="single" w:sz="8" w:space="0" w:color="002060"/>
              <w:left w:val="nil"/>
              <w:bottom w:val="single" w:sz="8" w:space="0" w:color="002060"/>
              <w:right w:val="nil"/>
            </w:tcBorders>
            <w:shd w:val="clear" w:color="auto" w:fill="auto"/>
            <w:vAlign w:val="center"/>
            <w:hideMark/>
          </w:tcPr>
          <w:p w14:paraId="6CB22CF9" w14:textId="6764103F" w:rsidR="00593E7B" w:rsidRPr="00DE058F" w:rsidRDefault="00593E7B" w:rsidP="00A26E4D">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 xml:space="preserve">План </w:t>
            </w:r>
            <w:r w:rsidRPr="00DE058F">
              <w:rPr>
                <w:rFonts w:ascii="Calibri" w:eastAsia="Times New Roman" w:hAnsi="Calibri" w:cs="Calibri"/>
                <w:b/>
                <w:bCs/>
                <w:color w:val="002060"/>
                <w:sz w:val="18"/>
                <w:szCs w:val="18"/>
                <w:lang w:val="sr-Cyrl-CS" w:eastAsia="en-GB"/>
              </w:rPr>
              <w:br w:type="textWrapping" w:clear="all"/>
              <w:t>01.01–31.03.2022.</w:t>
            </w:r>
          </w:p>
        </w:tc>
        <w:tc>
          <w:tcPr>
            <w:tcW w:w="1833" w:type="dxa"/>
            <w:tcBorders>
              <w:top w:val="single" w:sz="8" w:space="0" w:color="002060"/>
              <w:left w:val="nil"/>
              <w:bottom w:val="single" w:sz="8" w:space="0" w:color="002060"/>
              <w:right w:val="nil"/>
            </w:tcBorders>
            <w:shd w:val="clear" w:color="auto" w:fill="auto"/>
            <w:vAlign w:val="center"/>
            <w:hideMark/>
          </w:tcPr>
          <w:p w14:paraId="0A744073" w14:textId="3B52F37A" w:rsidR="00593E7B" w:rsidRPr="00DE058F" w:rsidRDefault="00593E7B" w:rsidP="00A26E4D">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 xml:space="preserve">Реализација </w:t>
            </w:r>
            <w:r w:rsidRPr="00DE058F">
              <w:rPr>
                <w:rFonts w:ascii="Calibri" w:eastAsia="Times New Roman" w:hAnsi="Calibri" w:cs="Calibri"/>
                <w:b/>
                <w:bCs/>
                <w:color w:val="002060"/>
                <w:sz w:val="18"/>
                <w:szCs w:val="18"/>
                <w:lang w:val="sr-Cyrl-CS" w:eastAsia="en-GB"/>
              </w:rPr>
              <w:br w:type="textWrapping" w:clear="all"/>
              <w:t>01.01–31.03.2022.</w:t>
            </w:r>
          </w:p>
        </w:tc>
      </w:tr>
      <w:tr w:rsidR="00593E7B" w:rsidRPr="00DE058F" w14:paraId="510E7BA6" w14:textId="77777777" w:rsidTr="00C95509">
        <w:trPr>
          <w:trHeight w:val="170"/>
        </w:trPr>
        <w:tc>
          <w:tcPr>
            <w:tcW w:w="4093" w:type="dxa"/>
            <w:tcBorders>
              <w:top w:val="nil"/>
              <w:left w:val="nil"/>
              <w:bottom w:val="nil"/>
              <w:right w:val="nil"/>
            </w:tcBorders>
            <w:shd w:val="clear" w:color="auto" w:fill="auto"/>
            <w:noWrap/>
            <w:vAlign w:val="center"/>
            <w:hideMark/>
          </w:tcPr>
          <w:p w14:paraId="2FFF1663" w14:textId="348CAC0F"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JП </w:t>
            </w:r>
            <w:r w:rsidR="0039118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Србијагас</w:t>
            </w:r>
            <w:r w:rsidR="0039118D" w:rsidRPr="00DE058F">
              <w:rPr>
                <w:rFonts w:ascii="Calibri" w:eastAsia="Times New Roman" w:hAnsi="Calibri" w:cs="Calibri"/>
                <w:color w:val="002060"/>
                <w:sz w:val="18"/>
                <w:szCs w:val="18"/>
                <w:lang w:val="sr-Cyrl-CS" w:eastAsia="en-GB"/>
              </w:rPr>
              <w:t>”</w:t>
            </w:r>
          </w:p>
        </w:tc>
        <w:tc>
          <w:tcPr>
            <w:tcW w:w="1466" w:type="dxa"/>
            <w:tcBorders>
              <w:top w:val="nil"/>
              <w:left w:val="nil"/>
              <w:bottom w:val="nil"/>
              <w:right w:val="nil"/>
            </w:tcBorders>
            <w:shd w:val="clear" w:color="auto" w:fill="auto"/>
            <w:noWrap/>
            <w:vAlign w:val="center"/>
            <w:hideMark/>
          </w:tcPr>
          <w:p w14:paraId="680AB1D9" w14:textId="5CDAEBF2"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3</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772</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985</w:t>
            </w:r>
          </w:p>
        </w:tc>
        <w:tc>
          <w:tcPr>
            <w:tcW w:w="1745" w:type="dxa"/>
            <w:tcBorders>
              <w:top w:val="nil"/>
              <w:left w:val="nil"/>
              <w:bottom w:val="nil"/>
              <w:right w:val="nil"/>
            </w:tcBorders>
            <w:shd w:val="clear" w:color="auto" w:fill="auto"/>
            <w:noWrap/>
            <w:vAlign w:val="center"/>
            <w:hideMark/>
          </w:tcPr>
          <w:p w14:paraId="7D55C285" w14:textId="195413C7"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572</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709</w:t>
            </w:r>
          </w:p>
        </w:tc>
        <w:tc>
          <w:tcPr>
            <w:tcW w:w="1833" w:type="dxa"/>
            <w:tcBorders>
              <w:top w:val="nil"/>
              <w:left w:val="nil"/>
              <w:bottom w:val="nil"/>
              <w:right w:val="nil"/>
            </w:tcBorders>
            <w:shd w:val="clear" w:color="auto" w:fill="auto"/>
            <w:noWrap/>
            <w:vAlign w:val="center"/>
            <w:hideMark/>
          </w:tcPr>
          <w:p w14:paraId="5E146FB6" w14:textId="6BBB5228"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6</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897</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020</w:t>
            </w:r>
          </w:p>
        </w:tc>
      </w:tr>
      <w:tr w:rsidR="00593E7B" w:rsidRPr="00DE058F" w14:paraId="2A049F0B" w14:textId="77777777" w:rsidTr="00C95509">
        <w:trPr>
          <w:trHeight w:val="170"/>
        </w:trPr>
        <w:tc>
          <w:tcPr>
            <w:tcW w:w="4093" w:type="dxa"/>
            <w:tcBorders>
              <w:top w:val="nil"/>
              <w:left w:val="nil"/>
              <w:bottom w:val="nil"/>
              <w:right w:val="nil"/>
            </w:tcBorders>
            <w:shd w:val="clear" w:color="auto" w:fill="auto"/>
            <w:noWrap/>
            <w:vAlign w:val="center"/>
            <w:hideMark/>
          </w:tcPr>
          <w:p w14:paraId="33AA63AD" w14:textId="2939BFF5"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ЈП </w:t>
            </w:r>
            <w:r w:rsidR="0039118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Мрежа-</w:t>
            </w:r>
            <w:r w:rsidR="00F42091" w:rsidRPr="00DE058F">
              <w:rPr>
                <w:rFonts w:ascii="Calibri" w:eastAsia="Times New Roman" w:hAnsi="Calibri" w:cs="Calibri"/>
                <w:color w:val="002060"/>
                <w:sz w:val="18"/>
                <w:szCs w:val="18"/>
                <w:lang w:val="sr-Cyrl-CS" w:eastAsia="en-GB"/>
              </w:rPr>
              <w:t>Мост</w:t>
            </w:r>
            <w:r w:rsidR="0039118D" w:rsidRPr="00DE058F">
              <w:rPr>
                <w:rFonts w:ascii="Calibri" w:eastAsia="Times New Roman" w:hAnsi="Calibri" w:cs="Calibri"/>
                <w:color w:val="002060"/>
                <w:sz w:val="18"/>
                <w:szCs w:val="18"/>
                <w:lang w:val="sr-Cyrl-CS" w:eastAsia="en-GB"/>
              </w:rPr>
              <w:t>”</w:t>
            </w:r>
          </w:p>
        </w:tc>
        <w:tc>
          <w:tcPr>
            <w:tcW w:w="1466" w:type="dxa"/>
            <w:tcBorders>
              <w:top w:val="nil"/>
              <w:left w:val="nil"/>
              <w:bottom w:val="nil"/>
              <w:right w:val="nil"/>
            </w:tcBorders>
            <w:shd w:val="clear" w:color="auto" w:fill="auto"/>
            <w:noWrap/>
            <w:vAlign w:val="center"/>
            <w:hideMark/>
          </w:tcPr>
          <w:p w14:paraId="2ABEAB8E" w14:textId="50A8D9E8"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7</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495</w:t>
            </w:r>
          </w:p>
        </w:tc>
        <w:tc>
          <w:tcPr>
            <w:tcW w:w="1745" w:type="dxa"/>
            <w:tcBorders>
              <w:top w:val="nil"/>
              <w:left w:val="nil"/>
              <w:bottom w:val="nil"/>
              <w:right w:val="nil"/>
            </w:tcBorders>
            <w:shd w:val="clear" w:color="auto" w:fill="auto"/>
            <w:noWrap/>
            <w:vAlign w:val="center"/>
            <w:hideMark/>
          </w:tcPr>
          <w:p w14:paraId="6FC839E7" w14:textId="77777777"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0</w:t>
            </w:r>
          </w:p>
        </w:tc>
        <w:tc>
          <w:tcPr>
            <w:tcW w:w="1833" w:type="dxa"/>
            <w:tcBorders>
              <w:top w:val="nil"/>
              <w:left w:val="nil"/>
              <w:bottom w:val="nil"/>
              <w:right w:val="nil"/>
            </w:tcBorders>
            <w:shd w:val="clear" w:color="auto" w:fill="auto"/>
            <w:noWrap/>
            <w:vAlign w:val="center"/>
            <w:hideMark/>
          </w:tcPr>
          <w:p w14:paraId="6F625285" w14:textId="6F5FEC07"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960</w:t>
            </w:r>
          </w:p>
        </w:tc>
      </w:tr>
      <w:tr w:rsidR="00593E7B" w:rsidRPr="00DE058F" w14:paraId="49726F50" w14:textId="77777777" w:rsidTr="00C95509">
        <w:trPr>
          <w:trHeight w:val="170"/>
        </w:trPr>
        <w:tc>
          <w:tcPr>
            <w:tcW w:w="4093" w:type="dxa"/>
            <w:tcBorders>
              <w:top w:val="nil"/>
              <w:left w:val="nil"/>
              <w:bottom w:val="nil"/>
              <w:right w:val="nil"/>
            </w:tcBorders>
            <w:shd w:val="clear" w:color="auto" w:fill="auto"/>
            <w:noWrap/>
            <w:vAlign w:val="center"/>
            <w:hideMark/>
          </w:tcPr>
          <w:p w14:paraId="0E56440A" w14:textId="1D56EA96"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JП </w:t>
            </w:r>
            <w:r w:rsidR="0039118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Национални парк Ђердап</w:t>
            </w:r>
            <w:r w:rsidR="0039118D" w:rsidRPr="00DE058F">
              <w:rPr>
                <w:rFonts w:ascii="Calibri" w:eastAsia="Times New Roman" w:hAnsi="Calibri" w:cs="Calibri"/>
                <w:color w:val="002060"/>
                <w:sz w:val="18"/>
                <w:szCs w:val="18"/>
                <w:lang w:val="sr-Cyrl-CS" w:eastAsia="en-GB"/>
              </w:rPr>
              <w:t>”</w:t>
            </w:r>
          </w:p>
        </w:tc>
        <w:tc>
          <w:tcPr>
            <w:tcW w:w="1466" w:type="dxa"/>
            <w:tcBorders>
              <w:top w:val="nil"/>
              <w:left w:val="nil"/>
              <w:bottom w:val="nil"/>
              <w:right w:val="nil"/>
            </w:tcBorders>
            <w:shd w:val="clear" w:color="auto" w:fill="auto"/>
            <w:noWrap/>
            <w:vAlign w:val="center"/>
            <w:hideMark/>
          </w:tcPr>
          <w:p w14:paraId="1E7CDB59" w14:textId="5ADD6D0C"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14</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116</w:t>
            </w:r>
          </w:p>
        </w:tc>
        <w:tc>
          <w:tcPr>
            <w:tcW w:w="1745" w:type="dxa"/>
            <w:tcBorders>
              <w:top w:val="nil"/>
              <w:left w:val="nil"/>
              <w:bottom w:val="nil"/>
              <w:right w:val="nil"/>
            </w:tcBorders>
            <w:shd w:val="clear" w:color="auto" w:fill="auto"/>
            <w:noWrap/>
            <w:vAlign w:val="center"/>
            <w:hideMark/>
          </w:tcPr>
          <w:p w14:paraId="36F7A326" w14:textId="447789FF"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-5</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612</w:t>
            </w:r>
          </w:p>
        </w:tc>
        <w:tc>
          <w:tcPr>
            <w:tcW w:w="1833" w:type="dxa"/>
            <w:tcBorders>
              <w:top w:val="nil"/>
              <w:left w:val="nil"/>
              <w:bottom w:val="nil"/>
              <w:right w:val="nil"/>
            </w:tcBorders>
            <w:shd w:val="clear" w:color="auto" w:fill="auto"/>
            <w:noWrap/>
            <w:vAlign w:val="center"/>
            <w:hideMark/>
          </w:tcPr>
          <w:p w14:paraId="553ABD06" w14:textId="48C9897A"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6</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112</w:t>
            </w:r>
          </w:p>
        </w:tc>
      </w:tr>
      <w:tr w:rsidR="00593E7B" w:rsidRPr="00DE058F" w14:paraId="495ACEC6" w14:textId="77777777" w:rsidTr="00C95509">
        <w:trPr>
          <w:trHeight w:val="170"/>
        </w:trPr>
        <w:tc>
          <w:tcPr>
            <w:tcW w:w="4093" w:type="dxa"/>
            <w:tcBorders>
              <w:top w:val="nil"/>
              <w:left w:val="nil"/>
              <w:bottom w:val="nil"/>
              <w:right w:val="nil"/>
            </w:tcBorders>
            <w:shd w:val="clear" w:color="auto" w:fill="auto"/>
            <w:noWrap/>
            <w:vAlign w:val="center"/>
            <w:hideMark/>
          </w:tcPr>
          <w:p w14:paraId="46252BA0" w14:textId="05B90821"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JП </w:t>
            </w:r>
            <w:r w:rsidR="0039118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Скијалишта Србије</w:t>
            </w:r>
            <w:r w:rsidR="0039118D" w:rsidRPr="00DE058F">
              <w:rPr>
                <w:rFonts w:ascii="Calibri" w:eastAsia="Times New Roman" w:hAnsi="Calibri" w:cs="Calibri"/>
                <w:color w:val="002060"/>
                <w:sz w:val="18"/>
                <w:szCs w:val="18"/>
                <w:lang w:val="sr-Cyrl-CS" w:eastAsia="en-GB"/>
              </w:rPr>
              <w:t>”</w:t>
            </w:r>
          </w:p>
        </w:tc>
        <w:tc>
          <w:tcPr>
            <w:tcW w:w="1466" w:type="dxa"/>
            <w:tcBorders>
              <w:top w:val="nil"/>
              <w:left w:val="nil"/>
              <w:bottom w:val="nil"/>
              <w:right w:val="nil"/>
            </w:tcBorders>
            <w:shd w:val="clear" w:color="auto" w:fill="auto"/>
            <w:noWrap/>
            <w:vAlign w:val="center"/>
            <w:hideMark/>
          </w:tcPr>
          <w:p w14:paraId="1B07719E" w14:textId="3BECA046"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369</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542</w:t>
            </w:r>
          </w:p>
        </w:tc>
        <w:tc>
          <w:tcPr>
            <w:tcW w:w="1745" w:type="dxa"/>
            <w:tcBorders>
              <w:top w:val="nil"/>
              <w:left w:val="nil"/>
              <w:bottom w:val="nil"/>
              <w:right w:val="nil"/>
            </w:tcBorders>
            <w:shd w:val="clear" w:color="auto" w:fill="auto"/>
            <w:noWrap/>
            <w:vAlign w:val="center"/>
            <w:hideMark/>
          </w:tcPr>
          <w:p w14:paraId="079E81BC" w14:textId="07E6E96F"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747</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013</w:t>
            </w:r>
          </w:p>
        </w:tc>
        <w:tc>
          <w:tcPr>
            <w:tcW w:w="1833" w:type="dxa"/>
            <w:tcBorders>
              <w:top w:val="nil"/>
              <w:left w:val="nil"/>
              <w:bottom w:val="nil"/>
              <w:right w:val="nil"/>
            </w:tcBorders>
            <w:shd w:val="clear" w:color="auto" w:fill="auto"/>
            <w:noWrap/>
            <w:vAlign w:val="center"/>
            <w:hideMark/>
          </w:tcPr>
          <w:p w14:paraId="66E3B9C6" w14:textId="3D152C68"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084</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537</w:t>
            </w:r>
          </w:p>
        </w:tc>
      </w:tr>
      <w:tr w:rsidR="00593E7B" w:rsidRPr="00DE058F" w14:paraId="61115167" w14:textId="77777777" w:rsidTr="00C95509">
        <w:trPr>
          <w:trHeight w:val="170"/>
        </w:trPr>
        <w:tc>
          <w:tcPr>
            <w:tcW w:w="4093" w:type="dxa"/>
            <w:tcBorders>
              <w:top w:val="nil"/>
              <w:left w:val="nil"/>
              <w:bottom w:val="nil"/>
              <w:right w:val="nil"/>
            </w:tcBorders>
            <w:shd w:val="clear" w:color="auto" w:fill="auto"/>
            <w:noWrap/>
            <w:vAlign w:val="center"/>
            <w:hideMark/>
          </w:tcPr>
          <w:p w14:paraId="3BBB66B5" w14:textId="2E131944"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JП </w:t>
            </w:r>
            <w:r w:rsidR="0039118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Стара планина</w:t>
            </w:r>
            <w:r w:rsidR="0039118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 xml:space="preserve"> Књажевац</w:t>
            </w:r>
          </w:p>
        </w:tc>
        <w:tc>
          <w:tcPr>
            <w:tcW w:w="1466" w:type="dxa"/>
            <w:tcBorders>
              <w:top w:val="nil"/>
              <w:left w:val="nil"/>
              <w:bottom w:val="nil"/>
              <w:right w:val="nil"/>
            </w:tcBorders>
            <w:shd w:val="clear" w:color="auto" w:fill="auto"/>
            <w:noWrap/>
            <w:vAlign w:val="center"/>
            <w:hideMark/>
          </w:tcPr>
          <w:p w14:paraId="1F60135C" w14:textId="17340E44"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3</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776</w:t>
            </w:r>
          </w:p>
        </w:tc>
        <w:tc>
          <w:tcPr>
            <w:tcW w:w="1745" w:type="dxa"/>
            <w:tcBorders>
              <w:top w:val="nil"/>
              <w:left w:val="nil"/>
              <w:bottom w:val="nil"/>
              <w:right w:val="nil"/>
            </w:tcBorders>
            <w:shd w:val="clear" w:color="auto" w:fill="auto"/>
            <w:noWrap/>
            <w:vAlign w:val="center"/>
            <w:hideMark/>
          </w:tcPr>
          <w:p w14:paraId="43D36F96" w14:textId="77777777"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605</w:t>
            </w:r>
          </w:p>
        </w:tc>
        <w:tc>
          <w:tcPr>
            <w:tcW w:w="1833" w:type="dxa"/>
            <w:tcBorders>
              <w:top w:val="nil"/>
              <w:left w:val="nil"/>
              <w:bottom w:val="nil"/>
              <w:right w:val="nil"/>
            </w:tcBorders>
            <w:shd w:val="clear" w:color="auto" w:fill="auto"/>
            <w:noWrap/>
            <w:vAlign w:val="center"/>
            <w:hideMark/>
          </w:tcPr>
          <w:p w14:paraId="216CAC0E" w14:textId="71577E09"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9</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036</w:t>
            </w:r>
          </w:p>
        </w:tc>
      </w:tr>
      <w:tr w:rsidR="00593E7B" w:rsidRPr="00DE058F" w14:paraId="1AEF232C" w14:textId="77777777" w:rsidTr="00C95509">
        <w:trPr>
          <w:trHeight w:val="170"/>
        </w:trPr>
        <w:tc>
          <w:tcPr>
            <w:tcW w:w="4093" w:type="dxa"/>
            <w:tcBorders>
              <w:top w:val="nil"/>
              <w:left w:val="nil"/>
              <w:bottom w:val="nil"/>
              <w:right w:val="nil"/>
            </w:tcBorders>
            <w:shd w:val="clear" w:color="auto" w:fill="auto"/>
            <w:noWrap/>
            <w:vAlign w:val="center"/>
            <w:hideMark/>
          </w:tcPr>
          <w:p w14:paraId="706CBEB9" w14:textId="147858F4" w:rsidR="00593E7B" w:rsidRPr="00DE058F" w:rsidRDefault="0039118D"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Метохија</w:t>
            </w: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 xml:space="preserve"> д.o.o.</w:t>
            </w:r>
          </w:p>
        </w:tc>
        <w:tc>
          <w:tcPr>
            <w:tcW w:w="1466" w:type="dxa"/>
            <w:tcBorders>
              <w:top w:val="nil"/>
              <w:left w:val="nil"/>
              <w:bottom w:val="nil"/>
              <w:right w:val="nil"/>
            </w:tcBorders>
            <w:shd w:val="clear" w:color="auto" w:fill="auto"/>
            <w:noWrap/>
            <w:vAlign w:val="center"/>
            <w:hideMark/>
          </w:tcPr>
          <w:p w14:paraId="16DDA50A" w14:textId="24C81ECC"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491</w:t>
            </w:r>
          </w:p>
        </w:tc>
        <w:tc>
          <w:tcPr>
            <w:tcW w:w="1745" w:type="dxa"/>
            <w:tcBorders>
              <w:top w:val="nil"/>
              <w:left w:val="nil"/>
              <w:bottom w:val="nil"/>
              <w:right w:val="nil"/>
            </w:tcBorders>
            <w:shd w:val="clear" w:color="auto" w:fill="auto"/>
            <w:noWrap/>
            <w:vAlign w:val="center"/>
            <w:hideMark/>
          </w:tcPr>
          <w:p w14:paraId="50111E6A" w14:textId="6A13ABFF"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4</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127</w:t>
            </w:r>
          </w:p>
        </w:tc>
        <w:tc>
          <w:tcPr>
            <w:tcW w:w="1833" w:type="dxa"/>
            <w:tcBorders>
              <w:top w:val="nil"/>
              <w:left w:val="nil"/>
              <w:bottom w:val="nil"/>
              <w:right w:val="nil"/>
            </w:tcBorders>
            <w:shd w:val="clear" w:color="auto" w:fill="auto"/>
            <w:noWrap/>
            <w:vAlign w:val="center"/>
            <w:hideMark/>
          </w:tcPr>
          <w:p w14:paraId="3BC8A1AC" w14:textId="77777777"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843</w:t>
            </w:r>
          </w:p>
        </w:tc>
      </w:tr>
      <w:tr w:rsidR="00593E7B" w:rsidRPr="00DE058F" w14:paraId="76D5718B" w14:textId="77777777" w:rsidTr="00C95509">
        <w:trPr>
          <w:trHeight w:val="170"/>
        </w:trPr>
        <w:tc>
          <w:tcPr>
            <w:tcW w:w="4093" w:type="dxa"/>
            <w:tcBorders>
              <w:top w:val="nil"/>
              <w:left w:val="nil"/>
              <w:bottom w:val="nil"/>
              <w:right w:val="nil"/>
            </w:tcBorders>
            <w:shd w:val="clear" w:color="auto" w:fill="auto"/>
            <w:noWrap/>
            <w:vAlign w:val="center"/>
            <w:hideMark/>
          </w:tcPr>
          <w:p w14:paraId="632500BC" w14:textId="6B293772" w:rsidR="00593E7B" w:rsidRPr="00DE058F" w:rsidRDefault="0039118D"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Коридори Србије</w:t>
            </w: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 xml:space="preserve"> д.о.о.</w:t>
            </w:r>
          </w:p>
        </w:tc>
        <w:tc>
          <w:tcPr>
            <w:tcW w:w="1466" w:type="dxa"/>
            <w:tcBorders>
              <w:top w:val="nil"/>
              <w:left w:val="nil"/>
              <w:bottom w:val="nil"/>
              <w:right w:val="nil"/>
            </w:tcBorders>
            <w:shd w:val="clear" w:color="auto" w:fill="auto"/>
            <w:noWrap/>
            <w:vAlign w:val="center"/>
            <w:hideMark/>
          </w:tcPr>
          <w:p w14:paraId="1D9A1D84" w14:textId="77777777"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0</w:t>
            </w:r>
          </w:p>
        </w:tc>
        <w:tc>
          <w:tcPr>
            <w:tcW w:w="1745" w:type="dxa"/>
            <w:tcBorders>
              <w:top w:val="nil"/>
              <w:left w:val="nil"/>
              <w:bottom w:val="nil"/>
              <w:right w:val="nil"/>
            </w:tcBorders>
            <w:shd w:val="clear" w:color="auto" w:fill="auto"/>
            <w:noWrap/>
            <w:vAlign w:val="center"/>
            <w:hideMark/>
          </w:tcPr>
          <w:p w14:paraId="3C6B160A" w14:textId="77777777"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0</w:t>
            </w:r>
          </w:p>
        </w:tc>
        <w:tc>
          <w:tcPr>
            <w:tcW w:w="1833" w:type="dxa"/>
            <w:tcBorders>
              <w:top w:val="nil"/>
              <w:left w:val="nil"/>
              <w:bottom w:val="nil"/>
              <w:right w:val="nil"/>
            </w:tcBorders>
            <w:shd w:val="clear" w:color="auto" w:fill="auto"/>
            <w:noWrap/>
            <w:vAlign w:val="center"/>
            <w:hideMark/>
          </w:tcPr>
          <w:p w14:paraId="7339433D" w14:textId="754EC665"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91</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354</w:t>
            </w:r>
          </w:p>
        </w:tc>
      </w:tr>
      <w:tr w:rsidR="00593E7B" w:rsidRPr="00DE058F" w14:paraId="030BF375" w14:textId="77777777" w:rsidTr="00C95509">
        <w:trPr>
          <w:trHeight w:val="170"/>
        </w:trPr>
        <w:tc>
          <w:tcPr>
            <w:tcW w:w="4093" w:type="dxa"/>
            <w:tcBorders>
              <w:top w:val="nil"/>
              <w:left w:val="nil"/>
              <w:bottom w:val="nil"/>
              <w:right w:val="nil"/>
            </w:tcBorders>
            <w:shd w:val="clear" w:color="auto" w:fill="auto"/>
            <w:noWrap/>
            <w:vAlign w:val="center"/>
            <w:hideMark/>
          </w:tcPr>
          <w:p w14:paraId="7571E165" w14:textId="77777777"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Tранснафта АД</w:t>
            </w:r>
          </w:p>
        </w:tc>
        <w:tc>
          <w:tcPr>
            <w:tcW w:w="1466" w:type="dxa"/>
            <w:tcBorders>
              <w:top w:val="nil"/>
              <w:left w:val="nil"/>
              <w:bottom w:val="nil"/>
              <w:right w:val="nil"/>
            </w:tcBorders>
            <w:shd w:val="clear" w:color="auto" w:fill="auto"/>
            <w:noWrap/>
            <w:vAlign w:val="center"/>
            <w:hideMark/>
          </w:tcPr>
          <w:p w14:paraId="2CE0E24B" w14:textId="1BA97354"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179</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593</w:t>
            </w:r>
          </w:p>
        </w:tc>
        <w:tc>
          <w:tcPr>
            <w:tcW w:w="1745" w:type="dxa"/>
            <w:tcBorders>
              <w:top w:val="nil"/>
              <w:left w:val="nil"/>
              <w:bottom w:val="nil"/>
              <w:right w:val="nil"/>
            </w:tcBorders>
            <w:shd w:val="clear" w:color="auto" w:fill="auto"/>
            <w:noWrap/>
            <w:vAlign w:val="center"/>
            <w:hideMark/>
          </w:tcPr>
          <w:p w14:paraId="4A5621CD" w14:textId="52E2D52D"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4</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234</w:t>
            </w:r>
          </w:p>
        </w:tc>
        <w:tc>
          <w:tcPr>
            <w:tcW w:w="1833" w:type="dxa"/>
            <w:tcBorders>
              <w:top w:val="nil"/>
              <w:left w:val="nil"/>
              <w:bottom w:val="nil"/>
              <w:right w:val="nil"/>
            </w:tcBorders>
            <w:shd w:val="clear" w:color="auto" w:fill="auto"/>
            <w:noWrap/>
            <w:vAlign w:val="center"/>
            <w:hideMark/>
          </w:tcPr>
          <w:p w14:paraId="655B850B" w14:textId="53FC2B7E"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29</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209</w:t>
            </w:r>
          </w:p>
        </w:tc>
      </w:tr>
      <w:tr w:rsidR="00593E7B" w:rsidRPr="00DE058F" w14:paraId="0B1E0E35" w14:textId="77777777" w:rsidTr="00C95509">
        <w:trPr>
          <w:trHeight w:val="170"/>
        </w:trPr>
        <w:tc>
          <w:tcPr>
            <w:tcW w:w="4093" w:type="dxa"/>
            <w:tcBorders>
              <w:top w:val="nil"/>
              <w:left w:val="nil"/>
              <w:bottom w:val="nil"/>
              <w:right w:val="nil"/>
            </w:tcBorders>
            <w:shd w:val="clear" w:color="auto" w:fill="auto"/>
            <w:noWrap/>
            <w:vAlign w:val="center"/>
            <w:hideMark/>
          </w:tcPr>
          <w:p w14:paraId="7C8777A9" w14:textId="3D3B2D8E"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JП </w:t>
            </w:r>
            <w:r w:rsidR="0039118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Пошта Србије</w:t>
            </w:r>
            <w:r w:rsidR="0039118D" w:rsidRPr="00DE058F">
              <w:rPr>
                <w:rFonts w:ascii="Calibri" w:eastAsia="Times New Roman" w:hAnsi="Calibri" w:cs="Calibri"/>
                <w:color w:val="002060"/>
                <w:sz w:val="18"/>
                <w:szCs w:val="18"/>
                <w:lang w:val="sr-Cyrl-CS" w:eastAsia="en-GB"/>
              </w:rPr>
              <w:t>”</w:t>
            </w:r>
          </w:p>
        </w:tc>
        <w:tc>
          <w:tcPr>
            <w:tcW w:w="1466" w:type="dxa"/>
            <w:tcBorders>
              <w:top w:val="nil"/>
              <w:left w:val="nil"/>
              <w:bottom w:val="nil"/>
              <w:right w:val="nil"/>
            </w:tcBorders>
            <w:shd w:val="clear" w:color="auto" w:fill="auto"/>
            <w:noWrap/>
            <w:vAlign w:val="center"/>
            <w:hideMark/>
          </w:tcPr>
          <w:p w14:paraId="74069C62" w14:textId="12EA112B"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3</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283</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600</w:t>
            </w:r>
          </w:p>
        </w:tc>
        <w:tc>
          <w:tcPr>
            <w:tcW w:w="1745" w:type="dxa"/>
            <w:tcBorders>
              <w:top w:val="nil"/>
              <w:left w:val="nil"/>
              <w:bottom w:val="nil"/>
              <w:right w:val="nil"/>
            </w:tcBorders>
            <w:shd w:val="clear" w:color="auto" w:fill="auto"/>
            <w:noWrap/>
            <w:vAlign w:val="center"/>
            <w:hideMark/>
          </w:tcPr>
          <w:p w14:paraId="3CAA5476" w14:textId="200278D1"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-709</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905</w:t>
            </w:r>
          </w:p>
        </w:tc>
        <w:tc>
          <w:tcPr>
            <w:tcW w:w="1833" w:type="dxa"/>
            <w:tcBorders>
              <w:top w:val="nil"/>
              <w:left w:val="nil"/>
              <w:bottom w:val="nil"/>
              <w:right w:val="nil"/>
            </w:tcBorders>
            <w:shd w:val="clear" w:color="auto" w:fill="auto"/>
            <w:noWrap/>
            <w:vAlign w:val="center"/>
            <w:hideMark/>
          </w:tcPr>
          <w:p w14:paraId="6D770C41" w14:textId="018B1122"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689</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206</w:t>
            </w:r>
          </w:p>
        </w:tc>
      </w:tr>
      <w:tr w:rsidR="00593E7B" w:rsidRPr="00DE058F" w14:paraId="0A52D500" w14:textId="77777777" w:rsidTr="00C95509">
        <w:trPr>
          <w:trHeight w:val="170"/>
        </w:trPr>
        <w:tc>
          <w:tcPr>
            <w:tcW w:w="4093" w:type="dxa"/>
            <w:tcBorders>
              <w:top w:val="nil"/>
              <w:left w:val="nil"/>
              <w:bottom w:val="nil"/>
              <w:right w:val="nil"/>
            </w:tcBorders>
            <w:shd w:val="clear" w:color="auto" w:fill="auto"/>
            <w:noWrap/>
            <w:vAlign w:val="center"/>
            <w:hideMark/>
          </w:tcPr>
          <w:p w14:paraId="1B13ACA5" w14:textId="05BFE027"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Привредно друштво </w:t>
            </w:r>
            <w:r w:rsidR="0039118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Просветни преглед</w:t>
            </w:r>
            <w:r w:rsidR="0039118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 xml:space="preserve"> д.о.о.</w:t>
            </w:r>
          </w:p>
        </w:tc>
        <w:tc>
          <w:tcPr>
            <w:tcW w:w="1466" w:type="dxa"/>
            <w:tcBorders>
              <w:top w:val="nil"/>
              <w:left w:val="nil"/>
              <w:bottom w:val="nil"/>
              <w:right w:val="nil"/>
            </w:tcBorders>
            <w:shd w:val="clear" w:color="auto" w:fill="auto"/>
            <w:noWrap/>
            <w:vAlign w:val="center"/>
            <w:hideMark/>
          </w:tcPr>
          <w:p w14:paraId="5CD301EB" w14:textId="26FB3DC0"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19</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630</w:t>
            </w:r>
          </w:p>
        </w:tc>
        <w:tc>
          <w:tcPr>
            <w:tcW w:w="1745" w:type="dxa"/>
            <w:tcBorders>
              <w:top w:val="nil"/>
              <w:left w:val="nil"/>
              <w:bottom w:val="nil"/>
              <w:right w:val="nil"/>
            </w:tcBorders>
            <w:shd w:val="clear" w:color="auto" w:fill="auto"/>
            <w:noWrap/>
            <w:vAlign w:val="center"/>
            <w:hideMark/>
          </w:tcPr>
          <w:p w14:paraId="25FD7541" w14:textId="3CA48E84"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5</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159</w:t>
            </w:r>
          </w:p>
        </w:tc>
        <w:tc>
          <w:tcPr>
            <w:tcW w:w="1833" w:type="dxa"/>
            <w:tcBorders>
              <w:top w:val="nil"/>
              <w:left w:val="nil"/>
              <w:bottom w:val="nil"/>
              <w:right w:val="nil"/>
            </w:tcBorders>
            <w:shd w:val="clear" w:color="auto" w:fill="auto"/>
            <w:noWrap/>
            <w:vAlign w:val="center"/>
            <w:hideMark/>
          </w:tcPr>
          <w:p w14:paraId="07881323" w14:textId="5AF22D09"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7</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879</w:t>
            </w:r>
          </w:p>
        </w:tc>
      </w:tr>
      <w:tr w:rsidR="00593E7B" w:rsidRPr="00DE058F" w14:paraId="7D7E609B" w14:textId="77777777" w:rsidTr="00C95509">
        <w:trPr>
          <w:trHeight w:val="170"/>
        </w:trPr>
        <w:tc>
          <w:tcPr>
            <w:tcW w:w="4093" w:type="dxa"/>
            <w:tcBorders>
              <w:top w:val="nil"/>
              <w:left w:val="nil"/>
              <w:bottom w:val="nil"/>
              <w:right w:val="nil"/>
            </w:tcBorders>
            <w:shd w:val="clear" w:color="auto" w:fill="auto"/>
            <w:noWrap/>
            <w:vAlign w:val="center"/>
            <w:hideMark/>
          </w:tcPr>
          <w:p w14:paraId="26C205B7" w14:textId="62E5341F"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JП </w:t>
            </w:r>
            <w:r w:rsidR="0039118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Службени гласник</w:t>
            </w:r>
            <w:r w:rsidR="0039118D" w:rsidRPr="00DE058F">
              <w:rPr>
                <w:rFonts w:ascii="Calibri" w:eastAsia="Times New Roman" w:hAnsi="Calibri" w:cs="Calibri"/>
                <w:color w:val="002060"/>
                <w:sz w:val="18"/>
                <w:szCs w:val="18"/>
                <w:lang w:val="sr-Cyrl-CS" w:eastAsia="en-GB"/>
              </w:rPr>
              <w:t>”</w:t>
            </w:r>
          </w:p>
        </w:tc>
        <w:tc>
          <w:tcPr>
            <w:tcW w:w="1466" w:type="dxa"/>
            <w:tcBorders>
              <w:top w:val="nil"/>
              <w:left w:val="nil"/>
              <w:bottom w:val="nil"/>
              <w:right w:val="nil"/>
            </w:tcBorders>
            <w:shd w:val="clear" w:color="auto" w:fill="auto"/>
            <w:noWrap/>
            <w:vAlign w:val="center"/>
            <w:hideMark/>
          </w:tcPr>
          <w:p w14:paraId="7C621777" w14:textId="543D7C68"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6</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625</w:t>
            </w:r>
          </w:p>
        </w:tc>
        <w:tc>
          <w:tcPr>
            <w:tcW w:w="1745" w:type="dxa"/>
            <w:tcBorders>
              <w:top w:val="nil"/>
              <w:left w:val="nil"/>
              <w:bottom w:val="nil"/>
              <w:right w:val="nil"/>
            </w:tcBorders>
            <w:shd w:val="clear" w:color="auto" w:fill="auto"/>
            <w:noWrap/>
            <w:vAlign w:val="center"/>
            <w:hideMark/>
          </w:tcPr>
          <w:p w14:paraId="5A2B3633" w14:textId="3CF5AFB5"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84</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969</w:t>
            </w:r>
          </w:p>
        </w:tc>
        <w:tc>
          <w:tcPr>
            <w:tcW w:w="1833" w:type="dxa"/>
            <w:tcBorders>
              <w:top w:val="nil"/>
              <w:left w:val="nil"/>
              <w:bottom w:val="nil"/>
              <w:right w:val="nil"/>
            </w:tcBorders>
            <w:shd w:val="clear" w:color="auto" w:fill="auto"/>
            <w:noWrap/>
            <w:vAlign w:val="center"/>
            <w:hideMark/>
          </w:tcPr>
          <w:p w14:paraId="46CB3A0A" w14:textId="34BBD74B"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108</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212</w:t>
            </w:r>
          </w:p>
        </w:tc>
      </w:tr>
      <w:tr w:rsidR="00593E7B" w:rsidRPr="00DE058F" w14:paraId="173724B0" w14:textId="77777777" w:rsidTr="00C95509">
        <w:trPr>
          <w:trHeight w:val="170"/>
        </w:trPr>
        <w:tc>
          <w:tcPr>
            <w:tcW w:w="4093" w:type="dxa"/>
            <w:tcBorders>
              <w:top w:val="nil"/>
              <w:left w:val="nil"/>
              <w:bottom w:val="nil"/>
              <w:right w:val="nil"/>
            </w:tcBorders>
            <w:shd w:val="clear" w:color="auto" w:fill="auto"/>
            <w:noWrap/>
            <w:vAlign w:val="center"/>
            <w:hideMark/>
          </w:tcPr>
          <w:p w14:paraId="744D0561" w14:textId="6FB80930"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JП </w:t>
            </w:r>
            <w:r w:rsidR="0039118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Национални парк Фрушка гора</w:t>
            </w:r>
            <w:r w:rsidR="0039118D" w:rsidRPr="00DE058F">
              <w:rPr>
                <w:rFonts w:ascii="Calibri" w:eastAsia="Times New Roman" w:hAnsi="Calibri" w:cs="Calibri"/>
                <w:color w:val="002060"/>
                <w:sz w:val="18"/>
                <w:szCs w:val="18"/>
                <w:lang w:val="sr-Cyrl-CS" w:eastAsia="en-GB"/>
              </w:rPr>
              <w:t>”</w:t>
            </w:r>
          </w:p>
        </w:tc>
        <w:tc>
          <w:tcPr>
            <w:tcW w:w="1466" w:type="dxa"/>
            <w:tcBorders>
              <w:top w:val="nil"/>
              <w:left w:val="nil"/>
              <w:bottom w:val="nil"/>
              <w:right w:val="nil"/>
            </w:tcBorders>
            <w:shd w:val="clear" w:color="auto" w:fill="auto"/>
            <w:noWrap/>
            <w:vAlign w:val="center"/>
            <w:hideMark/>
          </w:tcPr>
          <w:p w14:paraId="49D449CE" w14:textId="01ED64A3"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884</w:t>
            </w:r>
          </w:p>
        </w:tc>
        <w:tc>
          <w:tcPr>
            <w:tcW w:w="1745" w:type="dxa"/>
            <w:tcBorders>
              <w:top w:val="nil"/>
              <w:left w:val="nil"/>
              <w:bottom w:val="nil"/>
              <w:right w:val="nil"/>
            </w:tcBorders>
            <w:shd w:val="clear" w:color="auto" w:fill="auto"/>
            <w:noWrap/>
            <w:vAlign w:val="center"/>
            <w:hideMark/>
          </w:tcPr>
          <w:p w14:paraId="70204F81" w14:textId="5CE6389C"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963</w:t>
            </w:r>
          </w:p>
        </w:tc>
        <w:tc>
          <w:tcPr>
            <w:tcW w:w="1833" w:type="dxa"/>
            <w:tcBorders>
              <w:top w:val="nil"/>
              <w:left w:val="nil"/>
              <w:bottom w:val="nil"/>
              <w:right w:val="nil"/>
            </w:tcBorders>
            <w:shd w:val="clear" w:color="auto" w:fill="auto"/>
            <w:noWrap/>
            <w:vAlign w:val="center"/>
            <w:hideMark/>
          </w:tcPr>
          <w:p w14:paraId="229708BE" w14:textId="0C910C9E"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8</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832</w:t>
            </w:r>
          </w:p>
        </w:tc>
      </w:tr>
      <w:tr w:rsidR="00593E7B" w:rsidRPr="00DE058F" w14:paraId="53B0634C" w14:textId="77777777" w:rsidTr="00C95509">
        <w:trPr>
          <w:trHeight w:val="170"/>
        </w:trPr>
        <w:tc>
          <w:tcPr>
            <w:tcW w:w="4093" w:type="dxa"/>
            <w:tcBorders>
              <w:top w:val="nil"/>
              <w:left w:val="nil"/>
              <w:bottom w:val="nil"/>
              <w:right w:val="nil"/>
            </w:tcBorders>
            <w:shd w:val="clear" w:color="auto" w:fill="auto"/>
            <w:noWrap/>
            <w:vAlign w:val="center"/>
            <w:hideMark/>
          </w:tcPr>
          <w:p w14:paraId="3987283D" w14:textId="6C7EEC5D" w:rsidR="00593E7B" w:rsidRPr="00DE058F" w:rsidRDefault="0039118D"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Дипос</w:t>
            </w: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 xml:space="preserve"> д.o.o.</w:t>
            </w:r>
          </w:p>
        </w:tc>
        <w:tc>
          <w:tcPr>
            <w:tcW w:w="1466" w:type="dxa"/>
            <w:tcBorders>
              <w:top w:val="nil"/>
              <w:left w:val="nil"/>
              <w:bottom w:val="nil"/>
              <w:right w:val="nil"/>
            </w:tcBorders>
            <w:shd w:val="clear" w:color="auto" w:fill="auto"/>
            <w:noWrap/>
            <w:vAlign w:val="center"/>
            <w:hideMark/>
          </w:tcPr>
          <w:p w14:paraId="111F7DC3" w14:textId="469D00F3"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132</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047</w:t>
            </w:r>
          </w:p>
        </w:tc>
        <w:tc>
          <w:tcPr>
            <w:tcW w:w="1745" w:type="dxa"/>
            <w:tcBorders>
              <w:top w:val="nil"/>
              <w:left w:val="nil"/>
              <w:bottom w:val="nil"/>
              <w:right w:val="nil"/>
            </w:tcBorders>
            <w:shd w:val="clear" w:color="auto" w:fill="auto"/>
            <w:noWrap/>
            <w:vAlign w:val="center"/>
            <w:hideMark/>
          </w:tcPr>
          <w:p w14:paraId="00284DE7" w14:textId="27EF1214"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34</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570</w:t>
            </w:r>
          </w:p>
        </w:tc>
        <w:tc>
          <w:tcPr>
            <w:tcW w:w="1833" w:type="dxa"/>
            <w:tcBorders>
              <w:top w:val="nil"/>
              <w:left w:val="nil"/>
              <w:bottom w:val="nil"/>
              <w:right w:val="nil"/>
            </w:tcBorders>
            <w:shd w:val="clear" w:color="auto" w:fill="auto"/>
            <w:noWrap/>
            <w:vAlign w:val="center"/>
            <w:hideMark/>
          </w:tcPr>
          <w:p w14:paraId="254142E7" w14:textId="10E2CD2F"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73</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524</w:t>
            </w:r>
          </w:p>
        </w:tc>
      </w:tr>
      <w:tr w:rsidR="00593E7B" w:rsidRPr="00DE058F" w14:paraId="62A4D382" w14:textId="77777777" w:rsidTr="00C95509">
        <w:trPr>
          <w:trHeight w:val="170"/>
        </w:trPr>
        <w:tc>
          <w:tcPr>
            <w:tcW w:w="4093" w:type="dxa"/>
            <w:tcBorders>
              <w:top w:val="nil"/>
              <w:left w:val="nil"/>
              <w:bottom w:val="nil"/>
              <w:right w:val="nil"/>
            </w:tcBorders>
            <w:shd w:val="clear" w:color="auto" w:fill="auto"/>
            <w:noWrap/>
            <w:vAlign w:val="center"/>
            <w:hideMark/>
          </w:tcPr>
          <w:p w14:paraId="30DE387F" w14:textId="0D000972" w:rsidR="00593E7B" w:rsidRPr="00DE058F" w:rsidRDefault="0039118D"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Електромрежа Србије</w:t>
            </w: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 xml:space="preserve"> a.д.</w:t>
            </w:r>
          </w:p>
        </w:tc>
        <w:tc>
          <w:tcPr>
            <w:tcW w:w="1466" w:type="dxa"/>
            <w:tcBorders>
              <w:top w:val="nil"/>
              <w:left w:val="nil"/>
              <w:bottom w:val="nil"/>
              <w:right w:val="nil"/>
            </w:tcBorders>
            <w:shd w:val="clear" w:color="auto" w:fill="auto"/>
            <w:noWrap/>
            <w:vAlign w:val="center"/>
            <w:hideMark/>
          </w:tcPr>
          <w:p w14:paraId="582A2A77" w14:textId="747E9DDE"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592</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764</w:t>
            </w:r>
          </w:p>
        </w:tc>
        <w:tc>
          <w:tcPr>
            <w:tcW w:w="1745" w:type="dxa"/>
            <w:tcBorders>
              <w:top w:val="nil"/>
              <w:left w:val="nil"/>
              <w:bottom w:val="nil"/>
              <w:right w:val="nil"/>
            </w:tcBorders>
            <w:shd w:val="clear" w:color="auto" w:fill="auto"/>
            <w:noWrap/>
            <w:vAlign w:val="center"/>
            <w:hideMark/>
          </w:tcPr>
          <w:p w14:paraId="64ABF843" w14:textId="6C949F75"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952</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340</w:t>
            </w:r>
          </w:p>
        </w:tc>
        <w:tc>
          <w:tcPr>
            <w:tcW w:w="1833" w:type="dxa"/>
            <w:tcBorders>
              <w:top w:val="nil"/>
              <w:left w:val="nil"/>
              <w:bottom w:val="nil"/>
              <w:right w:val="nil"/>
            </w:tcBorders>
            <w:shd w:val="clear" w:color="auto" w:fill="auto"/>
            <w:noWrap/>
            <w:vAlign w:val="center"/>
            <w:hideMark/>
          </w:tcPr>
          <w:p w14:paraId="346004CC" w14:textId="3D808E2D"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364</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651</w:t>
            </w:r>
          </w:p>
        </w:tc>
      </w:tr>
      <w:tr w:rsidR="00593E7B" w:rsidRPr="00DE058F" w14:paraId="3C505A80" w14:textId="77777777" w:rsidTr="00C95509">
        <w:trPr>
          <w:trHeight w:val="170"/>
        </w:trPr>
        <w:tc>
          <w:tcPr>
            <w:tcW w:w="4093" w:type="dxa"/>
            <w:tcBorders>
              <w:top w:val="nil"/>
              <w:left w:val="nil"/>
              <w:bottom w:val="nil"/>
              <w:right w:val="nil"/>
            </w:tcBorders>
            <w:shd w:val="clear" w:color="auto" w:fill="auto"/>
            <w:noWrap/>
            <w:vAlign w:val="center"/>
            <w:hideMark/>
          </w:tcPr>
          <w:p w14:paraId="6853146A" w14:textId="3D70E0F9"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JП </w:t>
            </w:r>
            <w:r w:rsidR="0039118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Национални парк Копаоник</w:t>
            </w:r>
            <w:r w:rsidR="0039118D" w:rsidRPr="00DE058F">
              <w:rPr>
                <w:rFonts w:ascii="Calibri" w:eastAsia="Times New Roman" w:hAnsi="Calibri" w:cs="Calibri"/>
                <w:color w:val="002060"/>
                <w:sz w:val="18"/>
                <w:szCs w:val="18"/>
                <w:lang w:val="sr-Cyrl-CS" w:eastAsia="en-GB"/>
              </w:rPr>
              <w:t>”</w:t>
            </w:r>
          </w:p>
        </w:tc>
        <w:tc>
          <w:tcPr>
            <w:tcW w:w="1466" w:type="dxa"/>
            <w:tcBorders>
              <w:top w:val="nil"/>
              <w:left w:val="nil"/>
              <w:bottom w:val="nil"/>
              <w:right w:val="nil"/>
            </w:tcBorders>
            <w:shd w:val="clear" w:color="auto" w:fill="auto"/>
            <w:noWrap/>
            <w:vAlign w:val="center"/>
            <w:hideMark/>
          </w:tcPr>
          <w:p w14:paraId="56431FD1" w14:textId="7C06B5F2"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20</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193</w:t>
            </w:r>
          </w:p>
        </w:tc>
        <w:tc>
          <w:tcPr>
            <w:tcW w:w="1745" w:type="dxa"/>
            <w:tcBorders>
              <w:top w:val="nil"/>
              <w:left w:val="nil"/>
              <w:bottom w:val="nil"/>
              <w:right w:val="nil"/>
            </w:tcBorders>
            <w:shd w:val="clear" w:color="auto" w:fill="auto"/>
            <w:noWrap/>
            <w:vAlign w:val="center"/>
            <w:hideMark/>
          </w:tcPr>
          <w:p w14:paraId="682871AF" w14:textId="2BA0C579"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47</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498</w:t>
            </w:r>
          </w:p>
        </w:tc>
        <w:tc>
          <w:tcPr>
            <w:tcW w:w="1833" w:type="dxa"/>
            <w:tcBorders>
              <w:top w:val="nil"/>
              <w:left w:val="nil"/>
              <w:bottom w:val="nil"/>
              <w:right w:val="nil"/>
            </w:tcBorders>
            <w:shd w:val="clear" w:color="auto" w:fill="auto"/>
            <w:noWrap/>
            <w:vAlign w:val="center"/>
            <w:hideMark/>
          </w:tcPr>
          <w:p w14:paraId="729E41D4" w14:textId="79498316"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53</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221</w:t>
            </w:r>
          </w:p>
        </w:tc>
      </w:tr>
      <w:tr w:rsidR="00593E7B" w:rsidRPr="00DE058F" w14:paraId="715FEB43" w14:textId="77777777" w:rsidTr="00C95509">
        <w:trPr>
          <w:trHeight w:val="170"/>
        </w:trPr>
        <w:tc>
          <w:tcPr>
            <w:tcW w:w="4093" w:type="dxa"/>
            <w:tcBorders>
              <w:top w:val="nil"/>
              <w:left w:val="nil"/>
              <w:bottom w:val="nil"/>
              <w:right w:val="nil"/>
            </w:tcBorders>
            <w:shd w:val="clear" w:color="auto" w:fill="auto"/>
            <w:noWrap/>
            <w:vAlign w:val="center"/>
            <w:hideMark/>
          </w:tcPr>
          <w:p w14:paraId="71ACBD55" w14:textId="1EA212C6" w:rsidR="00593E7B" w:rsidRPr="00DE058F" w:rsidRDefault="0039118D"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Државна лутрија Србије</w:t>
            </w: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 xml:space="preserve"> д.o.o. </w:t>
            </w:r>
          </w:p>
        </w:tc>
        <w:tc>
          <w:tcPr>
            <w:tcW w:w="1466" w:type="dxa"/>
            <w:tcBorders>
              <w:top w:val="nil"/>
              <w:left w:val="nil"/>
              <w:bottom w:val="nil"/>
              <w:right w:val="nil"/>
            </w:tcBorders>
            <w:shd w:val="clear" w:color="auto" w:fill="auto"/>
            <w:noWrap/>
            <w:vAlign w:val="center"/>
            <w:hideMark/>
          </w:tcPr>
          <w:p w14:paraId="0AE8681C" w14:textId="14C5D43B"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140</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574</w:t>
            </w:r>
          </w:p>
        </w:tc>
        <w:tc>
          <w:tcPr>
            <w:tcW w:w="1745" w:type="dxa"/>
            <w:tcBorders>
              <w:top w:val="nil"/>
              <w:left w:val="nil"/>
              <w:bottom w:val="nil"/>
              <w:right w:val="nil"/>
            </w:tcBorders>
            <w:shd w:val="clear" w:color="auto" w:fill="auto"/>
            <w:noWrap/>
            <w:vAlign w:val="center"/>
            <w:hideMark/>
          </w:tcPr>
          <w:p w14:paraId="10EEA1F6" w14:textId="3152C468"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31</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348</w:t>
            </w:r>
          </w:p>
        </w:tc>
        <w:tc>
          <w:tcPr>
            <w:tcW w:w="1833" w:type="dxa"/>
            <w:tcBorders>
              <w:top w:val="nil"/>
              <w:left w:val="nil"/>
              <w:bottom w:val="nil"/>
              <w:right w:val="nil"/>
            </w:tcBorders>
            <w:shd w:val="clear" w:color="auto" w:fill="auto"/>
            <w:noWrap/>
            <w:vAlign w:val="center"/>
            <w:hideMark/>
          </w:tcPr>
          <w:p w14:paraId="2DC81F27" w14:textId="3CCB4622"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120</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520</w:t>
            </w:r>
          </w:p>
        </w:tc>
      </w:tr>
      <w:tr w:rsidR="00593E7B" w:rsidRPr="00DE058F" w14:paraId="108D4606" w14:textId="77777777" w:rsidTr="00C95509">
        <w:trPr>
          <w:trHeight w:val="170"/>
        </w:trPr>
        <w:tc>
          <w:tcPr>
            <w:tcW w:w="4093" w:type="dxa"/>
            <w:tcBorders>
              <w:top w:val="nil"/>
              <w:left w:val="nil"/>
              <w:bottom w:val="nil"/>
              <w:right w:val="nil"/>
            </w:tcBorders>
            <w:shd w:val="clear" w:color="auto" w:fill="auto"/>
            <w:noWrap/>
            <w:vAlign w:val="center"/>
            <w:hideMark/>
          </w:tcPr>
          <w:p w14:paraId="07D17037" w14:textId="3265278E"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JП </w:t>
            </w:r>
            <w:r w:rsidR="0039118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Национални парк Тара</w:t>
            </w:r>
            <w:r w:rsidR="0039118D" w:rsidRPr="00DE058F">
              <w:rPr>
                <w:rFonts w:ascii="Calibri" w:eastAsia="Times New Roman" w:hAnsi="Calibri" w:cs="Calibri"/>
                <w:color w:val="002060"/>
                <w:sz w:val="18"/>
                <w:szCs w:val="18"/>
                <w:lang w:val="sr-Cyrl-CS" w:eastAsia="en-GB"/>
              </w:rPr>
              <w:t>”</w:t>
            </w:r>
          </w:p>
        </w:tc>
        <w:tc>
          <w:tcPr>
            <w:tcW w:w="1466" w:type="dxa"/>
            <w:tcBorders>
              <w:top w:val="nil"/>
              <w:left w:val="nil"/>
              <w:bottom w:val="nil"/>
              <w:right w:val="nil"/>
            </w:tcBorders>
            <w:shd w:val="clear" w:color="auto" w:fill="auto"/>
            <w:noWrap/>
            <w:vAlign w:val="center"/>
            <w:hideMark/>
          </w:tcPr>
          <w:p w14:paraId="08CA9FA9" w14:textId="230F2680"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9</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726</w:t>
            </w:r>
          </w:p>
        </w:tc>
        <w:tc>
          <w:tcPr>
            <w:tcW w:w="1745" w:type="dxa"/>
            <w:tcBorders>
              <w:top w:val="nil"/>
              <w:left w:val="nil"/>
              <w:bottom w:val="nil"/>
              <w:right w:val="nil"/>
            </w:tcBorders>
            <w:shd w:val="clear" w:color="auto" w:fill="auto"/>
            <w:noWrap/>
            <w:vAlign w:val="center"/>
            <w:hideMark/>
          </w:tcPr>
          <w:p w14:paraId="605BDA47" w14:textId="77777777"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30</w:t>
            </w:r>
          </w:p>
        </w:tc>
        <w:tc>
          <w:tcPr>
            <w:tcW w:w="1833" w:type="dxa"/>
            <w:tcBorders>
              <w:top w:val="nil"/>
              <w:left w:val="nil"/>
              <w:bottom w:val="nil"/>
              <w:right w:val="nil"/>
            </w:tcBorders>
            <w:shd w:val="clear" w:color="auto" w:fill="auto"/>
            <w:noWrap/>
            <w:vAlign w:val="center"/>
            <w:hideMark/>
          </w:tcPr>
          <w:p w14:paraId="3ED1C55D" w14:textId="77777777"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27</w:t>
            </w:r>
          </w:p>
        </w:tc>
      </w:tr>
      <w:tr w:rsidR="00593E7B" w:rsidRPr="00DE058F" w14:paraId="71AF5BBA" w14:textId="77777777" w:rsidTr="00C95509">
        <w:trPr>
          <w:trHeight w:val="170"/>
        </w:trPr>
        <w:tc>
          <w:tcPr>
            <w:tcW w:w="4093" w:type="dxa"/>
            <w:tcBorders>
              <w:top w:val="nil"/>
              <w:left w:val="nil"/>
              <w:bottom w:val="nil"/>
              <w:right w:val="nil"/>
            </w:tcBorders>
            <w:shd w:val="clear" w:color="auto" w:fill="auto"/>
            <w:noWrap/>
            <w:vAlign w:val="center"/>
            <w:hideMark/>
          </w:tcPr>
          <w:p w14:paraId="16C4015D" w14:textId="5747BFA8"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JП </w:t>
            </w:r>
            <w:r w:rsidR="0039118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Нуклеарни објекти Србије</w:t>
            </w:r>
            <w:r w:rsidR="0039118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 xml:space="preserve"> ВИНЧА</w:t>
            </w:r>
          </w:p>
        </w:tc>
        <w:tc>
          <w:tcPr>
            <w:tcW w:w="1466" w:type="dxa"/>
            <w:tcBorders>
              <w:top w:val="nil"/>
              <w:left w:val="nil"/>
              <w:bottom w:val="nil"/>
              <w:right w:val="nil"/>
            </w:tcBorders>
            <w:shd w:val="clear" w:color="auto" w:fill="auto"/>
            <w:noWrap/>
            <w:vAlign w:val="center"/>
            <w:hideMark/>
          </w:tcPr>
          <w:p w14:paraId="78751490" w14:textId="44199939"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49</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723</w:t>
            </w:r>
          </w:p>
        </w:tc>
        <w:tc>
          <w:tcPr>
            <w:tcW w:w="1745" w:type="dxa"/>
            <w:tcBorders>
              <w:top w:val="nil"/>
              <w:left w:val="nil"/>
              <w:bottom w:val="nil"/>
              <w:right w:val="nil"/>
            </w:tcBorders>
            <w:shd w:val="clear" w:color="auto" w:fill="auto"/>
            <w:noWrap/>
            <w:vAlign w:val="center"/>
            <w:hideMark/>
          </w:tcPr>
          <w:p w14:paraId="3EA2D8F7" w14:textId="77777777"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731</w:t>
            </w:r>
          </w:p>
        </w:tc>
        <w:tc>
          <w:tcPr>
            <w:tcW w:w="1833" w:type="dxa"/>
            <w:tcBorders>
              <w:top w:val="nil"/>
              <w:left w:val="nil"/>
              <w:bottom w:val="nil"/>
              <w:right w:val="nil"/>
            </w:tcBorders>
            <w:shd w:val="clear" w:color="auto" w:fill="auto"/>
            <w:noWrap/>
            <w:vAlign w:val="center"/>
            <w:hideMark/>
          </w:tcPr>
          <w:p w14:paraId="086A50ED" w14:textId="210D0138"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487</w:t>
            </w:r>
          </w:p>
        </w:tc>
      </w:tr>
      <w:tr w:rsidR="00593E7B" w:rsidRPr="00DE058F" w14:paraId="53223405" w14:textId="77777777" w:rsidTr="00C95509">
        <w:trPr>
          <w:trHeight w:val="170"/>
        </w:trPr>
        <w:tc>
          <w:tcPr>
            <w:tcW w:w="4093" w:type="dxa"/>
            <w:tcBorders>
              <w:top w:val="nil"/>
              <w:left w:val="nil"/>
              <w:bottom w:val="nil"/>
              <w:right w:val="nil"/>
            </w:tcBorders>
            <w:shd w:val="clear" w:color="auto" w:fill="auto"/>
            <w:noWrap/>
            <w:vAlign w:val="center"/>
            <w:hideMark/>
          </w:tcPr>
          <w:p w14:paraId="6F5EE148" w14:textId="7C4B107B" w:rsidR="00593E7B" w:rsidRPr="00DE058F" w:rsidRDefault="0039118D"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Железнице Србије</w:t>
            </w: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 xml:space="preserve"> а.д</w:t>
            </w:r>
          </w:p>
        </w:tc>
        <w:tc>
          <w:tcPr>
            <w:tcW w:w="1466" w:type="dxa"/>
            <w:tcBorders>
              <w:top w:val="nil"/>
              <w:left w:val="nil"/>
              <w:bottom w:val="nil"/>
              <w:right w:val="nil"/>
            </w:tcBorders>
            <w:shd w:val="clear" w:color="auto" w:fill="auto"/>
            <w:noWrap/>
            <w:vAlign w:val="center"/>
            <w:hideMark/>
          </w:tcPr>
          <w:p w14:paraId="25F58AF5" w14:textId="2F1AC38A"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-3</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318</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393</w:t>
            </w:r>
          </w:p>
        </w:tc>
        <w:tc>
          <w:tcPr>
            <w:tcW w:w="1745" w:type="dxa"/>
            <w:tcBorders>
              <w:top w:val="nil"/>
              <w:left w:val="nil"/>
              <w:bottom w:val="nil"/>
              <w:right w:val="nil"/>
            </w:tcBorders>
            <w:shd w:val="clear" w:color="auto" w:fill="auto"/>
            <w:noWrap/>
            <w:vAlign w:val="center"/>
            <w:hideMark/>
          </w:tcPr>
          <w:p w14:paraId="57E09FF6" w14:textId="26E95BBB"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-67</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783</w:t>
            </w:r>
          </w:p>
        </w:tc>
        <w:tc>
          <w:tcPr>
            <w:tcW w:w="1833" w:type="dxa"/>
            <w:tcBorders>
              <w:top w:val="nil"/>
              <w:left w:val="nil"/>
              <w:bottom w:val="nil"/>
              <w:right w:val="nil"/>
            </w:tcBorders>
            <w:shd w:val="clear" w:color="auto" w:fill="auto"/>
            <w:noWrap/>
            <w:vAlign w:val="center"/>
            <w:hideMark/>
          </w:tcPr>
          <w:p w14:paraId="5F657ABB" w14:textId="43A79D8F"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75</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402</w:t>
            </w:r>
          </w:p>
        </w:tc>
      </w:tr>
      <w:tr w:rsidR="00593E7B" w:rsidRPr="00DE058F" w14:paraId="07214882" w14:textId="77777777" w:rsidTr="00C95509">
        <w:trPr>
          <w:trHeight w:val="170"/>
        </w:trPr>
        <w:tc>
          <w:tcPr>
            <w:tcW w:w="4093" w:type="dxa"/>
            <w:tcBorders>
              <w:top w:val="nil"/>
              <w:left w:val="nil"/>
              <w:bottom w:val="nil"/>
              <w:right w:val="nil"/>
            </w:tcBorders>
            <w:shd w:val="clear" w:color="auto" w:fill="auto"/>
            <w:noWrap/>
            <w:vAlign w:val="center"/>
            <w:hideMark/>
          </w:tcPr>
          <w:p w14:paraId="623286B8" w14:textId="56F354E1"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Парк природе </w:t>
            </w:r>
            <w:r w:rsidR="0039118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Мокра Гора</w:t>
            </w:r>
            <w:r w:rsidR="0039118D" w:rsidRPr="00DE058F">
              <w:rPr>
                <w:rFonts w:ascii="Calibri" w:eastAsia="Times New Roman" w:hAnsi="Calibri" w:cs="Calibri"/>
                <w:color w:val="002060"/>
                <w:sz w:val="18"/>
                <w:szCs w:val="18"/>
                <w:lang w:val="sr-Cyrl-CS" w:eastAsia="en-GB"/>
              </w:rPr>
              <w:t xml:space="preserve">” </w:t>
            </w:r>
            <w:r w:rsidRPr="00DE058F">
              <w:rPr>
                <w:rFonts w:ascii="Calibri" w:eastAsia="Times New Roman" w:hAnsi="Calibri" w:cs="Calibri"/>
                <w:color w:val="002060"/>
                <w:sz w:val="18"/>
                <w:szCs w:val="18"/>
                <w:lang w:val="sr-Cyrl-CS" w:eastAsia="en-GB"/>
              </w:rPr>
              <w:t>д.о.о.</w:t>
            </w:r>
          </w:p>
        </w:tc>
        <w:tc>
          <w:tcPr>
            <w:tcW w:w="1466" w:type="dxa"/>
            <w:tcBorders>
              <w:top w:val="nil"/>
              <w:left w:val="nil"/>
              <w:bottom w:val="nil"/>
              <w:right w:val="nil"/>
            </w:tcBorders>
            <w:shd w:val="clear" w:color="auto" w:fill="auto"/>
            <w:noWrap/>
            <w:vAlign w:val="center"/>
            <w:hideMark/>
          </w:tcPr>
          <w:p w14:paraId="4767380E" w14:textId="77777777"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368</w:t>
            </w:r>
          </w:p>
        </w:tc>
        <w:tc>
          <w:tcPr>
            <w:tcW w:w="1745" w:type="dxa"/>
            <w:tcBorders>
              <w:top w:val="nil"/>
              <w:left w:val="nil"/>
              <w:bottom w:val="nil"/>
              <w:right w:val="nil"/>
            </w:tcBorders>
            <w:shd w:val="clear" w:color="auto" w:fill="auto"/>
            <w:noWrap/>
            <w:vAlign w:val="center"/>
            <w:hideMark/>
          </w:tcPr>
          <w:p w14:paraId="5DDE4A8C" w14:textId="77777777"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НП*</w:t>
            </w:r>
          </w:p>
        </w:tc>
        <w:tc>
          <w:tcPr>
            <w:tcW w:w="1833" w:type="dxa"/>
            <w:tcBorders>
              <w:top w:val="nil"/>
              <w:left w:val="nil"/>
              <w:bottom w:val="nil"/>
              <w:right w:val="nil"/>
            </w:tcBorders>
            <w:shd w:val="clear" w:color="auto" w:fill="auto"/>
            <w:noWrap/>
            <w:vAlign w:val="center"/>
            <w:hideMark/>
          </w:tcPr>
          <w:p w14:paraId="33DED86B" w14:textId="0F2A75DC"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8</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792</w:t>
            </w:r>
          </w:p>
        </w:tc>
      </w:tr>
      <w:tr w:rsidR="00593E7B" w:rsidRPr="00DE058F" w14:paraId="1A7D153C" w14:textId="77777777" w:rsidTr="00C95509">
        <w:trPr>
          <w:trHeight w:val="170"/>
        </w:trPr>
        <w:tc>
          <w:tcPr>
            <w:tcW w:w="4093" w:type="dxa"/>
            <w:tcBorders>
              <w:top w:val="single" w:sz="8" w:space="0" w:color="002060"/>
              <w:left w:val="nil"/>
              <w:bottom w:val="single" w:sz="8" w:space="0" w:color="002060"/>
              <w:right w:val="nil"/>
            </w:tcBorders>
            <w:shd w:val="clear" w:color="auto" w:fill="auto"/>
            <w:noWrap/>
            <w:vAlign w:val="center"/>
            <w:hideMark/>
          </w:tcPr>
          <w:p w14:paraId="22E74938" w14:textId="77777777" w:rsidR="00593E7B" w:rsidRPr="00DE058F" w:rsidRDefault="00593E7B" w:rsidP="00C95509">
            <w:pPr>
              <w:spacing w:after="0" w:line="240" w:lineRule="auto"/>
              <w:jc w:val="left"/>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Укупно</w:t>
            </w:r>
          </w:p>
        </w:tc>
        <w:tc>
          <w:tcPr>
            <w:tcW w:w="1466" w:type="dxa"/>
            <w:tcBorders>
              <w:top w:val="single" w:sz="8" w:space="0" w:color="002060"/>
              <w:left w:val="nil"/>
              <w:bottom w:val="single" w:sz="8" w:space="0" w:color="002060"/>
              <w:right w:val="nil"/>
            </w:tcBorders>
            <w:shd w:val="clear" w:color="auto" w:fill="auto"/>
            <w:noWrap/>
            <w:vAlign w:val="center"/>
            <w:hideMark/>
          </w:tcPr>
          <w:p w14:paraId="1DF0A058" w14:textId="372EBA71" w:rsidR="00593E7B" w:rsidRPr="00DE058F" w:rsidRDefault="00593E7B" w:rsidP="00C95509">
            <w:pPr>
              <w:spacing w:after="0" w:line="240" w:lineRule="auto"/>
              <w:jc w:val="right"/>
              <w:rPr>
                <w:rFonts w:ascii="Calibri" w:eastAsia="Times New Roman" w:hAnsi="Calibri" w:cs="Calibri"/>
                <w:b/>
                <w:color w:val="002060"/>
                <w:sz w:val="18"/>
                <w:szCs w:val="18"/>
                <w:lang w:val="sr-Cyrl-CS" w:eastAsia="en-GB"/>
              </w:rPr>
            </w:pPr>
            <w:r w:rsidRPr="00DE058F">
              <w:rPr>
                <w:rFonts w:ascii="Calibri" w:eastAsia="Times New Roman" w:hAnsi="Calibri" w:cs="Calibri"/>
                <w:b/>
                <w:color w:val="002060"/>
                <w:sz w:val="18"/>
                <w:szCs w:val="18"/>
                <w:lang w:val="sr-Cyrl-CS" w:eastAsia="en-GB"/>
              </w:rPr>
              <w:t>7</w:t>
            </w:r>
            <w:r w:rsidR="00A26E4D" w:rsidRPr="00DE058F">
              <w:rPr>
                <w:rFonts w:ascii="Calibri" w:eastAsia="Times New Roman" w:hAnsi="Calibri" w:cs="Calibri"/>
                <w:b/>
                <w:color w:val="002060"/>
                <w:sz w:val="18"/>
                <w:szCs w:val="18"/>
                <w:lang w:val="sr-Cyrl-CS" w:eastAsia="en-GB"/>
              </w:rPr>
              <w:t>.</w:t>
            </w:r>
            <w:r w:rsidRPr="00DE058F">
              <w:rPr>
                <w:rFonts w:ascii="Calibri" w:eastAsia="Times New Roman" w:hAnsi="Calibri" w:cs="Calibri"/>
                <w:b/>
                <w:color w:val="002060"/>
                <w:sz w:val="18"/>
                <w:szCs w:val="18"/>
                <w:lang w:val="sr-Cyrl-CS" w:eastAsia="en-GB"/>
              </w:rPr>
              <w:t>288</w:t>
            </w:r>
            <w:r w:rsidR="00A26E4D" w:rsidRPr="00DE058F">
              <w:rPr>
                <w:rFonts w:ascii="Calibri" w:eastAsia="Times New Roman" w:hAnsi="Calibri" w:cs="Calibri"/>
                <w:b/>
                <w:color w:val="002060"/>
                <w:sz w:val="18"/>
                <w:szCs w:val="18"/>
                <w:lang w:val="sr-Cyrl-CS" w:eastAsia="en-GB"/>
              </w:rPr>
              <w:t>.</w:t>
            </w:r>
            <w:r w:rsidRPr="00DE058F">
              <w:rPr>
                <w:rFonts w:ascii="Calibri" w:eastAsia="Times New Roman" w:hAnsi="Calibri" w:cs="Calibri"/>
                <w:b/>
                <w:color w:val="002060"/>
                <w:sz w:val="18"/>
                <w:szCs w:val="18"/>
                <w:lang w:val="sr-Cyrl-CS" w:eastAsia="en-GB"/>
              </w:rPr>
              <w:t>371</w:t>
            </w:r>
          </w:p>
        </w:tc>
        <w:tc>
          <w:tcPr>
            <w:tcW w:w="1745" w:type="dxa"/>
            <w:tcBorders>
              <w:top w:val="single" w:sz="8" w:space="0" w:color="002060"/>
              <w:left w:val="nil"/>
              <w:bottom w:val="single" w:sz="8" w:space="0" w:color="002060"/>
              <w:right w:val="nil"/>
            </w:tcBorders>
            <w:shd w:val="clear" w:color="auto" w:fill="auto"/>
            <w:noWrap/>
            <w:vAlign w:val="center"/>
            <w:hideMark/>
          </w:tcPr>
          <w:p w14:paraId="33440FE2" w14:textId="2B073585" w:rsidR="00593E7B" w:rsidRPr="00DE058F" w:rsidRDefault="00593E7B" w:rsidP="00C95509">
            <w:pPr>
              <w:spacing w:after="0" w:line="240" w:lineRule="auto"/>
              <w:jc w:val="right"/>
              <w:rPr>
                <w:rFonts w:ascii="Calibri" w:eastAsia="Times New Roman" w:hAnsi="Calibri" w:cs="Calibri"/>
                <w:b/>
                <w:color w:val="002060"/>
                <w:sz w:val="18"/>
                <w:szCs w:val="18"/>
                <w:lang w:val="sr-Cyrl-CS" w:eastAsia="en-GB"/>
              </w:rPr>
            </w:pPr>
            <w:r w:rsidRPr="00DE058F">
              <w:rPr>
                <w:rFonts w:ascii="Calibri" w:eastAsia="Times New Roman" w:hAnsi="Calibri" w:cs="Calibri"/>
                <w:b/>
                <w:color w:val="002060"/>
                <w:sz w:val="18"/>
                <w:szCs w:val="18"/>
                <w:lang w:val="sr-Cyrl-CS" w:eastAsia="en-GB"/>
              </w:rPr>
              <w:t>3</w:t>
            </w:r>
            <w:r w:rsidR="00A26E4D" w:rsidRPr="00DE058F">
              <w:rPr>
                <w:rFonts w:ascii="Calibri" w:eastAsia="Times New Roman" w:hAnsi="Calibri" w:cs="Calibri"/>
                <w:b/>
                <w:color w:val="002060"/>
                <w:sz w:val="18"/>
                <w:szCs w:val="18"/>
                <w:lang w:val="sr-Cyrl-CS" w:eastAsia="en-GB"/>
              </w:rPr>
              <w:t>.</w:t>
            </w:r>
            <w:r w:rsidRPr="00DE058F">
              <w:rPr>
                <w:rFonts w:ascii="Calibri" w:eastAsia="Times New Roman" w:hAnsi="Calibri" w:cs="Calibri"/>
                <w:b/>
                <w:color w:val="002060"/>
                <w:sz w:val="18"/>
                <w:szCs w:val="18"/>
                <w:lang w:val="sr-Cyrl-CS" w:eastAsia="en-GB"/>
              </w:rPr>
              <w:t>704</w:t>
            </w:r>
            <w:r w:rsidR="00A26E4D" w:rsidRPr="00DE058F">
              <w:rPr>
                <w:rFonts w:ascii="Calibri" w:eastAsia="Times New Roman" w:hAnsi="Calibri" w:cs="Calibri"/>
                <w:b/>
                <w:color w:val="002060"/>
                <w:sz w:val="18"/>
                <w:szCs w:val="18"/>
                <w:lang w:val="sr-Cyrl-CS" w:eastAsia="en-GB"/>
              </w:rPr>
              <w:t>.</w:t>
            </w:r>
            <w:r w:rsidRPr="00DE058F">
              <w:rPr>
                <w:rFonts w:ascii="Calibri" w:eastAsia="Times New Roman" w:hAnsi="Calibri" w:cs="Calibri"/>
                <w:b/>
                <w:color w:val="002060"/>
                <w:sz w:val="18"/>
                <w:szCs w:val="18"/>
                <w:lang w:val="sr-Cyrl-CS" w:eastAsia="en-GB"/>
              </w:rPr>
              <w:t>996</w:t>
            </w:r>
          </w:p>
        </w:tc>
        <w:tc>
          <w:tcPr>
            <w:tcW w:w="1833" w:type="dxa"/>
            <w:tcBorders>
              <w:top w:val="single" w:sz="8" w:space="0" w:color="002060"/>
              <w:left w:val="nil"/>
              <w:bottom w:val="single" w:sz="8" w:space="0" w:color="002060"/>
              <w:right w:val="nil"/>
            </w:tcBorders>
            <w:shd w:val="clear" w:color="auto" w:fill="auto"/>
            <w:noWrap/>
            <w:vAlign w:val="center"/>
            <w:hideMark/>
          </w:tcPr>
          <w:p w14:paraId="5522289E" w14:textId="0ADB3A8C" w:rsidR="00593E7B" w:rsidRPr="00DE058F" w:rsidRDefault="00593E7B" w:rsidP="00C95509">
            <w:pPr>
              <w:spacing w:after="0" w:line="240" w:lineRule="auto"/>
              <w:jc w:val="right"/>
              <w:rPr>
                <w:rFonts w:ascii="Calibri" w:eastAsia="Times New Roman" w:hAnsi="Calibri" w:cs="Calibri"/>
                <w:b/>
                <w:color w:val="002060"/>
                <w:sz w:val="18"/>
                <w:szCs w:val="18"/>
                <w:lang w:val="sr-Cyrl-CS" w:eastAsia="en-GB"/>
              </w:rPr>
            </w:pPr>
            <w:r w:rsidRPr="00DE058F">
              <w:rPr>
                <w:rFonts w:ascii="Calibri" w:eastAsia="Times New Roman" w:hAnsi="Calibri" w:cs="Calibri"/>
                <w:b/>
                <w:color w:val="002060"/>
                <w:sz w:val="18"/>
                <w:szCs w:val="18"/>
                <w:lang w:val="sr-Cyrl-CS" w:eastAsia="en-GB"/>
              </w:rPr>
              <w:t>11</w:t>
            </w:r>
            <w:r w:rsidR="00A26E4D" w:rsidRPr="00DE058F">
              <w:rPr>
                <w:rFonts w:ascii="Calibri" w:eastAsia="Times New Roman" w:hAnsi="Calibri" w:cs="Calibri"/>
                <w:b/>
                <w:color w:val="002060"/>
                <w:sz w:val="18"/>
                <w:szCs w:val="18"/>
                <w:lang w:val="sr-Cyrl-CS" w:eastAsia="en-GB"/>
              </w:rPr>
              <w:t>.</w:t>
            </w:r>
            <w:r w:rsidRPr="00DE058F">
              <w:rPr>
                <w:rFonts w:ascii="Calibri" w:eastAsia="Times New Roman" w:hAnsi="Calibri" w:cs="Calibri"/>
                <w:b/>
                <w:color w:val="002060"/>
                <w:sz w:val="18"/>
                <w:szCs w:val="18"/>
                <w:lang w:val="sr-Cyrl-CS" w:eastAsia="en-GB"/>
              </w:rPr>
              <w:t>623</w:t>
            </w:r>
            <w:r w:rsidR="00A26E4D" w:rsidRPr="00DE058F">
              <w:rPr>
                <w:rFonts w:ascii="Calibri" w:eastAsia="Times New Roman" w:hAnsi="Calibri" w:cs="Calibri"/>
                <w:b/>
                <w:color w:val="002060"/>
                <w:sz w:val="18"/>
                <w:szCs w:val="18"/>
                <w:lang w:val="sr-Cyrl-CS" w:eastAsia="en-GB"/>
              </w:rPr>
              <w:t>.</w:t>
            </w:r>
            <w:r w:rsidRPr="00DE058F">
              <w:rPr>
                <w:rFonts w:ascii="Calibri" w:eastAsia="Times New Roman" w:hAnsi="Calibri" w:cs="Calibri"/>
                <w:b/>
                <w:color w:val="002060"/>
                <w:sz w:val="18"/>
                <w:szCs w:val="18"/>
                <w:lang w:val="sr-Cyrl-CS" w:eastAsia="en-GB"/>
              </w:rPr>
              <w:t>032</w:t>
            </w:r>
          </w:p>
        </w:tc>
      </w:tr>
    </w:tbl>
    <w:p w14:paraId="4BA45E7C" w14:textId="77777777" w:rsidR="00593E7B" w:rsidRPr="00DE058F" w:rsidRDefault="00593E7B" w:rsidP="00C95509">
      <w:pPr>
        <w:spacing w:after="0" w:line="276" w:lineRule="auto"/>
        <w:rPr>
          <w:rFonts w:eastAsia="MS PGothic" w:cstheme="minorHAnsi"/>
          <w:b/>
          <w:bCs/>
          <w:color w:val="002060"/>
          <w:sz w:val="6"/>
          <w:szCs w:val="20"/>
          <w:lang w:val="sr-Cyrl-CS" w:eastAsia="ja-JP"/>
        </w:rPr>
      </w:pPr>
      <w:r w:rsidRPr="00DE058F">
        <w:rPr>
          <w:rFonts w:eastAsia="MS PGothic" w:cstheme="minorHAnsi"/>
          <w:sz w:val="16"/>
          <w:szCs w:val="16"/>
          <w:lang w:val="sr-Cyrl-CS" w:eastAsia="ja-JP"/>
        </w:rPr>
        <w:t>*НП-нема података зато што није усвојен Годишњи програм пословања</w:t>
      </w:r>
    </w:p>
    <w:p w14:paraId="7BC9A405" w14:textId="77777777" w:rsidR="00593E7B" w:rsidRPr="00DE058F" w:rsidRDefault="00593E7B" w:rsidP="00C95509">
      <w:pPr>
        <w:rPr>
          <w:rFonts w:eastAsia="MS PGothic" w:cstheme="minorHAnsi"/>
          <w:sz w:val="6"/>
          <w:szCs w:val="20"/>
          <w:lang w:val="sr-Cyrl-CS" w:eastAsia="ja-JP"/>
        </w:rPr>
        <w:sectPr w:rsidR="00593E7B" w:rsidRPr="00DE058F" w:rsidSect="00C95509">
          <w:type w:val="continuous"/>
          <w:pgSz w:w="12240" w:h="15840" w:code="1"/>
          <w:pgMar w:top="1440" w:right="1440" w:bottom="1440" w:left="1440" w:header="720" w:footer="720" w:gutter="0"/>
          <w:cols w:space="720"/>
          <w:docGrid w:linePitch="360"/>
        </w:sectPr>
      </w:pPr>
    </w:p>
    <w:p w14:paraId="01A64004" w14:textId="77777777" w:rsidR="00593E7B" w:rsidRPr="00DE058F" w:rsidRDefault="00593E7B" w:rsidP="00C95509">
      <w:pPr>
        <w:spacing w:after="400"/>
        <w:rPr>
          <w:rFonts w:eastAsia="MS PGothic" w:cstheme="minorHAnsi"/>
          <w:szCs w:val="20"/>
          <w:lang w:val="sr-Cyrl-CS" w:eastAsia="ja-JP"/>
        </w:rPr>
      </w:pPr>
      <w:r w:rsidRPr="00DE058F">
        <w:rPr>
          <w:rFonts w:eastAsia="MS PGothic" w:cstheme="minorHAnsi"/>
          <w:szCs w:val="20"/>
          <w:lang w:val="sr-Cyrl-CS" w:eastAsia="ja-JP"/>
        </w:rPr>
        <w:t xml:space="preserve">У првом кварталу текуће године 16 предузећа је остварило нето губитак у укупном износу од 29,8 млрд динара, што је лошије у односу на планирану </w:t>
      </w:r>
      <w:r w:rsidRPr="00DE058F">
        <w:rPr>
          <w:rFonts w:eastAsia="MS PGothic" w:cstheme="minorHAnsi"/>
          <w:szCs w:val="20"/>
          <w:lang w:val="sr-Cyrl-CS" w:eastAsia="ja-JP"/>
        </w:rPr>
        <w:t>вредност која је позитивна и износи 1,8 милиона динара.</w:t>
      </w:r>
    </w:p>
    <w:p w14:paraId="61F29804" w14:textId="77777777" w:rsidR="00593E7B" w:rsidRPr="00DE058F" w:rsidRDefault="00593E7B" w:rsidP="00C95509">
      <w:pPr>
        <w:jc w:val="left"/>
        <w:rPr>
          <w:rFonts w:eastAsia="MS PGothic" w:cstheme="minorHAnsi"/>
          <w:szCs w:val="20"/>
          <w:lang w:val="sr-Cyrl-CS" w:eastAsia="ja-JP"/>
        </w:rPr>
        <w:sectPr w:rsidR="00593E7B" w:rsidRPr="00DE058F" w:rsidSect="00C95509">
          <w:type w:val="continuous"/>
          <w:pgSz w:w="12240" w:h="15840" w:code="1"/>
          <w:pgMar w:top="1440" w:right="1440" w:bottom="1440" w:left="1440" w:header="720" w:footer="720" w:gutter="0"/>
          <w:cols w:num="2" w:space="720"/>
          <w:docGrid w:linePitch="360"/>
        </w:sectPr>
      </w:pPr>
    </w:p>
    <w:p w14:paraId="32BEC4FF" w14:textId="17CED211" w:rsidR="00593E7B" w:rsidRPr="00DE058F" w:rsidRDefault="00593E7B" w:rsidP="00C95509">
      <w:pPr>
        <w:spacing w:after="120" w:line="276" w:lineRule="auto"/>
        <w:jc w:val="center"/>
        <w:rPr>
          <w:rFonts w:eastAsia="MS PGothic" w:cstheme="minorHAnsi"/>
          <w:bCs/>
          <w:color w:val="002060"/>
          <w:spacing w:val="-4"/>
          <w:szCs w:val="20"/>
          <w:lang w:val="sr-Cyrl-CS" w:eastAsia="ja-JP"/>
        </w:rPr>
      </w:pPr>
      <w:r w:rsidRPr="00DE058F">
        <w:rPr>
          <w:rFonts w:eastAsia="MS PGothic" w:cstheme="minorHAnsi"/>
          <w:b/>
          <w:bCs/>
          <w:color w:val="002060"/>
          <w:spacing w:val="-4"/>
          <w:szCs w:val="20"/>
          <w:lang w:val="sr-Cyrl-CS" w:eastAsia="ja-JP"/>
        </w:rPr>
        <w:t xml:space="preserve">Табела </w:t>
      </w:r>
      <w:r w:rsidR="00623E62" w:rsidRPr="00DE058F">
        <w:rPr>
          <w:rFonts w:eastAsia="MS PGothic" w:cstheme="minorHAnsi"/>
          <w:b/>
          <w:bCs/>
          <w:color w:val="002060"/>
          <w:spacing w:val="-4"/>
          <w:szCs w:val="20"/>
          <w:lang w:val="sr-Cyrl-CS" w:eastAsia="ja-JP"/>
        </w:rPr>
        <w:t>19</w:t>
      </w:r>
      <w:r w:rsidRPr="00DE058F">
        <w:rPr>
          <w:rFonts w:eastAsia="MS PGothic" w:cstheme="minorHAnsi"/>
          <w:b/>
          <w:bCs/>
          <w:color w:val="002060"/>
          <w:spacing w:val="-4"/>
          <w:szCs w:val="20"/>
          <w:lang w:val="sr-Cyrl-CS" w:eastAsia="ja-JP"/>
        </w:rPr>
        <w:t>. Јавна предузећа која су остварила нето губитак у периоду 01.01–31.03.2022. године, у хиљ. динара</w:t>
      </w:r>
    </w:p>
    <w:tbl>
      <w:tblPr>
        <w:tblW w:w="9142" w:type="dxa"/>
        <w:tblLayout w:type="fixed"/>
        <w:tblLook w:val="04A0" w:firstRow="1" w:lastRow="0" w:firstColumn="1" w:lastColumn="0" w:noHBand="0" w:noVBand="1"/>
      </w:tblPr>
      <w:tblGrid>
        <w:gridCol w:w="4111"/>
        <w:gridCol w:w="1255"/>
        <w:gridCol w:w="1888"/>
        <w:gridCol w:w="1888"/>
      </w:tblGrid>
      <w:tr w:rsidR="00593E7B" w:rsidRPr="00DE058F" w14:paraId="4CC9F9CE" w14:textId="77777777" w:rsidTr="00482D55">
        <w:trPr>
          <w:trHeight w:val="423"/>
        </w:trPr>
        <w:tc>
          <w:tcPr>
            <w:tcW w:w="4111" w:type="dxa"/>
            <w:vMerge w:val="restart"/>
            <w:tcBorders>
              <w:top w:val="single" w:sz="8" w:space="0" w:color="002060"/>
              <w:left w:val="nil"/>
              <w:bottom w:val="single" w:sz="8" w:space="0" w:color="002060"/>
              <w:right w:val="nil"/>
            </w:tcBorders>
            <w:shd w:val="clear" w:color="auto" w:fill="auto"/>
            <w:noWrap/>
            <w:vAlign w:val="center"/>
            <w:hideMark/>
          </w:tcPr>
          <w:p w14:paraId="5B982D06" w14:textId="77777777"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Предузеће</w:t>
            </w:r>
          </w:p>
        </w:tc>
        <w:tc>
          <w:tcPr>
            <w:tcW w:w="1255" w:type="dxa"/>
            <w:vMerge w:val="restart"/>
            <w:tcBorders>
              <w:top w:val="single" w:sz="8" w:space="0" w:color="002060"/>
              <w:left w:val="nil"/>
              <w:bottom w:val="single" w:sz="8" w:space="0" w:color="002060"/>
              <w:right w:val="nil"/>
            </w:tcBorders>
            <w:shd w:val="clear" w:color="auto" w:fill="auto"/>
            <w:vAlign w:val="center"/>
            <w:hideMark/>
          </w:tcPr>
          <w:p w14:paraId="78041678" w14:textId="77777777"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Реализација 2021</w:t>
            </w:r>
          </w:p>
        </w:tc>
        <w:tc>
          <w:tcPr>
            <w:tcW w:w="1888" w:type="dxa"/>
            <w:vMerge w:val="restart"/>
            <w:tcBorders>
              <w:top w:val="single" w:sz="8" w:space="0" w:color="002060"/>
              <w:left w:val="nil"/>
              <w:bottom w:val="single" w:sz="8" w:space="0" w:color="002060"/>
              <w:right w:val="nil"/>
            </w:tcBorders>
            <w:shd w:val="clear" w:color="auto" w:fill="auto"/>
            <w:vAlign w:val="center"/>
            <w:hideMark/>
          </w:tcPr>
          <w:p w14:paraId="4FDEEAE2" w14:textId="14516E81" w:rsidR="00593E7B" w:rsidRPr="00DE058F" w:rsidRDefault="00593E7B" w:rsidP="00A26E4D">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 xml:space="preserve">План </w:t>
            </w:r>
            <w:r w:rsidRPr="00DE058F">
              <w:rPr>
                <w:rFonts w:ascii="Calibri" w:eastAsia="Times New Roman" w:hAnsi="Calibri" w:cs="Calibri"/>
                <w:b/>
                <w:bCs/>
                <w:color w:val="002060"/>
                <w:sz w:val="18"/>
                <w:szCs w:val="18"/>
                <w:lang w:val="sr-Cyrl-CS" w:eastAsia="en-GB"/>
              </w:rPr>
              <w:br w:type="textWrapping" w:clear="all"/>
              <w:t>01.01–31.03.2022.</w:t>
            </w:r>
          </w:p>
        </w:tc>
        <w:tc>
          <w:tcPr>
            <w:tcW w:w="1888" w:type="dxa"/>
            <w:vMerge w:val="restart"/>
            <w:tcBorders>
              <w:top w:val="single" w:sz="8" w:space="0" w:color="002060"/>
              <w:left w:val="nil"/>
              <w:bottom w:val="single" w:sz="8" w:space="0" w:color="002060"/>
              <w:right w:val="nil"/>
            </w:tcBorders>
            <w:shd w:val="clear" w:color="auto" w:fill="auto"/>
            <w:vAlign w:val="center"/>
            <w:hideMark/>
          </w:tcPr>
          <w:p w14:paraId="35E5D285" w14:textId="68251867" w:rsidR="00593E7B" w:rsidRPr="00DE058F" w:rsidRDefault="00593E7B" w:rsidP="00C95509">
            <w:pPr>
              <w:spacing w:after="0" w:line="240" w:lineRule="auto"/>
              <w:jc w:val="center"/>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 xml:space="preserve">Реализација </w:t>
            </w:r>
            <w:r w:rsidRPr="00DE058F">
              <w:rPr>
                <w:rFonts w:ascii="Calibri" w:eastAsia="Times New Roman" w:hAnsi="Calibri" w:cs="Calibri"/>
                <w:b/>
                <w:bCs/>
                <w:color w:val="002060"/>
                <w:sz w:val="18"/>
                <w:szCs w:val="18"/>
                <w:lang w:val="sr-Cyrl-CS" w:eastAsia="en-GB"/>
              </w:rPr>
              <w:br w:type="textWrapping" w:clear="all"/>
            </w:r>
            <w:r w:rsidR="00A26E4D" w:rsidRPr="00DE058F">
              <w:rPr>
                <w:rFonts w:ascii="Calibri" w:eastAsia="Times New Roman" w:hAnsi="Calibri" w:cs="Calibri"/>
                <w:b/>
                <w:bCs/>
                <w:color w:val="002060"/>
                <w:sz w:val="18"/>
                <w:szCs w:val="18"/>
                <w:lang w:val="sr-Cyrl-CS" w:eastAsia="en-GB"/>
              </w:rPr>
              <w:t>01.01</w:t>
            </w:r>
            <w:r w:rsidRPr="00DE058F">
              <w:rPr>
                <w:rFonts w:ascii="Calibri" w:eastAsia="Times New Roman" w:hAnsi="Calibri" w:cs="Calibri"/>
                <w:b/>
                <w:bCs/>
                <w:color w:val="002060"/>
                <w:sz w:val="18"/>
                <w:szCs w:val="18"/>
                <w:lang w:val="sr-Cyrl-CS" w:eastAsia="en-GB"/>
              </w:rPr>
              <w:t>–31.03.2022.</w:t>
            </w:r>
          </w:p>
        </w:tc>
      </w:tr>
      <w:tr w:rsidR="00593E7B" w:rsidRPr="00DE058F" w14:paraId="6F213371" w14:textId="77777777" w:rsidTr="00482D55">
        <w:trPr>
          <w:trHeight w:val="423"/>
        </w:trPr>
        <w:tc>
          <w:tcPr>
            <w:tcW w:w="4111" w:type="dxa"/>
            <w:vMerge/>
            <w:tcBorders>
              <w:top w:val="single" w:sz="8" w:space="0" w:color="002060"/>
              <w:left w:val="nil"/>
              <w:bottom w:val="single" w:sz="8" w:space="0" w:color="002060"/>
              <w:right w:val="nil"/>
            </w:tcBorders>
            <w:vAlign w:val="center"/>
            <w:hideMark/>
          </w:tcPr>
          <w:p w14:paraId="7B81243B" w14:textId="77777777" w:rsidR="00593E7B" w:rsidRPr="00DE058F" w:rsidRDefault="00593E7B" w:rsidP="00C95509">
            <w:pPr>
              <w:spacing w:after="0" w:line="240" w:lineRule="auto"/>
              <w:jc w:val="left"/>
              <w:rPr>
                <w:rFonts w:ascii="Calibri" w:eastAsia="Times New Roman" w:hAnsi="Calibri" w:cs="Calibri"/>
                <w:b/>
                <w:bCs/>
                <w:color w:val="002060"/>
                <w:sz w:val="18"/>
                <w:szCs w:val="18"/>
                <w:lang w:val="sr-Cyrl-CS" w:eastAsia="en-GB"/>
              </w:rPr>
            </w:pPr>
          </w:p>
        </w:tc>
        <w:tc>
          <w:tcPr>
            <w:tcW w:w="1255" w:type="dxa"/>
            <w:vMerge/>
            <w:tcBorders>
              <w:top w:val="single" w:sz="8" w:space="0" w:color="002060"/>
              <w:left w:val="nil"/>
              <w:bottom w:val="single" w:sz="8" w:space="0" w:color="002060"/>
              <w:right w:val="nil"/>
            </w:tcBorders>
            <w:vAlign w:val="center"/>
            <w:hideMark/>
          </w:tcPr>
          <w:p w14:paraId="2457E7D1" w14:textId="77777777" w:rsidR="00593E7B" w:rsidRPr="00DE058F" w:rsidRDefault="00593E7B" w:rsidP="00C95509">
            <w:pPr>
              <w:spacing w:after="0" w:line="240" w:lineRule="auto"/>
              <w:jc w:val="left"/>
              <w:rPr>
                <w:rFonts w:ascii="Calibri" w:eastAsia="Times New Roman" w:hAnsi="Calibri" w:cs="Calibri"/>
                <w:b/>
                <w:bCs/>
                <w:color w:val="002060"/>
                <w:sz w:val="18"/>
                <w:szCs w:val="18"/>
                <w:lang w:val="sr-Cyrl-CS" w:eastAsia="en-GB"/>
              </w:rPr>
            </w:pPr>
          </w:p>
        </w:tc>
        <w:tc>
          <w:tcPr>
            <w:tcW w:w="1888" w:type="dxa"/>
            <w:vMerge/>
            <w:tcBorders>
              <w:top w:val="single" w:sz="8" w:space="0" w:color="002060"/>
              <w:left w:val="nil"/>
              <w:bottom w:val="single" w:sz="8" w:space="0" w:color="002060"/>
              <w:right w:val="nil"/>
            </w:tcBorders>
            <w:vAlign w:val="center"/>
            <w:hideMark/>
          </w:tcPr>
          <w:p w14:paraId="5B65047B" w14:textId="77777777" w:rsidR="00593E7B" w:rsidRPr="00DE058F" w:rsidRDefault="00593E7B" w:rsidP="00C95509">
            <w:pPr>
              <w:spacing w:after="0" w:line="240" w:lineRule="auto"/>
              <w:jc w:val="left"/>
              <w:rPr>
                <w:rFonts w:ascii="Calibri" w:eastAsia="Times New Roman" w:hAnsi="Calibri" w:cs="Calibri"/>
                <w:b/>
                <w:bCs/>
                <w:color w:val="002060"/>
                <w:sz w:val="18"/>
                <w:szCs w:val="18"/>
                <w:lang w:val="sr-Cyrl-CS" w:eastAsia="en-GB"/>
              </w:rPr>
            </w:pPr>
          </w:p>
        </w:tc>
        <w:tc>
          <w:tcPr>
            <w:tcW w:w="1888" w:type="dxa"/>
            <w:vMerge/>
            <w:tcBorders>
              <w:top w:val="single" w:sz="8" w:space="0" w:color="002060"/>
              <w:left w:val="nil"/>
              <w:bottom w:val="single" w:sz="8" w:space="0" w:color="002060"/>
              <w:right w:val="nil"/>
            </w:tcBorders>
            <w:vAlign w:val="center"/>
            <w:hideMark/>
          </w:tcPr>
          <w:p w14:paraId="4D69CE6E" w14:textId="77777777" w:rsidR="00593E7B" w:rsidRPr="00DE058F" w:rsidRDefault="00593E7B" w:rsidP="00C95509">
            <w:pPr>
              <w:spacing w:after="0" w:line="240" w:lineRule="auto"/>
              <w:jc w:val="left"/>
              <w:rPr>
                <w:rFonts w:ascii="Calibri" w:eastAsia="Times New Roman" w:hAnsi="Calibri" w:cs="Calibri"/>
                <w:b/>
                <w:bCs/>
                <w:color w:val="002060"/>
                <w:sz w:val="18"/>
                <w:szCs w:val="18"/>
                <w:lang w:val="sr-Cyrl-CS" w:eastAsia="en-GB"/>
              </w:rPr>
            </w:pPr>
          </w:p>
        </w:tc>
      </w:tr>
      <w:tr w:rsidR="00593E7B" w:rsidRPr="00DE058F" w14:paraId="4650B652" w14:textId="77777777" w:rsidTr="00482D55">
        <w:trPr>
          <w:trHeight w:val="20"/>
        </w:trPr>
        <w:tc>
          <w:tcPr>
            <w:tcW w:w="4111" w:type="dxa"/>
            <w:tcBorders>
              <w:top w:val="nil"/>
              <w:left w:val="nil"/>
              <w:bottom w:val="nil"/>
              <w:right w:val="nil"/>
            </w:tcBorders>
            <w:shd w:val="clear" w:color="auto" w:fill="auto"/>
            <w:noWrap/>
            <w:vAlign w:val="center"/>
            <w:hideMark/>
          </w:tcPr>
          <w:p w14:paraId="67BF5BF3" w14:textId="33DBF775" w:rsidR="00593E7B" w:rsidRPr="00DE058F" w:rsidRDefault="002F5CFE"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Парк Палић</w:t>
            </w: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 xml:space="preserve"> д.о.о.</w:t>
            </w:r>
          </w:p>
        </w:tc>
        <w:tc>
          <w:tcPr>
            <w:tcW w:w="1255" w:type="dxa"/>
            <w:tcBorders>
              <w:top w:val="nil"/>
              <w:left w:val="nil"/>
              <w:bottom w:val="nil"/>
              <w:right w:val="nil"/>
            </w:tcBorders>
            <w:shd w:val="clear" w:color="auto" w:fill="auto"/>
            <w:noWrap/>
            <w:vAlign w:val="center"/>
            <w:hideMark/>
          </w:tcPr>
          <w:p w14:paraId="33377AAE" w14:textId="77777777"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318</w:t>
            </w:r>
          </w:p>
        </w:tc>
        <w:tc>
          <w:tcPr>
            <w:tcW w:w="1888" w:type="dxa"/>
            <w:tcBorders>
              <w:top w:val="nil"/>
              <w:left w:val="nil"/>
              <w:bottom w:val="nil"/>
              <w:right w:val="nil"/>
            </w:tcBorders>
            <w:shd w:val="clear" w:color="auto" w:fill="auto"/>
            <w:noWrap/>
            <w:vAlign w:val="center"/>
            <w:hideMark/>
          </w:tcPr>
          <w:p w14:paraId="726A3349" w14:textId="77777777"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НП*</w:t>
            </w:r>
          </w:p>
        </w:tc>
        <w:tc>
          <w:tcPr>
            <w:tcW w:w="1888" w:type="dxa"/>
            <w:tcBorders>
              <w:top w:val="nil"/>
              <w:left w:val="nil"/>
              <w:bottom w:val="nil"/>
              <w:right w:val="nil"/>
            </w:tcBorders>
            <w:shd w:val="clear" w:color="auto" w:fill="auto"/>
            <w:noWrap/>
            <w:vAlign w:val="center"/>
            <w:hideMark/>
          </w:tcPr>
          <w:p w14:paraId="6F3E5BB2" w14:textId="77777777"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-536</w:t>
            </w:r>
          </w:p>
        </w:tc>
      </w:tr>
      <w:tr w:rsidR="00593E7B" w:rsidRPr="00DE058F" w14:paraId="680669D2" w14:textId="77777777" w:rsidTr="00482D55">
        <w:trPr>
          <w:trHeight w:val="20"/>
        </w:trPr>
        <w:tc>
          <w:tcPr>
            <w:tcW w:w="4111" w:type="dxa"/>
            <w:tcBorders>
              <w:top w:val="nil"/>
              <w:left w:val="nil"/>
              <w:bottom w:val="nil"/>
              <w:right w:val="nil"/>
            </w:tcBorders>
            <w:shd w:val="clear" w:color="auto" w:fill="auto"/>
            <w:noWrap/>
            <w:vAlign w:val="center"/>
            <w:hideMark/>
          </w:tcPr>
          <w:p w14:paraId="216F4EF8" w14:textId="234F39E4" w:rsidR="00593E7B" w:rsidRPr="00DE058F" w:rsidRDefault="002F5CFE"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Резерват Увац</w:t>
            </w: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 xml:space="preserve"> д.о.о.</w:t>
            </w:r>
          </w:p>
        </w:tc>
        <w:tc>
          <w:tcPr>
            <w:tcW w:w="1255" w:type="dxa"/>
            <w:tcBorders>
              <w:top w:val="nil"/>
              <w:left w:val="nil"/>
              <w:bottom w:val="nil"/>
              <w:right w:val="nil"/>
            </w:tcBorders>
            <w:shd w:val="clear" w:color="auto" w:fill="auto"/>
            <w:noWrap/>
            <w:vAlign w:val="center"/>
            <w:hideMark/>
          </w:tcPr>
          <w:p w14:paraId="46353824" w14:textId="1354B52F"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586</w:t>
            </w:r>
          </w:p>
        </w:tc>
        <w:tc>
          <w:tcPr>
            <w:tcW w:w="1888" w:type="dxa"/>
            <w:tcBorders>
              <w:top w:val="nil"/>
              <w:left w:val="nil"/>
              <w:bottom w:val="nil"/>
              <w:right w:val="nil"/>
            </w:tcBorders>
            <w:shd w:val="clear" w:color="auto" w:fill="auto"/>
            <w:noWrap/>
            <w:vAlign w:val="center"/>
            <w:hideMark/>
          </w:tcPr>
          <w:p w14:paraId="02B791D3" w14:textId="2514AE53"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760</w:t>
            </w:r>
          </w:p>
        </w:tc>
        <w:tc>
          <w:tcPr>
            <w:tcW w:w="1888" w:type="dxa"/>
            <w:tcBorders>
              <w:top w:val="nil"/>
              <w:left w:val="nil"/>
              <w:bottom w:val="nil"/>
              <w:right w:val="nil"/>
            </w:tcBorders>
            <w:shd w:val="clear" w:color="auto" w:fill="auto"/>
            <w:noWrap/>
            <w:vAlign w:val="center"/>
            <w:hideMark/>
          </w:tcPr>
          <w:p w14:paraId="57620FD6" w14:textId="62D7BF66"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389</w:t>
            </w:r>
          </w:p>
        </w:tc>
      </w:tr>
      <w:tr w:rsidR="00593E7B" w:rsidRPr="00DE058F" w14:paraId="55CA6B31" w14:textId="77777777" w:rsidTr="00482D55">
        <w:trPr>
          <w:trHeight w:val="20"/>
        </w:trPr>
        <w:tc>
          <w:tcPr>
            <w:tcW w:w="4111" w:type="dxa"/>
            <w:tcBorders>
              <w:top w:val="nil"/>
              <w:left w:val="nil"/>
              <w:bottom w:val="nil"/>
              <w:right w:val="nil"/>
            </w:tcBorders>
            <w:shd w:val="clear" w:color="auto" w:fill="auto"/>
            <w:noWrap/>
            <w:vAlign w:val="center"/>
            <w:hideMark/>
          </w:tcPr>
          <w:p w14:paraId="59168F67" w14:textId="1C9762A3"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JП </w:t>
            </w:r>
            <w:r w:rsidR="002F5CFE"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Електропривреда Србије</w:t>
            </w:r>
            <w:r w:rsidR="002F5CFE" w:rsidRPr="00DE058F">
              <w:rPr>
                <w:rFonts w:ascii="Calibri" w:eastAsia="Times New Roman" w:hAnsi="Calibri" w:cs="Calibri"/>
                <w:color w:val="002060"/>
                <w:sz w:val="18"/>
                <w:szCs w:val="18"/>
                <w:lang w:val="sr-Cyrl-CS" w:eastAsia="en-GB"/>
              </w:rPr>
              <w:t>”</w:t>
            </w:r>
          </w:p>
        </w:tc>
        <w:tc>
          <w:tcPr>
            <w:tcW w:w="1255" w:type="dxa"/>
            <w:tcBorders>
              <w:top w:val="nil"/>
              <w:left w:val="nil"/>
              <w:bottom w:val="nil"/>
              <w:right w:val="nil"/>
            </w:tcBorders>
            <w:shd w:val="clear" w:color="auto" w:fill="auto"/>
            <w:noWrap/>
            <w:vAlign w:val="center"/>
            <w:hideMark/>
          </w:tcPr>
          <w:p w14:paraId="518854C2" w14:textId="4C96D971"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-16</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710</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336</w:t>
            </w:r>
          </w:p>
        </w:tc>
        <w:tc>
          <w:tcPr>
            <w:tcW w:w="1888" w:type="dxa"/>
            <w:tcBorders>
              <w:top w:val="nil"/>
              <w:left w:val="nil"/>
              <w:bottom w:val="nil"/>
              <w:right w:val="nil"/>
            </w:tcBorders>
            <w:shd w:val="clear" w:color="auto" w:fill="auto"/>
            <w:noWrap/>
            <w:vAlign w:val="center"/>
            <w:hideMark/>
          </w:tcPr>
          <w:p w14:paraId="7628775B" w14:textId="77777777"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НП*</w:t>
            </w:r>
          </w:p>
        </w:tc>
        <w:tc>
          <w:tcPr>
            <w:tcW w:w="1888" w:type="dxa"/>
            <w:tcBorders>
              <w:top w:val="nil"/>
              <w:left w:val="nil"/>
              <w:bottom w:val="nil"/>
              <w:right w:val="nil"/>
            </w:tcBorders>
            <w:shd w:val="clear" w:color="auto" w:fill="auto"/>
            <w:noWrap/>
            <w:vAlign w:val="center"/>
            <w:hideMark/>
          </w:tcPr>
          <w:p w14:paraId="0977D8F2" w14:textId="7E609CCF"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-29</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761</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146</w:t>
            </w:r>
          </w:p>
        </w:tc>
      </w:tr>
      <w:tr w:rsidR="00593E7B" w:rsidRPr="00DE058F" w14:paraId="372BE1E6" w14:textId="77777777" w:rsidTr="00482D55">
        <w:trPr>
          <w:trHeight w:val="20"/>
        </w:trPr>
        <w:tc>
          <w:tcPr>
            <w:tcW w:w="4111" w:type="dxa"/>
            <w:tcBorders>
              <w:top w:val="nil"/>
              <w:left w:val="nil"/>
              <w:bottom w:val="nil"/>
              <w:right w:val="nil"/>
            </w:tcBorders>
            <w:shd w:val="clear" w:color="auto" w:fill="auto"/>
            <w:noWrap/>
            <w:vAlign w:val="center"/>
            <w:hideMark/>
          </w:tcPr>
          <w:p w14:paraId="517F283E" w14:textId="74714D42" w:rsidR="00593E7B" w:rsidRPr="00DE058F" w:rsidRDefault="002F5CFE"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Инфраструктура железнице Србије</w:t>
            </w: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 xml:space="preserve"> a.д.</w:t>
            </w:r>
          </w:p>
        </w:tc>
        <w:tc>
          <w:tcPr>
            <w:tcW w:w="1255" w:type="dxa"/>
            <w:tcBorders>
              <w:top w:val="nil"/>
              <w:left w:val="nil"/>
              <w:bottom w:val="nil"/>
              <w:right w:val="nil"/>
            </w:tcBorders>
            <w:shd w:val="clear" w:color="auto" w:fill="auto"/>
            <w:noWrap/>
            <w:vAlign w:val="center"/>
            <w:hideMark/>
          </w:tcPr>
          <w:p w14:paraId="1637AC84" w14:textId="0D2A148B"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-3</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367</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439</w:t>
            </w:r>
          </w:p>
        </w:tc>
        <w:tc>
          <w:tcPr>
            <w:tcW w:w="1888" w:type="dxa"/>
            <w:tcBorders>
              <w:top w:val="nil"/>
              <w:left w:val="nil"/>
              <w:bottom w:val="nil"/>
              <w:right w:val="nil"/>
            </w:tcBorders>
            <w:shd w:val="clear" w:color="auto" w:fill="auto"/>
            <w:noWrap/>
            <w:vAlign w:val="center"/>
            <w:hideMark/>
          </w:tcPr>
          <w:p w14:paraId="70E1FD32" w14:textId="65DAFDDC"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732</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649</w:t>
            </w:r>
          </w:p>
        </w:tc>
        <w:tc>
          <w:tcPr>
            <w:tcW w:w="1888" w:type="dxa"/>
            <w:tcBorders>
              <w:top w:val="nil"/>
              <w:left w:val="nil"/>
              <w:bottom w:val="nil"/>
              <w:right w:val="nil"/>
            </w:tcBorders>
            <w:shd w:val="clear" w:color="auto" w:fill="auto"/>
            <w:noWrap/>
            <w:vAlign w:val="center"/>
            <w:hideMark/>
          </w:tcPr>
          <w:p w14:paraId="28BB5EAD" w14:textId="313834E2"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-726</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083</w:t>
            </w:r>
          </w:p>
        </w:tc>
      </w:tr>
      <w:tr w:rsidR="00593E7B" w:rsidRPr="00DE058F" w14:paraId="08F1B16B" w14:textId="77777777" w:rsidTr="00482D55">
        <w:trPr>
          <w:trHeight w:val="20"/>
        </w:trPr>
        <w:tc>
          <w:tcPr>
            <w:tcW w:w="4111" w:type="dxa"/>
            <w:tcBorders>
              <w:top w:val="nil"/>
              <w:left w:val="nil"/>
              <w:bottom w:val="nil"/>
              <w:right w:val="nil"/>
            </w:tcBorders>
            <w:shd w:val="clear" w:color="auto" w:fill="auto"/>
            <w:noWrap/>
            <w:vAlign w:val="center"/>
            <w:hideMark/>
          </w:tcPr>
          <w:p w14:paraId="2986003C" w14:textId="006A8F77"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ЈП </w:t>
            </w:r>
            <w:r w:rsidR="002F5CFE"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Србијашуме</w:t>
            </w:r>
            <w:r w:rsidR="002F5CFE" w:rsidRPr="00DE058F">
              <w:rPr>
                <w:rFonts w:ascii="Calibri" w:eastAsia="Times New Roman" w:hAnsi="Calibri" w:cs="Calibri"/>
                <w:color w:val="002060"/>
                <w:sz w:val="18"/>
                <w:szCs w:val="18"/>
                <w:lang w:val="sr-Cyrl-CS" w:eastAsia="en-GB"/>
              </w:rPr>
              <w:t>”</w:t>
            </w:r>
          </w:p>
        </w:tc>
        <w:tc>
          <w:tcPr>
            <w:tcW w:w="1255" w:type="dxa"/>
            <w:tcBorders>
              <w:top w:val="nil"/>
              <w:left w:val="nil"/>
              <w:bottom w:val="nil"/>
              <w:right w:val="nil"/>
            </w:tcBorders>
            <w:shd w:val="clear" w:color="auto" w:fill="auto"/>
            <w:noWrap/>
            <w:vAlign w:val="center"/>
            <w:hideMark/>
          </w:tcPr>
          <w:p w14:paraId="14C3C2CF" w14:textId="57D5B55F"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871</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135</w:t>
            </w:r>
          </w:p>
        </w:tc>
        <w:tc>
          <w:tcPr>
            <w:tcW w:w="1888" w:type="dxa"/>
            <w:tcBorders>
              <w:top w:val="nil"/>
              <w:left w:val="nil"/>
              <w:bottom w:val="nil"/>
              <w:right w:val="nil"/>
            </w:tcBorders>
            <w:shd w:val="clear" w:color="auto" w:fill="auto"/>
            <w:noWrap/>
            <w:vAlign w:val="center"/>
            <w:hideMark/>
          </w:tcPr>
          <w:p w14:paraId="35153DD7" w14:textId="42E07B03"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-124</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246</w:t>
            </w:r>
          </w:p>
        </w:tc>
        <w:tc>
          <w:tcPr>
            <w:tcW w:w="1888" w:type="dxa"/>
            <w:tcBorders>
              <w:top w:val="nil"/>
              <w:left w:val="nil"/>
              <w:bottom w:val="nil"/>
              <w:right w:val="nil"/>
            </w:tcBorders>
            <w:shd w:val="clear" w:color="auto" w:fill="auto"/>
            <w:noWrap/>
            <w:vAlign w:val="center"/>
            <w:hideMark/>
          </w:tcPr>
          <w:p w14:paraId="0AF23541" w14:textId="6ABB86DD"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-15</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998</w:t>
            </w:r>
          </w:p>
        </w:tc>
      </w:tr>
      <w:tr w:rsidR="00593E7B" w:rsidRPr="00DE058F" w14:paraId="7AF05E23" w14:textId="77777777" w:rsidTr="00482D55">
        <w:trPr>
          <w:trHeight w:val="20"/>
        </w:trPr>
        <w:tc>
          <w:tcPr>
            <w:tcW w:w="4111" w:type="dxa"/>
            <w:tcBorders>
              <w:top w:val="nil"/>
              <w:left w:val="nil"/>
              <w:bottom w:val="nil"/>
              <w:right w:val="nil"/>
            </w:tcBorders>
            <w:shd w:val="clear" w:color="auto" w:fill="auto"/>
            <w:noWrap/>
            <w:vAlign w:val="center"/>
            <w:hideMark/>
          </w:tcPr>
          <w:p w14:paraId="3B300F31" w14:textId="571DF993" w:rsidR="00593E7B" w:rsidRPr="00DE058F" w:rsidRDefault="002F5CFE"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Тврђава Голубачки град</w:t>
            </w: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 xml:space="preserve"> д.о.о.</w:t>
            </w:r>
          </w:p>
        </w:tc>
        <w:tc>
          <w:tcPr>
            <w:tcW w:w="1255" w:type="dxa"/>
            <w:tcBorders>
              <w:top w:val="nil"/>
              <w:left w:val="nil"/>
              <w:bottom w:val="nil"/>
              <w:right w:val="nil"/>
            </w:tcBorders>
            <w:shd w:val="clear" w:color="auto" w:fill="auto"/>
            <w:noWrap/>
            <w:vAlign w:val="center"/>
            <w:hideMark/>
          </w:tcPr>
          <w:p w14:paraId="3DC3A2EB" w14:textId="094B6DF2"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321</w:t>
            </w:r>
          </w:p>
        </w:tc>
        <w:tc>
          <w:tcPr>
            <w:tcW w:w="1888" w:type="dxa"/>
            <w:tcBorders>
              <w:top w:val="nil"/>
              <w:left w:val="nil"/>
              <w:bottom w:val="nil"/>
              <w:right w:val="nil"/>
            </w:tcBorders>
            <w:shd w:val="clear" w:color="auto" w:fill="auto"/>
            <w:noWrap/>
            <w:vAlign w:val="center"/>
            <w:hideMark/>
          </w:tcPr>
          <w:p w14:paraId="154DDC3A" w14:textId="0CF99842"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-10</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000</w:t>
            </w:r>
          </w:p>
        </w:tc>
        <w:tc>
          <w:tcPr>
            <w:tcW w:w="1888" w:type="dxa"/>
            <w:tcBorders>
              <w:top w:val="nil"/>
              <w:left w:val="nil"/>
              <w:bottom w:val="nil"/>
              <w:right w:val="nil"/>
            </w:tcBorders>
            <w:shd w:val="clear" w:color="auto" w:fill="auto"/>
            <w:noWrap/>
            <w:vAlign w:val="center"/>
            <w:hideMark/>
          </w:tcPr>
          <w:p w14:paraId="67066227" w14:textId="28BF9465"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-7</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158</w:t>
            </w:r>
          </w:p>
        </w:tc>
      </w:tr>
      <w:tr w:rsidR="00593E7B" w:rsidRPr="00DE058F" w14:paraId="2FF1741B" w14:textId="77777777" w:rsidTr="00482D55">
        <w:trPr>
          <w:trHeight w:val="20"/>
        </w:trPr>
        <w:tc>
          <w:tcPr>
            <w:tcW w:w="4111" w:type="dxa"/>
            <w:tcBorders>
              <w:top w:val="nil"/>
              <w:left w:val="nil"/>
              <w:bottom w:val="nil"/>
              <w:right w:val="nil"/>
            </w:tcBorders>
            <w:shd w:val="clear" w:color="auto" w:fill="auto"/>
            <w:noWrap/>
            <w:vAlign w:val="center"/>
            <w:hideMark/>
          </w:tcPr>
          <w:p w14:paraId="72585B19" w14:textId="3B48ECA4" w:rsidR="00593E7B" w:rsidRPr="00DE058F" w:rsidRDefault="002F5CFE"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Србија Карго</w:t>
            </w: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 xml:space="preserve"> а.д.</w:t>
            </w:r>
          </w:p>
        </w:tc>
        <w:tc>
          <w:tcPr>
            <w:tcW w:w="1255" w:type="dxa"/>
            <w:tcBorders>
              <w:top w:val="nil"/>
              <w:left w:val="nil"/>
              <w:bottom w:val="nil"/>
              <w:right w:val="nil"/>
            </w:tcBorders>
            <w:shd w:val="clear" w:color="auto" w:fill="auto"/>
            <w:noWrap/>
            <w:vAlign w:val="center"/>
            <w:hideMark/>
          </w:tcPr>
          <w:p w14:paraId="42ABCDFC" w14:textId="722D0393"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-162</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364</w:t>
            </w:r>
          </w:p>
        </w:tc>
        <w:tc>
          <w:tcPr>
            <w:tcW w:w="1888" w:type="dxa"/>
            <w:tcBorders>
              <w:top w:val="nil"/>
              <w:left w:val="nil"/>
              <w:bottom w:val="nil"/>
              <w:right w:val="nil"/>
            </w:tcBorders>
            <w:shd w:val="clear" w:color="auto" w:fill="auto"/>
            <w:noWrap/>
            <w:vAlign w:val="center"/>
            <w:hideMark/>
          </w:tcPr>
          <w:p w14:paraId="540A18C8" w14:textId="4345C25E"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-119</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184</w:t>
            </w:r>
          </w:p>
        </w:tc>
        <w:tc>
          <w:tcPr>
            <w:tcW w:w="1888" w:type="dxa"/>
            <w:tcBorders>
              <w:top w:val="nil"/>
              <w:left w:val="nil"/>
              <w:bottom w:val="nil"/>
              <w:right w:val="nil"/>
            </w:tcBorders>
            <w:shd w:val="clear" w:color="auto" w:fill="auto"/>
            <w:noWrap/>
            <w:vAlign w:val="center"/>
            <w:hideMark/>
          </w:tcPr>
          <w:p w14:paraId="2265A180" w14:textId="05DEE4C8"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-61</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623</w:t>
            </w:r>
          </w:p>
        </w:tc>
      </w:tr>
      <w:tr w:rsidR="00593E7B" w:rsidRPr="00DE058F" w14:paraId="4A222E24" w14:textId="77777777" w:rsidTr="00482D55">
        <w:trPr>
          <w:trHeight w:val="20"/>
        </w:trPr>
        <w:tc>
          <w:tcPr>
            <w:tcW w:w="4111" w:type="dxa"/>
            <w:tcBorders>
              <w:top w:val="nil"/>
              <w:left w:val="nil"/>
              <w:bottom w:val="nil"/>
              <w:right w:val="nil"/>
            </w:tcBorders>
            <w:shd w:val="clear" w:color="auto" w:fill="auto"/>
            <w:noWrap/>
            <w:vAlign w:val="center"/>
            <w:hideMark/>
          </w:tcPr>
          <w:p w14:paraId="5D000A05" w14:textId="388686DB"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ЈП </w:t>
            </w:r>
            <w:r w:rsidR="0046394A" w:rsidRPr="00DE058F">
              <w:rPr>
                <w:rFonts w:ascii="Calibri" w:eastAsia="Times New Roman" w:hAnsi="Calibri" w:cs="Calibri"/>
                <w:color w:val="002060"/>
                <w:sz w:val="18"/>
                <w:szCs w:val="18"/>
                <w:lang w:val="sr-Cyrl-CS" w:eastAsia="en-GB"/>
              </w:rPr>
              <w:t xml:space="preserve">ПЕУ </w:t>
            </w:r>
            <w:r w:rsidRPr="00DE058F">
              <w:rPr>
                <w:rFonts w:ascii="Calibri" w:eastAsia="Times New Roman" w:hAnsi="Calibri" w:cs="Calibri"/>
                <w:color w:val="002060"/>
                <w:sz w:val="18"/>
                <w:szCs w:val="18"/>
                <w:lang w:val="sr-Cyrl-CS" w:eastAsia="en-GB"/>
              </w:rPr>
              <w:t>Ресавица</w:t>
            </w:r>
          </w:p>
        </w:tc>
        <w:tc>
          <w:tcPr>
            <w:tcW w:w="1255" w:type="dxa"/>
            <w:tcBorders>
              <w:top w:val="nil"/>
              <w:left w:val="nil"/>
              <w:bottom w:val="nil"/>
              <w:right w:val="nil"/>
            </w:tcBorders>
            <w:shd w:val="clear" w:color="auto" w:fill="auto"/>
            <w:noWrap/>
            <w:vAlign w:val="center"/>
            <w:hideMark/>
          </w:tcPr>
          <w:p w14:paraId="658D5654" w14:textId="6FD2111C"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618</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614</w:t>
            </w:r>
          </w:p>
        </w:tc>
        <w:tc>
          <w:tcPr>
            <w:tcW w:w="1888" w:type="dxa"/>
            <w:tcBorders>
              <w:top w:val="nil"/>
              <w:left w:val="nil"/>
              <w:bottom w:val="nil"/>
              <w:right w:val="nil"/>
            </w:tcBorders>
            <w:shd w:val="clear" w:color="auto" w:fill="auto"/>
            <w:noWrap/>
            <w:vAlign w:val="center"/>
            <w:hideMark/>
          </w:tcPr>
          <w:p w14:paraId="7A35BFA9" w14:textId="0D6E2CA1"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-583</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740</w:t>
            </w:r>
          </w:p>
        </w:tc>
        <w:tc>
          <w:tcPr>
            <w:tcW w:w="1888" w:type="dxa"/>
            <w:tcBorders>
              <w:top w:val="nil"/>
              <w:left w:val="nil"/>
              <w:bottom w:val="nil"/>
              <w:right w:val="nil"/>
            </w:tcBorders>
            <w:shd w:val="clear" w:color="auto" w:fill="auto"/>
            <w:noWrap/>
            <w:vAlign w:val="center"/>
            <w:hideMark/>
          </w:tcPr>
          <w:p w14:paraId="7B06ACDA" w14:textId="27BE076D"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-349</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057</w:t>
            </w:r>
          </w:p>
        </w:tc>
      </w:tr>
      <w:tr w:rsidR="00593E7B" w:rsidRPr="00DE058F" w14:paraId="3BD1B362" w14:textId="77777777" w:rsidTr="00482D55">
        <w:trPr>
          <w:trHeight w:val="20"/>
        </w:trPr>
        <w:tc>
          <w:tcPr>
            <w:tcW w:w="4111" w:type="dxa"/>
            <w:tcBorders>
              <w:top w:val="nil"/>
              <w:left w:val="nil"/>
              <w:bottom w:val="nil"/>
              <w:right w:val="nil"/>
            </w:tcBorders>
            <w:shd w:val="clear" w:color="auto" w:fill="auto"/>
            <w:noWrap/>
            <w:vAlign w:val="center"/>
            <w:hideMark/>
          </w:tcPr>
          <w:p w14:paraId="1C50FA2A" w14:textId="70D9919E" w:rsidR="00593E7B" w:rsidRPr="00DE058F" w:rsidRDefault="002F5CFE"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 xml:space="preserve">Србија </w:t>
            </w:r>
            <w:r w:rsidR="00757680" w:rsidRPr="00DE058F">
              <w:rPr>
                <w:rFonts w:ascii="Calibri" w:eastAsia="Times New Roman" w:hAnsi="Calibri" w:cs="Calibri"/>
                <w:color w:val="002060"/>
                <w:sz w:val="18"/>
                <w:szCs w:val="18"/>
                <w:lang w:val="sr-Cyrl-CS" w:eastAsia="en-GB"/>
              </w:rPr>
              <w:t>Воз</w:t>
            </w:r>
            <w:r w:rsidRPr="00DE058F">
              <w:rPr>
                <w:rFonts w:ascii="Calibri" w:eastAsia="Times New Roman" w:hAnsi="Calibri" w:cs="Calibri"/>
                <w:color w:val="002060"/>
                <w:sz w:val="18"/>
                <w:szCs w:val="18"/>
                <w:lang w:val="sr-Cyrl-CS" w:eastAsia="en-GB"/>
              </w:rPr>
              <w:t>”</w:t>
            </w:r>
            <w:r w:rsidR="00593E7B" w:rsidRPr="00DE058F">
              <w:rPr>
                <w:rFonts w:ascii="Calibri" w:eastAsia="Times New Roman" w:hAnsi="Calibri" w:cs="Calibri"/>
                <w:color w:val="002060"/>
                <w:sz w:val="18"/>
                <w:szCs w:val="18"/>
                <w:lang w:val="sr-Cyrl-CS" w:eastAsia="en-GB"/>
              </w:rPr>
              <w:t xml:space="preserve"> а.д.</w:t>
            </w:r>
          </w:p>
        </w:tc>
        <w:tc>
          <w:tcPr>
            <w:tcW w:w="1255" w:type="dxa"/>
            <w:tcBorders>
              <w:top w:val="nil"/>
              <w:left w:val="nil"/>
              <w:bottom w:val="nil"/>
              <w:right w:val="nil"/>
            </w:tcBorders>
            <w:shd w:val="clear" w:color="auto" w:fill="auto"/>
            <w:noWrap/>
            <w:vAlign w:val="center"/>
            <w:hideMark/>
          </w:tcPr>
          <w:p w14:paraId="6999E3FD" w14:textId="7FBD2720"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200</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830</w:t>
            </w:r>
          </w:p>
        </w:tc>
        <w:tc>
          <w:tcPr>
            <w:tcW w:w="1888" w:type="dxa"/>
            <w:tcBorders>
              <w:top w:val="nil"/>
              <w:left w:val="nil"/>
              <w:bottom w:val="nil"/>
              <w:right w:val="nil"/>
            </w:tcBorders>
            <w:shd w:val="clear" w:color="auto" w:fill="auto"/>
            <w:noWrap/>
            <w:vAlign w:val="center"/>
            <w:hideMark/>
          </w:tcPr>
          <w:p w14:paraId="4FCC4CBB" w14:textId="205E85F8"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-473</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152</w:t>
            </w:r>
          </w:p>
        </w:tc>
        <w:tc>
          <w:tcPr>
            <w:tcW w:w="1888" w:type="dxa"/>
            <w:tcBorders>
              <w:top w:val="nil"/>
              <w:left w:val="nil"/>
              <w:bottom w:val="nil"/>
              <w:right w:val="nil"/>
            </w:tcBorders>
            <w:shd w:val="clear" w:color="auto" w:fill="auto"/>
            <w:noWrap/>
            <w:vAlign w:val="center"/>
            <w:hideMark/>
          </w:tcPr>
          <w:p w14:paraId="6BA88A62" w14:textId="507288D7"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-196</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155</w:t>
            </w:r>
          </w:p>
        </w:tc>
      </w:tr>
      <w:tr w:rsidR="00593E7B" w:rsidRPr="00DE058F" w14:paraId="71253411" w14:textId="77777777" w:rsidTr="00482D55">
        <w:trPr>
          <w:trHeight w:val="20"/>
        </w:trPr>
        <w:tc>
          <w:tcPr>
            <w:tcW w:w="4111" w:type="dxa"/>
            <w:tcBorders>
              <w:top w:val="nil"/>
              <w:left w:val="nil"/>
              <w:bottom w:val="nil"/>
              <w:right w:val="nil"/>
            </w:tcBorders>
            <w:shd w:val="clear" w:color="auto" w:fill="auto"/>
            <w:noWrap/>
            <w:vAlign w:val="center"/>
            <w:hideMark/>
          </w:tcPr>
          <w:p w14:paraId="76DB9216" w14:textId="0FE58325"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ЈП </w:t>
            </w:r>
            <w:r w:rsidR="002F5CFE"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Завод за уџбенике</w:t>
            </w:r>
            <w:r w:rsidR="002F5CFE" w:rsidRPr="00DE058F">
              <w:rPr>
                <w:rFonts w:ascii="Calibri" w:eastAsia="Times New Roman" w:hAnsi="Calibri" w:cs="Calibri"/>
                <w:color w:val="002060"/>
                <w:sz w:val="18"/>
                <w:szCs w:val="18"/>
                <w:lang w:val="sr-Cyrl-CS" w:eastAsia="en-GB"/>
              </w:rPr>
              <w:t>”</w:t>
            </w:r>
          </w:p>
        </w:tc>
        <w:tc>
          <w:tcPr>
            <w:tcW w:w="1255" w:type="dxa"/>
            <w:tcBorders>
              <w:top w:val="nil"/>
              <w:left w:val="nil"/>
              <w:bottom w:val="nil"/>
              <w:right w:val="nil"/>
            </w:tcBorders>
            <w:shd w:val="clear" w:color="auto" w:fill="auto"/>
            <w:noWrap/>
            <w:vAlign w:val="center"/>
            <w:hideMark/>
          </w:tcPr>
          <w:p w14:paraId="60804DE0" w14:textId="5BF7E43F"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-233</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737</w:t>
            </w:r>
          </w:p>
        </w:tc>
        <w:tc>
          <w:tcPr>
            <w:tcW w:w="1888" w:type="dxa"/>
            <w:tcBorders>
              <w:top w:val="nil"/>
              <w:left w:val="nil"/>
              <w:bottom w:val="nil"/>
              <w:right w:val="nil"/>
            </w:tcBorders>
            <w:shd w:val="clear" w:color="auto" w:fill="auto"/>
            <w:noWrap/>
            <w:vAlign w:val="center"/>
            <w:hideMark/>
          </w:tcPr>
          <w:p w14:paraId="35387C31" w14:textId="1A5E0744"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-93</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657</w:t>
            </w:r>
          </w:p>
        </w:tc>
        <w:tc>
          <w:tcPr>
            <w:tcW w:w="1888" w:type="dxa"/>
            <w:tcBorders>
              <w:top w:val="nil"/>
              <w:left w:val="nil"/>
              <w:bottom w:val="nil"/>
              <w:right w:val="nil"/>
            </w:tcBorders>
            <w:shd w:val="clear" w:color="auto" w:fill="auto"/>
            <w:noWrap/>
            <w:vAlign w:val="center"/>
            <w:hideMark/>
          </w:tcPr>
          <w:p w14:paraId="53013A44" w14:textId="31016076"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-94</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282</w:t>
            </w:r>
          </w:p>
        </w:tc>
      </w:tr>
      <w:tr w:rsidR="00593E7B" w:rsidRPr="00DE058F" w14:paraId="5C95864F" w14:textId="77777777" w:rsidTr="00482D55">
        <w:trPr>
          <w:trHeight w:val="20"/>
        </w:trPr>
        <w:tc>
          <w:tcPr>
            <w:tcW w:w="4111" w:type="dxa"/>
            <w:tcBorders>
              <w:top w:val="nil"/>
              <w:left w:val="nil"/>
              <w:bottom w:val="nil"/>
              <w:right w:val="nil"/>
            </w:tcBorders>
            <w:shd w:val="clear" w:color="auto" w:fill="auto"/>
            <w:noWrap/>
            <w:vAlign w:val="center"/>
            <w:hideMark/>
          </w:tcPr>
          <w:p w14:paraId="3B4B698F" w14:textId="223C9015"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ЈП </w:t>
            </w:r>
            <w:r w:rsidR="002F5CFE"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Југоимпорт-СДПР</w:t>
            </w:r>
            <w:r w:rsidR="002F5CFE" w:rsidRPr="00DE058F">
              <w:rPr>
                <w:rFonts w:ascii="Calibri" w:eastAsia="Times New Roman" w:hAnsi="Calibri" w:cs="Calibri"/>
                <w:color w:val="002060"/>
                <w:sz w:val="18"/>
                <w:szCs w:val="18"/>
                <w:lang w:val="sr-Cyrl-CS" w:eastAsia="en-GB"/>
              </w:rPr>
              <w:t>”</w:t>
            </w:r>
          </w:p>
        </w:tc>
        <w:tc>
          <w:tcPr>
            <w:tcW w:w="1255" w:type="dxa"/>
            <w:tcBorders>
              <w:top w:val="nil"/>
              <w:left w:val="nil"/>
              <w:bottom w:val="nil"/>
              <w:right w:val="nil"/>
            </w:tcBorders>
            <w:shd w:val="clear" w:color="auto" w:fill="auto"/>
            <w:noWrap/>
            <w:vAlign w:val="center"/>
            <w:hideMark/>
          </w:tcPr>
          <w:p w14:paraId="571D76AD" w14:textId="18F3F57E"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748</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333</w:t>
            </w:r>
          </w:p>
        </w:tc>
        <w:tc>
          <w:tcPr>
            <w:tcW w:w="1888" w:type="dxa"/>
            <w:tcBorders>
              <w:top w:val="nil"/>
              <w:left w:val="nil"/>
              <w:bottom w:val="nil"/>
              <w:right w:val="nil"/>
            </w:tcBorders>
            <w:shd w:val="clear" w:color="auto" w:fill="auto"/>
            <w:noWrap/>
            <w:vAlign w:val="center"/>
            <w:hideMark/>
          </w:tcPr>
          <w:p w14:paraId="205EC1FC" w14:textId="25D1B323"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-58</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415</w:t>
            </w:r>
          </w:p>
        </w:tc>
        <w:tc>
          <w:tcPr>
            <w:tcW w:w="1888" w:type="dxa"/>
            <w:tcBorders>
              <w:top w:val="nil"/>
              <w:left w:val="nil"/>
              <w:bottom w:val="nil"/>
              <w:right w:val="nil"/>
            </w:tcBorders>
            <w:shd w:val="clear" w:color="auto" w:fill="auto"/>
            <w:noWrap/>
            <w:vAlign w:val="center"/>
            <w:hideMark/>
          </w:tcPr>
          <w:p w14:paraId="6E44B30A" w14:textId="2D7F19E0"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-338</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265</w:t>
            </w:r>
          </w:p>
        </w:tc>
      </w:tr>
      <w:tr w:rsidR="00593E7B" w:rsidRPr="00DE058F" w14:paraId="4003F08F" w14:textId="77777777" w:rsidTr="00482D55">
        <w:trPr>
          <w:trHeight w:val="20"/>
        </w:trPr>
        <w:tc>
          <w:tcPr>
            <w:tcW w:w="4111" w:type="dxa"/>
            <w:tcBorders>
              <w:top w:val="nil"/>
              <w:left w:val="nil"/>
              <w:bottom w:val="nil"/>
              <w:right w:val="nil"/>
            </w:tcBorders>
            <w:shd w:val="clear" w:color="auto" w:fill="auto"/>
            <w:noWrap/>
            <w:vAlign w:val="center"/>
            <w:hideMark/>
          </w:tcPr>
          <w:p w14:paraId="6F4E7251" w14:textId="77777777"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ЈП за склоништа</w:t>
            </w:r>
          </w:p>
        </w:tc>
        <w:tc>
          <w:tcPr>
            <w:tcW w:w="1255" w:type="dxa"/>
            <w:tcBorders>
              <w:top w:val="nil"/>
              <w:left w:val="nil"/>
              <w:bottom w:val="nil"/>
              <w:right w:val="nil"/>
            </w:tcBorders>
            <w:shd w:val="clear" w:color="auto" w:fill="auto"/>
            <w:noWrap/>
            <w:vAlign w:val="center"/>
            <w:hideMark/>
          </w:tcPr>
          <w:p w14:paraId="2F8483AA" w14:textId="11B7EAD0"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-135</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066</w:t>
            </w:r>
          </w:p>
        </w:tc>
        <w:tc>
          <w:tcPr>
            <w:tcW w:w="1888" w:type="dxa"/>
            <w:tcBorders>
              <w:top w:val="nil"/>
              <w:left w:val="nil"/>
              <w:bottom w:val="nil"/>
              <w:right w:val="nil"/>
            </w:tcBorders>
            <w:shd w:val="clear" w:color="auto" w:fill="auto"/>
            <w:noWrap/>
            <w:vAlign w:val="center"/>
            <w:hideMark/>
          </w:tcPr>
          <w:p w14:paraId="09BBDC84" w14:textId="4765F7C0"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-17</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781</w:t>
            </w:r>
          </w:p>
        </w:tc>
        <w:tc>
          <w:tcPr>
            <w:tcW w:w="1888" w:type="dxa"/>
            <w:tcBorders>
              <w:top w:val="nil"/>
              <w:left w:val="nil"/>
              <w:bottom w:val="nil"/>
              <w:right w:val="nil"/>
            </w:tcBorders>
            <w:shd w:val="clear" w:color="auto" w:fill="auto"/>
            <w:noWrap/>
            <w:vAlign w:val="center"/>
            <w:hideMark/>
          </w:tcPr>
          <w:p w14:paraId="07075992" w14:textId="44EA542D"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-24</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806</w:t>
            </w:r>
          </w:p>
        </w:tc>
      </w:tr>
      <w:tr w:rsidR="00593E7B" w:rsidRPr="00DE058F" w14:paraId="40030F4E" w14:textId="77777777" w:rsidTr="00482D55">
        <w:trPr>
          <w:trHeight w:val="20"/>
        </w:trPr>
        <w:tc>
          <w:tcPr>
            <w:tcW w:w="4111" w:type="dxa"/>
            <w:tcBorders>
              <w:top w:val="nil"/>
              <w:left w:val="nil"/>
              <w:bottom w:val="nil"/>
              <w:right w:val="nil"/>
            </w:tcBorders>
            <w:shd w:val="clear" w:color="auto" w:fill="auto"/>
            <w:noWrap/>
            <w:vAlign w:val="center"/>
            <w:hideMark/>
          </w:tcPr>
          <w:p w14:paraId="72307277" w14:textId="20EFEEE4"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ЈП </w:t>
            </w:r>
            <w:r w:rsidR="002F5CFE"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Србијаводе</w:t>
            </w:r>
            <w:r w:rsidR="002F5CFE" w:rsidRPr="00DE058F">
              <w:rPr>
                <w:rFonts w:ascii="Calibri" w:eastAsia="Times New Roman" w:hAnsi="Calibri" w:cs="Calibri"/>
                <w:color w:val="002060"/>
                <w:sz w:val="18"/>
                <w:szCs w:val="18"/>
                <w:lang w:val="sr-Cyrl-CS" w:eastAsia="en-GB"/>
              </w:rPr>
              <w:t>”</w:t>
            </w:r>
          </w:p>
        </w:tc>
        <w:tc>
          <w:tcPr>
            <w:tcW w:w="1255" w:type="dxa"/>
            <w:tcBorders>
              <w:top w:val="nil"/>
              <w:left w:val="nil"/>
              <w:bottom w:val="nil"/>
              <w:right w:val="nil"/>
            </w:tcBorders>
            <w:shd w:val="clear" w:color="auto" w:fill="auto"/>
            <w:noWrap/>
            <w:vAlign w:val="center"/>
            <w:hideMark/>
          </w:tcPr>
          <w:p w14:paraId="47A43B3D" w14:textId="21AE1004"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45</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539</w:t>
            </w:r>
          </w:p>
        </w:tc>
        <w:tc>
          <w:tcPr>
            <w:tcW w:w="1888" w:type="dxa"/>
            <w:tcBorders>
              <w:top w:val="nil"/>
              <w:left w:val="nil"/>
              <w:bottom w:val="nil"/>
              <w:right w:val="nil"/>
            </w:tcBorders>
            <w:shd w:val="clear" w:color="auto" w:fill="auto"/>
            <w:noWrap/>
            <w:vAlign w:val="center"/>
            <w:hideMark/>
          </w:tcPr>
          <w:p w14:paraId="02815E51" w14:textId="500BF6FD"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-125</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081</w:t>
            </w:r>
          </w:p>
        </w:tc>
        <w:tc>
          <w:tcPr>
            <w:tcW w:w="1888" w:type="dxa"/>
            <w:tcBorders>
              <w:top w:val="nil"/>
              <w:left w:val="nil"/>
              <w:bottom w:val="nil"/>
              <w:right w:val="nil"/>
            </w:tcBorders>
            <w:shd w:val="clear" w:color="auto" w:fill="auto"/>
            <w:noWrap/>
            <w:vAlign w:val="center"/>
            <w:hideMark/>
          </w:tcPr>
          <w:p w14:paraId="380C0405" w14:textId="3E85C94D"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-61</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087</w:t>
            </w:r>
          </w:p>
        </w:tc>
      </w:tr>
      <w:tr w:rsidR="00593E7B" w:rsidRPr="00DE058F" w14:paraId="7A12FFC2" w14:textId="77777777" w:rsidTr="00482D55">
        <w:trPr>
          <w:trHeight w:val="20"/>
        </w:trPr>
        <w:tc>
          <w:tcPr>
            <w:tcW w:w="4111" w:type="dxa"/>
            <w:tcBorders>
              <w:top w:val="nil"/>
              <w:left w:val="nil"/>
              <w:bottom w:val="nil"/>
              <w:right w:val="nil"/>
            </w:tcBorders>
            <w:shd w:val="clear" w:color="auto" w:fill="auto"/>
            <w:noWrap/>
            <w:vAlign w:val="center"/>
            <w:hideMark/>
          </w:tcPr>
          <w:p w14:paraId="506F0BDC" w14:textId="4A8FF3A7"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ЈП </w:t>
            </w:r>
            <w:r w:rsidR="002F5CFE"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Емисиона техника и везе</w:t>
            </w:r>
            <w:r w:rsidR="002F5CFE" w:rsidRPr="00DE058F">
              <w:rPr>
                <w:rFonts w:ascii="Calibri" w:eastAsia="Times New Roman" w:hAnsi="Calibri" w:cs="Calibri"/>
                <w:color w:val="002060"/>
                <w:sz w:val="18"/>
                <w:szCs w:val="18"/>
                <w:lang w:val="sr-Cyrl-CS" w:eastAsia="en-GB"/>
              </w:rPr>
              <w:t>”</w:t>
            </w:r>
          </w:p>
        </w:tc>
        <w:tc>
          <w:tcPr>
            <w:tcW w:w="1255" w:type="dxa"/>
            <w:tcBorders>
              <w:top w:val="nil"/>
              <w:left w:val="nil"/>
              <w:bottom w:val="nil"/>
              <w:right w:val="nil"/>
            </w:tcBorders>
            <w:shd w:val="clear" w:color="auto" w:fill="auto"/>
            <w:noWrap/>
            <w:vAlign w:val="center"/>
            <w:hideMark/>
          </w:tcPr>
          <w:p w14:paraId="4F26DFAC" w14:textId="63B9D5C9"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-115</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987</w:t>
            </w:r>
          </w:p>
        </w:tc>
        <w:tc>
          <w:tcPr>
            <w:tcW w:w="1888" w:type="dxa"/>
            <w:tcBorders>
              <w:top w:val="nil"/>
              <w:left w:val="nil"/>
              <w:bottom w:val="nil"/>
              <w:right w:val="nil"/>
            </w:tcBorders>
            <w:shd w:val="clear" w:color="auto" w:fill="auto"/>
            <w:noWrap/>
            <w:vAlign w:val="center"/>
            <w:hideMark/>
          </w:tcPr>
          <w:p w14:paraId="215FA0C7" w14:textId="4901ADB5"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-52</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672</w:t>
            </w:r>
          </w:p>
        </w:tc>
        <w:tc>
          <w:tcPr>
            <w:tcW w:w="1888" w:type="dxa"/>
            <w:tcBorders>
              <w:top w:val="nil"/>
              <w:left w:val="nil"/>
              <w:bottom w:val="nil"/>
              <w:right w:val="nil"/>
            </w:tcBorders>
            <w:shd w:val="clear" w:color="auto" w:fill="auto"/>
            <w:noWrap/>
            <w:vAlign w:val="center"/>
            <w:hideMark/>
          </w:tcPr>
          <w:p w14:paraId="6CA7BD38" w14:textId="0BDC498C"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-8</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917</w:t>
            </w:r>
          </w:p>
        </w:tc>
      </w:tr>
      <w:tr w:rsidR="00593E7B" w:rsidRPr="00DE058F" w14:paraId="20876067" w14:textId="77777777" w:rsidTr="00482D55">
        <w:trPr>
          <w:trHeight w:val="20"/>
        </w:trPr>
        <w:tc>
          <w:tcPr>
            <w:tcW w:w="4111" w:type="dxa"/>
            <w:tcBorders>
              <w:top w:val="nil"/>
              <w:left w:val="nil"/>
              <w:bottom w:val="nil"/>
              <w:right w:val="nil"/>
            </w:tcBorders>
            <w:shd w:val="clear" w:color="auto" w:fill="auto"/>
            <w:noWrap/>
            <w:vAlign w:val="center"/>
            <w:hideMark/>
          </w:tcPr>
          <w:p w14:paraId="45EA9D67" w14:textId="510F0403"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 xml:space="preserve">ЈП </w:t>
            </w:r>
            <w:r w:rsidR="002F5CFE"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Путеви Србије</w:t>
            </w:r>
            <w:r w:rsidR="002F5CFE" w:rsidRPr="00DE058F">
              <w:rPr>
                <w:rFonts w:ascii="Calibri" w:eastAsia="Times New Roman" w:hAnsi="Calibri" w:cs="Calibri"/>
                <w:color w:val="002060"/>
                <w:sz w:val="18"/>
                <w:szCs w:val="18"/>
                <w:lang w:val="sr-Cyrl-CS" w:eastAsia="en-GB"/>
              </w:rPr>
              <w:t>”</w:t>
            </w:r>
          </w:p>
        </w:tc>
        <w:tc>
          <w:tcPr>
            <w:tcW w:w="1255" w:type="dxa"/>
            <w:tcBorders>
              <w:top w:val="nil"/>
              <w:left w:val="nil"/>
              <w:bottom w:val="nil"/>
              <w:right w:val="nil"/>
            </w:tcBorders>
            <w:shd w:val="clear" w:color="auto" w:fill="auto"/>
            <w:noWrap/>
            <w:vAlign w:val="center"/>
            <w:hideMark/>
          </w:tcPr>
          <w:p w14:paraId="54A54FDC" w14:textId="66FEC562"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190</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370</w:t>
            </w:r>
          </w:p>
        </w:tc>
        <w:tc>
          <w:tcPr>
            <w:tcW w:w="1888" w:type="dxa"/>
            <w:tcBorders>
              <w:top w:val="nil"/>
              <w:left w:val="nil"/>
              <w:bottom w:val="nil"/>
              <w:right w:val="nil"/>
            </w:tcBorders>
            <w:shd w:val="clear" w:color="auto" w:fill="auto"/>
            <w:noWrap/>
            <w:vAlign w:val="center"/>
            <w:hideMark/>
          </w:tcPr>
          <w:p w14:paraId="64F583C9" w14:textId="258CF627"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2</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177</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425</w:t>
            </w:r>
          </w:p>
        </w:tc>
        <w:tc>
          <w:tcPr>
            <w:tcW w:w="1888" w:type="dxa"/>
            <w:tcBorders>
              <w:top w:val="nil"/>
              <w:left w:val="nil"/>
              <w:bottom w:val="nil"/>
              <w:right w:val="nil"/>
            </w:tcBorders>
            <w:shd w:val="clear" w:color="auto" w:fill="auto"/>
            <w:noWrap/>
            <w:vAlign w:val="center"/>
            <w:hideMark/>
          </w:tcPr>
          <w:p w14:paraId="39CDA032" w14:textId="4AFFB765"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-364</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816</w:t>
            </w:r>
          </w:p>
        </w:tc>
      </w:tr>
      <w:tr w:rsidR="00593E7B" w:rsidRPr="00DE058F" w14:paraId="32C07667" w14:textId="77777777" w:rsidTr="00482D55">
        <w:trPr>
          <w:trHeight w:val="20"/>
        </w:trPr>
        <w:tc>
          <w:tcPr>
            <w:tcW w:w="4111" w:type="dxa"/>
            <w:tcBorders>
              <w:top w:val="nil"/>
              <w:left w:val="nil"/>
              <w:bottom w:val="nil"/>
              <w:right w:val="nil"/>
            </w:tcBorders>
            <w:shd w:val="clear" w:color="auto" w:fill="auto"/>
            <w:noWrap/>
            <w:vAlign w:val="center"/>
            <w:hideMark/>
          </w:tcPr>
          <w:p w14:paraId="048A18C7" w14:textId="3B0FA6CF" w:rsidR="00593E7B" w:rsidRPr="00DE058F" w:rsidRDefault="00593E7B" w:rsidP="00C95509">
            <w:pPr>
              <w:spacing w:after="0" w:line="240" w:lineRule="auto"/>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Електродистрибуција Србије д.о.о.</w:t>
            </w:r>
          </w:p>
        </w:tc>
        <w:tc>
          <w:tcPr>
            <w:tcW w:w="1255" w:type="dxa"/>
            <w:tcBorders>
              <w:top w:val="nil"/>
              <w:left w:val="nil"/>
              <w:bottom w:val="nil"/>
              <w:right w:val="nil"/>
            </w:tcBorders>
            <w:shd w:val="clear" w:color="auto" w:fill="auto"/>
            <w:noWrap/>
            <w:vAlign w:val="center"/>
            <w:hideMark/>
          </w:tcPr>
          <w:p w14:paraId="40E5371A" w14:textId="51D1CB5D"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33</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864</w:t>
            </w:r>
          </w:p>
        </w:tc>
        <w:tc>
          <w:tcPr>
            <w:tcW w:w="1888" w:type="dxa"/>
            <w:tcBorders>
              <w:top w:val="nil"/>
              <w:left w:val="nil"/>
              <w:bottom w:val="nil"/>
              <w:right w:val="nil"/>
            </w:tcBorders>
            <w:shd w:val="clear" w:color="auto" w:fill="auto"/>
            <w:noWrap/>
            <w:vAlign w:val="center"/>
            <w:hideMark/>
          </w:tcPr>
          <w:p w14:paraId="347FABC0" w14:textId="4B37DAD2"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066</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196</w:t>
            </w:r>
          </w:p>
        </w:tc>
        <w:tc>
          <w:tcPr>
            <w:tcW w:w="1888" w:type="dxa"/>
            <w:tcBorders>
              <w:top w:val="nil"/>
              <w:left w:val="nil"/>
              <w:bottom w:val="nil"/>
              <w:right w:val="nil"/>
            </w:tcBorders>
            <w:shd w:val="clear" w:color="auto" w:fill="auto"/>
            <w:noWrap/>
            <w:vAlign w:val="center"/>
            <w:hideMark/>
          </w:tcPr>
          <w:p w14:paraId="20ECAD48" w14:textId="641AA938" w:rsidR="00593E7B" w:rsidRPr="00DE058F" w:rsidRDefault="00593E7B" w:rsidP="00C95509">
            <w:pPr>
              <w:spacing w:after="0" w:line="240" w:lineRule="auto"/>
              <w:jc w:val="right"/>
              <w:rPr>
                <w:rFonts w:ascii="Calibri" w:eastAsia="Times New Roman" w:hAnsi="Calibri" w:cs="Calibri"/>
                <w:color w:val="002060"/>
                <w:sz w:val="18"/>
                <w:szCs w:val="18"/>
                <w:lang w:val="sr-Cyrl-CS" w:eastAsia="en-GB"/>
              </w:rPr>
            </w:pPr>
            <w:r w:rsidRPr="00DE058F">
              <w:rPr>
                <w:rFonts w:ascii="Calibri" w:eastAsia="Times New Roman" w:hAnsi="Calibri" w:cs="Calibri"/>
                <w:color w:val="002060"/>
                <w:sz w:val="18"/>
                <w:szCs w:val="18"/>
                <w:lang w:val="sr-Cyrl-CS" w:eastAsia="en-GB"/>
              </w:rPr>
              <w:t>-1</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062</w:t>
            </w:r>
            <w:r w:rsidR="00A26E4D" w:rsidRPr="00DE058F">
              <w:rPr>
                <w:rFonts w:ascii="Calibri" w:eastAsia="Times New Roman" w:hAnsi="Calibri" w:cs="Calibri"/>
                <w:color w:val="002060"/>
                <w:sz w:val="18"/>
                <w:szCs w:val="18"/>
                <w:lang w:val="sr-Cyrl-CS" w:eastAsia="en-GB"/>
              </w:rPr>
              <w:t>.</w:t>
            </w:r>
            <w:r w:rsidRPr="00DE058F">
              <w:rPr>
                <w:rFonts w:ascii="Calibri" w:eastAsia="Times New Roman" w:hAnsi="Calibri" w:cs="Calibri"/>
                <w:color w:val="002060"/>
                <w:sz w:val="18"/>
                <w:szCs w:val="18"/>
                <w:lang w:val="sr-Cyrl-CS" w:eastAsia="en-GB"/>
              </w:rPr>
              <w:t>201</w:t>
            </w:r>
          </w:p>
        </w:tc>
      </w:tr>
      <w:tr w:rsidR="00593E7B" w:rsidRPr="00DE058F" w14:paraId="0685F151" w14:textId="77777777" w:rsidTr="00482D55">
        <w:trPr>
          <w:trHeight w:val="20"/>
        </w:trPr>
        <w:tc>
          <w:tcPr>
            <w:tcW w:w="4111" w:type="dxa"/>
            <w:tcBorders>
              <w:top w:val="single" w:sz="8" w:space="0" w:color="002060"/>
              <w:left w:val="nil"/>
              <w:bottom w:val="single" w:sz="8" w:space="0" w:color="002060"/>
              <w:right w:val="nil"/>
            </w:tcBorders>
            <w:shd w:val="clear" w:color="auto" w:fill="auto"/>
            <w:noWrap/>
            <w:vAlign w:val="center"/>
            <w:hideMark/>
          </w:tcPr>
          <w:p w14:paraId="1C8B1FB1" w14:textId="77777777" w:rsidR="00593E7B" w:rsidRPr="00DE058F" w:rsidRDefault="00593E7B" w:rsidP="00C95509">
            <w:pPr>
              <w:spacing w:after="0" w:line="240" w:lineRule="auto"/>
              <w:jc w:val="left"/>
              <w:rPr>
                <w:rFonts w:ascii="Calibri" w:eastAsia="Times New Roman" w:hAnsi="Calibri" w:cs="Calibri"/>
                <w:b/>
                <w:bCs/>
                <w:color w:val="002060"/>
                <w:sz w:val="18"/>
                <w:szCs w:val="18"/>
                <w:lang w:val="sr-Cyrl-CS" w:eastAsia="en-GB"/>
              </w:rPr>
            </w:pPr>
            <w:r w:rsidRPr="00DE058F">
              <w:rPr>
                <w:rFonts w:ascii="Calibri" w:eastAsia="Times New Roman" w:hAnsi="Calibri" w:cs="Calibri"/>
                <w:b/>
                <w:bCs/>
                <w:color w:val="002060"/>
                <w:sz w:val="18"/>
                <w:szCs w:val="18"/>
                <w:lang w:val="sr-Cyrl-CS" w:eastAsia="en-GB"/>
              </w:rPr>
              <w:t>Укупно</w:t>
            </w:r>
          </w:p>
        </w:tc>
        <w:tc>
          <w:tcPr>
            <w:tcW w:w="1255" w:type="dxa"/>
            <w:tcBorders>
              <w:top w:val="single" w:sz="8" w:space="0" w:color="002060"/>
              <w:left w:val="nil"/>
              <w:bottom w:val="single" w:sz="8" w:space="0" w:color="002060"/>
              <w:right w:val="nil"/>
            </w:tcBorders>
            <w:shd w:val="clear" w:color="auto" w:fill="auto"/>
            <w:noWrap/>
            <w:vAlign w:val="center"/>
            <w:hideMark/>
          </w:tcPr>
          <w:p w14:paraId="204B8DB6" w14:textId="771FB9D2" w:rsidR="00593E7B" w:rsidRPr="00DE058F" w:rsidRDefault="00593E7B" w:rsidP="00C95509">
            <w:pPr>
              <w:spacing w:after="0" w:line="240" w:lineRule="auto"/>
              <w:jc w:val="right"/>
              <w:rPr>
                <w:rFonts w:ascii="Calibri" w:eastAsia="Times New Roman" w:hAnsi="Calibri" w:cs="Calibri"/>
                <w:b/>
                <w:color w:val="002060"/>
                <w:sz w:val="18"/>
                <w:szCs w:val="18"/>
                <w:lang w:val="sr-Cyrl-CS" w:eastAsia="en-GB"/>
              </w:rPr>
            </w:pPr>
            <w:r w:rsidRPr="00DE058F">
              <w:rPr>
                <w:rFonts w:ascii="Calibri" w:eastAsia="Times New Roman" w:hAnsi="Calibri" w:cs="Calibri"/>
                <w:b/>
                <w:color w:val="002060"/>
                <w:sz w:val="18"/>
                <w:szCs w:val="18"/>
                <w:lang w:val="sr-Cyrl-CS" w:eastAsia="en-GB"/>
              </w:rPr>
              <w:t>-16</w:t>
            </w:r>
            <w:r w:rsidR="00A26E4D" w:rsidRPr="00DE058F">
              <w:rPr>
                <w:rFonts w:ascii="Calibri" w:eastAsia="Times New Roman" w:hAnsi="Calibri" w:cs="Calibri"/>
                <w:b/>
                <w:color w:val="002060"/>
                <w:sz w:val="18"/>
                <w:szCs w:val="18"/>
                <w:lang w:val="sr-Cyrl-CS" w:eastAsia="en-GB"/>
              </w:rPr>
              <w:t>.</w:t>
            </w:r>
            <w:r w:rsidRPr="00DE058F">
              <w:rPr>
                <w:rFonts w:ascii="Calibri" w:eastAsia="Times New Roman" w:hAnsi="Calibri" w:cs="Calibri"/>
                <w:b/>
                <w:color w:val="002060"/>
                <w:sz w:val="18"/>
                <w:szCs w:val="18"/>
                <w:lang w:val="sr-Cyrl-CS" w:eastAsia="en-GB"/>
              </w:rPr>
              <w:t>707</w:t>
            </w:r>
            <w:r w:rsidR="00A26E4D" w:rsidRPr="00DE058F">
              <w:rPr>
                <w:rFonts w:ascii="Calibri" w:eastAsia="Times New Roman" w:hAnsi="Calibri" w:cs="Calibri"/>
                <w:b/>
                <w:color w:val="002060"/>
                <w:sz w:val="18"/>
                <w:szCs w:val="18"/>
                <w:lang w:val="sr-Cyrl-CS" w:eastAsia="en-GB"/>
              </w:rPr>
              <w:t>.</w:t>
            </w:r>
            <w:r w:rsidRPr="00DE058F">
              <w:rPr>
                <w:rFonts w:ascii="Calibri" w:eastAsia="Times New Roman" w:hAnsi="Calibri" w:cs="Calibri"/>
                <w:b/>
                <w:color w:val="002060"/>
                <w:sz w:val="18"/>
                <w:szCs w:val="18"/>
                <w:lang w:val="sr-Cyrl-CS" w:eastAsia="en-GB"/>
              </w:rPr>
              <w:t>432</w:t>
            </w:r>
          </w:p>
        </w:tc>
        <w:tc>
          <w:tcPr>
            <w:tcW w:w="1888" w:type="dxa"/>
            <w:tcBorders>
              <w:top w:val="single" w:sz="8" w:space="0" w:color="002060"/>
              <w:left w:val="nil"/>
              <w:bottom w:val="single" w:sz="8" w:space="0" w:color="002060"/>
              <w:right w:val="nil"/>
            </w:tcBorders>
            <w:shd w:val="clear" w:color="auto" w:fill="auto"/>
            <w:noWrap/>
            <w:vAlign w:val="center"/>
            <w:hideMark/>
          </w:tcPr>
          <w:p w14:paraId="0D8852BE" w14:textId="0DBCF626" w:rsidR="00593E7B" w:rsidRPr="00DE058F" w:rsidRDefault="00593E7B" w:rsidP="00C95509">
            <w:pPr>
              <w:spacing w:after="0" w:line="240" w:lineRule="auto"/>
              <w:jc w:val="right"/>
              <w:rPr>
                <w:rFonts w:ascii="Calibri" w:eastAsia="Times New Roman" w:hAnsi="Calibri" w:cs="Calibri"/>
                <w:b/>
                <w:color w:val="002060"/>
                <w:sz w:val="18"/>
                <w:szCs w:val="18"/>
                <w:lang w:val="sr-Cyrl-CS" w:eastAsia="en-GB"/>
              </w:rPr>
            </w:pPr>
            <w:r w:rsidRPr="00DE058F">
              <w:rPr>
                <w:rFonts w:ascii="Calibri" w:eastAsia="Times New Roman" w:hAnsi="Calibri" w:cs="Calibri"/>
                <w:b/>
                <w:color w:val="002060"/>
                <w:sz w:val="18"/>
                <w:szCs w:val="18"/>
                <w:lang w:val="sr-Cyrl-CS" w:eastAsia="en-GB"/>
              </w:rPr>
              <w:t>1</w:t>
            </w:r>
            <w:r w:rsidR="00A26E4D" w:rsidRPr="00DE058F">
              <w:rPr>
                <w:rFonts w:ascii="Calibri" w:eastAsia="Times New Roman" w:hAnsi="Calibri" w:cs="Calibri"/>
                <w:b/>
                <w:color w:val="002060"/>
                <w:sz w:val="18"/>
                <w:szCs w:val="18"/>
                <w:lang w:val="sr-Cyrl-CS" w:eastAsia="en-GB"/>
              </w:rPr>
              <w:t>.</w:t>
            </w:r>
            <w:r w:rsidRPr="00DE058F">
              <w:rPr>
                <w:rFonts w:ascii="Calibri" w:eastAsia="Times New Roman" w:hAnsi="Calibri" w:cs="Calibri"/>
                <w:b/>
                <w:color w:val="002060"/>
                <w:sz w:val="18"/>
                <w:szCs w:val="18"/>
                <w:lang w:val="sr-Cyrl-CS" w:eastAsia="en-GB"/>
              </w:rPr>
              <w:t>760</w:t>
            </w:r>
          </w:p>
        </w:tc>
        <w:tc>
          <w:tcPr>
            <w:tcW w:w="1888" w:type="dxa"/>
            <w:tcBorders>
              <w:top w:val="single" w:sz="8" w:space="0" w:color="002060"/>
              <w:left w:val="nil"/>
              <w:bottom w:val="single" w:sz="8" w:space="0" w:color="002060"/>
              <w:right w:val="nil"/>
            </w:tcBorders>
            <w:shd w:val="clear" w:color="auto" w:fill="auto"/>
            <w:noWrap/>
            <w:vAlign w:val="center"/>
            <w:hideMark/>
          </w:tcPr>
          <w:p w14:paraId="41DAEB69" w14:textId="611B80AB" w:rsidR="00593E7B" w:rsidRPr="00DE058F" w:rsidRDefault="00593E7B" w:rsidP="00C95509">
            <w:pPr>
              <w:spacing w:after="0" w:line="240" w:lineRule="auto"/>
              <w:jc w:val="right"/>
              <w:rPr>
                <w:rFonts w:ascii="Calibri" w:eastAsia="Times New Roman" w:hAnsi="Calibri" w:cs="Calibri"/>
                <w:b/>
                <w:color w:val="002060"/>
                <w:sz w:val="18"/>
                <w:szCs w:val="18"/>
                <w:lang w:val="sr-Cyrl-CS" w:eastAsia="en-GB"/>
              </w:rPr>
            </w:pPr>
            <w:r w:rsidRPr="00DE058F">
              <w:rPr>
                <w:rFonts w:ascii="Calibri" w:eastAsia="Times New Roman" w:hAnsi="Calibri" w:cs="Calibri"/>
                <w:b/>
                <w:color w:val="002060"/>
                <w:sz w:val="18"/>
                <w:szCs w:val="18"/>
                <w:lang w:val="sr-Cyrl-CS" w:eastAsia="en-GB"/>
              </w:rPr>
              <w:t>-29</w:t>
            </w:r>
            <w:r w:rsidR="00A26E4D" w:rsidRPr="00DE058F">
              <w:rPr>
                <w:rFonts w:ascii="Calibri" w:eastAsia="Times New Roman" w:hAnsi="Calibri" w:cs="Calibri"/>
                <w:b/>
                <w:color w:val="002060"/>
                <w:sz w:val="18"/>
                <w:szCs w:val="18"/>
                <w:lang w:val="sr-Cyrl-CS" w:eastAsia="en-GB"/>
              </w:rPr>
              <w:t>.</w:t>
            </w:r>
            <w:r w:rsidRPr="00DE058F">
              <w:rPr>
                <w:rFonts w:ascii="Calibri" w:eastAsia="Times New Roman" w:hAnsi="Calibri" w:cs="Calibri"/>
                <w:b/>
                <w:color w:val="002060"/>
                <w:sz w:val="18"/>
                <w:szCs w:val="18"/>
                <w:lang w:val="sr-Cyrl-CS" w:eastAsia="en-GB"/>
              </w:rPr>
              <w:t>763</w:t>
            </w:r>
            <w:r w:rsidR="00A26E4D" w:rsidRPr="00DE058F">
              <w:rPr>
                <w:rFonts w:ascii="Calibri" w:eastAsia="Times New Roman" w:hAnsi="Calibri" w:cs="Calibri"/>
                <w:b/>
                <w:color w:val="002060"/>
                <w:sz w:val="18"/>
                <w:szCs w:val="18"/>
                <w:lang w:val="sr-Cyrl-CS" w:eastAsia="en-GB"/>
              </w:rPr>
              <w:t>.</w:t>
            </w:r>
            <w:r w:rsidRPr="00DE058F">
              <w:rPr>
                <w:rFonts w:ascii="Calibri" w:eastAsia="Times New Roman" w:hAnsi="Calibri" w:cs="Calibri"/>
                <w:b/>
                <w:color w:val="002060"/>
                <w:sz w:val="18"/>
                <w:szCs w:val="18"/>
                <w:lang w:val="sr-Cyrl-CS" w:eastAsia="en-GB"/>
              </w:rPr>
              <w:t>071</w:t>
            </w:r>
          </w:p>
        </w:tc>
      </w:tr>
    </w:tbl>
    <w:p w14:paraId="5B875F8E" w14:textId="77777777" w:rsidR="00593E7B" w:rsidRPr="00DE058F" w:rsidRDefault="00593E7B" w:rsidP="00C95509">
      <w:pPr>
        <w:spacing w:after="0" w:line="276" w:lineRule="auto"/>
        <w:rPr>
          <w:rFonts w:eastAsia="MS PGothic" w:cstheme="minorHAnsi"/>
          <w:sz w:val="16"/>
          <w:szCs w:val="16"/>
          <w:lang w:val="sr-Cyrl-CS" w:eastAsia="ja-JP"/>
        </w:rPr>
        <w:sectPr w:rsidR="00593E7B" w:rsidRPr="00DE058F" w:rsidSect="00C95509">
          <w:type w:val="continuous"/>
          <w:pgSz w:w="12240" w:h="15840" w:code="1"/>
          <w:pgMar w:top="1440" w:right="1440" w:bottom="1440" w:left="1440" w:header="720" w:footer="720" w:gutter="0"/>
          <w:cols w:space="720"/>
          <w:docGrid w:linePitch="360"/>
        </w:sectPr>
      </w:pPr>
      <w:r w:rsidRPr="00DE058F">
        <w:rPr>
          <w:rFonts w:eastAsia="MS PGothic" w:cstheme="minorHAnsi"/>
          <w:sz w:val="16"/>
          <w:szCs w:val="16"/>
          <w:lang w:val="sr-Cyrl-CS" w:eastAsia="ja-JP"/>
        </w:rPr>
        <w:lastRenderedPageBreak/>
        <w:t>*НП-нема података зато што није усвојен Годишњи програм пословања</w:t>
      </w:r>
    </w:p>
    <w:p w14:paraId="7369AE17" w14:textId="77777777" w:rsidR="00593E7B" w:rsidRPr="00DE058F" w:rsidRDefault="00593E7B" w:rsidP="00C95509">
      <w:pPr>
        <w:spacing w:after="120" w:line="276" w:lineRule="auto"/>
        <w:rPr>
          <w:rFonts w:eastAsia="MS PGothic" w:cstheme="minorHAnsi"/>
          <w:szCs w:val="20"/>
          <w:lang w:val="sr-Cyrl-CS" w:eastAsia="ja-JP"/>
        </w:rPr>
        <w:sectPr w:rsidR="00593E7B" w:rsidRPr="00DE058F" w:rsidSect="00C95509">
          <w:type w:val="continuous"/>
          <w:pgSz w:w="12240" w:h="15840" w:code="1"/>
          <w:pgMar w:top="1440" w:right="1440" w:bottom="1440" w:left="1440" w:header="720" w:footer="720" w:gutter="0"/>
          <w:cols w:num="2" w:space="720"/>
          <w:docGrid w:linePitch="360"/>
        </w:sectPr>
      </w:pPr>
    </w:p>
    <w:p w14:paraId="38488A96" w14:textId="77777777" w:rsidR="00593E7B" w:rsidRPr="00DE058F" w:rsidRDefault="00593E7B" w:rsidP="00C95509">
      <w:pPr>
        <w:rPr>
          <w:rFonts w:eastAsia="MS PGothic" w:cstheme="minorHAnsi"/>
          <w:szCs w:val="20"/>
          <w:lang w:val="sr-Cyrl-CS" w:eastAsia="ja-JP"/>
        </w:rPr>
      </w:pPr>
      <w:r w:rsidRPr="00DE058F">
        <w:rPr>
          <w:rFonts w:eastAsia="MS PGothic" w:cstheme="minorHAnsi"/>
          <w:szCs w:val="20"/>
          <w:lang w:val="sr-Cyrl-CS" w:eastAsia="ja-JP"/>
        </w:rPr>
        <w:t>У циљу умањења фискалних ризика повезаних са пословањем јавних предузећа у току су процеси реструктурирања највећих јавних предузећа (групе предузећа које се баве железничким саобраћајем – „Железнице Србије” а.д, „Инфраструктура железнице Србије” а.д, „Србија Воз” а.д, „Србија Карго” а.д, ЈП ЕПС и ЈП „Србијагас”). Целокупан процес се спроводи у сарадњи за водећим светским финансијским институцијама – ММФ, Светском банком и Европском банком за обнову и развој (у даљем тексту: ЕБРД), како би се ова предузећа поставила на здраве основе и почела да функционишу по тржишном принципу, те умањили потенцијални фискални трошкови који могу проистећи из њиховог пословања.</w:t>
      </w:r>
    </w:p>
    <w:p w14:paraId="51F97B6D" w14:textId="77777777" w:rsidR="00593E7B" w:rsidRPr="00DE058F" w:rsidRDefault="00593E7B" w:rsidP="00C95509">
      <w:pPr>
        <w:rPr>
          <w:rFonts w:cstheme="minorHAnsi"/>
          <w:b/>
          <w:bCs/>
          <w:color w:val="2F5496" w:themeColor="accent1" w:themeShade="BF"/>
          <w:sz w:val="22"/>
          <w:szCs w:val="20"/>
          <w:lang w:val="sr-Cyrl-CS"/>
        </w:rPr>
      </w:pPr>
      <w:r w:rsidRPr="00DE058F">
        <w:rPr>
          <w:rFonts w:cstheme="minorHAnsi"/>
          <w:b/>
          <w:bCs/>
          <w:color w:val="2F5496" w:themeColor="accent1" w:themeShade="BF"/>
          <w:sz w:val="22"/>
          <w:szCs w:val="20"/>
          <w:lang w:val="sr-Cyrl-CS"/>
        </w:rPr>
        <w:t>Уплата добити</w:t>
      </w:r>
    </w:p>
    <w:p w14:paraId="1C2E572E" w14:textId="3A975B42" w:rsidR="00593E7B" w:rsidRPr="00DE058F" w:rsidRDefault="00593E7B" w:rsidP="00C95509">
      <w:pPr>
        <w:rPr>
          <w:rFonts w:eastAsia="MS PGothic" w:cstheme="minorHAnsi"/>
          <w:bCs/>
          <w:szCs w:val="20"/>
          <w:lang w:val="sr-Cyrl-CS" w:eastAsia="ja-JP"/>
        </w:rPr>
      </w:pPr>
      <w:r w:rsidRPr="00DE058F">
        <w:rPr>
          <w:rFonts w:eastAsia="MS PGothic" w:cstheme="minorHAnsi"/>
          <w:szCs w:val="20"/>
          <w:lang w:val="sr-Cyrl-CS" w:eastAsia="ja-JP"/>
        </w:rPr>
        <w:t>Уплата добити од стране јавних предузећа и дивиденди друштава капитала у којима држава има власништво представљају значајан део непореских прихода. Од успешности пословања</w:t>
      </w:r>
      <w:r w:rsidR="00BD7244" w:rsidRPr="00DE058F">
        <w:rPr>
          <w:rFonts w:eastAsia="MS PGothic" w:cstheme="minorHAnsi"/>
          <w:szCs w:val="20"/>
          <w:lang w:val="sr-Cyrl-CS" w:eastAsia="ja-JP"/>
        </w:rPr>
        <w:t xml:space="preserve"> </w:t>
      </w:r>
      <w:r w:rsidRPr="00DE058F">
        <w:rPr>
          <w:rFonts w:eastAsia="MS PGothic" w:cstheme="minorHAnsi"/>
          <w:szCs w:val="20"/>
          <w:lang w:val="sr-Cyrl-CS" w:eastAsia="ja-JP"/>
        </w:rPr>
        <w:t>ових предузећа зависи и висина прихода</w:t>
      </w:r>
      <w:r w:rsidRPr="00DE058F">
        <w:rPr>
          <w:rFonts w:eastAsia="MS PGothic" w:cstheme="minorHAnsi"/>
          <w:bCs/>
          <w:szCs w:val="20"/>
          <w:lang w:val="sr-Cyrl-CS" w:eastAsia="ja-JP"/>
        </w:rPr>
        <w:t xml:space="preserve"> буџета по овом основу. Уплата редовне добити и дивиденди је редован буџетски непорески приход, док се уплате из нераспоређене добити третирају као приход са једнократним карактером и не представљају трајни извор прихода.</w:t>
      </w:r>
    </w:p>
    <w:p w14:paraId="38D34120" w14:textId="7AFB8299" w:rsidR="00593E7B" w:rsidRPr="00DE058F" w:rsidRDefault="00593E7B" w:rsidP="00C95509">
      <w:pPr>
        <w:rPr>
          <w:rFonts w:eastAsia="MS PGothic" w:cstheme="minorHAnsi"/>
          <w:szCs w:val="20"/>
          <w:lang w:val="sr-Cyrl-CS" w:eastAsia="ja-JP"/>
        </w:rPr>
      </w:pPr>
      <w:r w:rsidRPr="00DE058F">
        <w:rPr>
          <w:rFonts w:eastAsia="MS PGothic" w:cstheme="minorHAnsi"/>
          <w:szCs w:val="20"/>
          <w:lang w:val="sr-Cyrl-CS" w:eastAsia="ja-JP"/>
        </w:rPr>
        <w:t>Привредна друштва чији је оснивач Република Србија или у којима Република Србија има учешће у власништву дужна су да најкасније до 30. новембра текуће буџетске године у буџет Републике Србије уплате најмање 50% сразмерног дела добити по завршном рачуну за 2020. годину, који у складу са законом који уређује привредна друштва припада Републици Србији као члану друштва.</w:t>
      </w:r>
    </w:p>
    <w:p w14:paraId="1DCE132E" w14:textId="77777777" w:rsidR="00645A77" w:rsidRPr="00DE058F" w:rsidRDefault="00645A77" w:rsidP="00C95509">
      <w:pPr>
        <w:rPr>
          <w:rFonts w:eastAsia="MS PGothic" w:cstheme="minorHAnsi"/>
          <w:szCs w:val="20"/>
          <w:lang w:val="sr-Cyrl-CS" w:eastAsia="ja-JP"/>
        </w:rPr>
      </w:pPr>
    </w:p>
    <w:p w14:paraId="1B76320F" w14:textId="62807F17" w:rsidR="00593E7B" w:rsidRPr="00DE058F" w:rsidRDefault="00593E7B" w:rsidP="00C95509">
      <w:pPr>
        <w:rPr>
          <w:rFonts w:eastAsia="MS PGothic" w:cstheme="minorHAnsi"/>
          <w:szCs w:val="20"/>
          <w:lang w:val="sr-Cyrl-CS" w:eastAsia="ja-JP"/>
        </w:rPr>
      </w:pPr>
      <w:r w:rsidRPr="00DE058F">
        <w:rPr>
          <w:rFonts w:eastAsia="MS PGothic" w:cstheme="minorHAnsi"/>
          <w:szCs w:val="20"/>
          <w:lang w:val="sr-Cyrl-CS" w:eastAsia="ja-JP"/>
        </w:rPr>
        <w:t>Изузетно, уз сагласност Владе, обавезу по основу уплате добити нема субјекат који донесе одлуку да из добити покрије губитак или повећа капитал или средства употреби за финансирање инвестиција.</w:t>
      </w:r>
    </w:p>
    <w:p w14:paraId="7698794F" w14:textId="77777777" w:rsidR="00645A77" w:rsidRPr="00DE058F" w:rsidRDefault="00645A77" w:rsidP="00C95509">
      <w:pPr>
        <w:rPr>
          <w:rFonts w:eastAsia="MS PGothic" w:cstheme="minorHAnsi"/>
          <w:szCs w:val="20"/>
          <w:lang w:val="sr-Cyrl-CS" w:eastAsia="ja-JP"/>
        </w:rPr>
      </w:pPr>
    </w:p>
    <w:p w14:paraId="1F092BF7" w14:textId="235A409A" w:rsidR="0012767A" w:rsidRPr="00DE058F" w:rsidRDefault="0012767A" w:rsidP="00C95509">
      <w:pPr>
        <w:rPr>
          <w:rFonts w:eastAsia="MS PGothic" w:cstheme="minorHAnsi"/>
          <w:szCs w:val="20"/>
          <w:lang w:val="sr-Cyrl-CS" w:eastAsia="ja-JP"/>
        </w:rPr>
      </w:pPr>
      <w:r w:rsidRPr="00DE058F">
        <w:rPr>
          <w:rFonts w:eastAsia="MS PGothic" w:cstheme="minorHAnsi"/>
          <w:szCs w:val="20"/>
          <w:lang w:val="sr-Cyrl-CS" w:eastAsia="ja-JP"/>
        </w:rPr>
        <w:t>У току 2021. године по овом основу уплаћено је 7,9 млрд динара у буџет Републике.</w:t>
      </w:r>
    </w:p>
    <w:p w14:paraId="4D35E385" w14:textId="77777777" w:rsidR="00593E7B" w:rsidRPr="00DE058F" w:rsidRDefault="00593E7B" w:rsidP="00C95509">
      <w:pPr>
        <w:rPr>
          <w:rFonts w:eastAsia="MS PGothic" w:cstheme="minorHAnsi"/>
          <w:bCs/>
          <w:szCs w:val="20"/>
          <w:lang w:val="sr-Cyrl-CS" w:eastAsia="ja-JP"/>
        </w:rPr>
      </w:pPr>
      <w:r w:rsidRPr="00DE058F">
        <w:rPr>
          <w:rFonts w:eastAsia="MS PGothic" w:cstheme="minorHAnsi"/>
          <w:szCs w:val="20"/>
          <w:lang w:val="sr-Cyrl-CS" w:eastAsia="ja-JP"/>
        </w:rPr>
        <w:t>Ублажавање потенцијалних ризика, који настају као последица пословања јавних предузећа, обухвата низ мера везаних за одговорност, профитабилност и транспарентност у пословању ових предузећа. Процеси реструктурирања</w:t>
      </w:r>
      <w:r w:rsidRPr="00DE058F">
        <w:rPr>
          <w:rFonts w:eastAsia="MS PGothic" w:cstheme="minorHAnsi"/>
          <w:bCs/>
          <w:szCs w:val="20"/>
          <w:lang w:val="sr-Cyrl-CS" w:eastAsia="ja-JP"/>
        </w:rPr>
        <w:t xml:space="preserve"> покренути су у ЈП ЕПС, ЈП „Србијагас</w:t>
      </w:r>
      <w:r w:rsidRPr="00DE058F">
        <w:rPr>
          <w:rFonts w:eastAsia="MS PGothic" w:cstheme="minorHAnsi"/>
          <w:szCs w:val="20"/>
          <w:lang w:val="sr-Cyrl-CS" w:eastAsia="ja-JP"/>
        </w:rPr>
        <w:t>”</w:t>
      </w:r>
      <w:r w:rsidRPr="00DE058F">
        <w:rPr>
          <w:rFonts w:eastAsia="MS PGothic" w:cstheme="minorHAnsi"/>
          <w:bCs/>
          <w:szCs w:val="20"/>
          <w:lang w:val="sr-Cyrl-CS" w:eastAsia="ja-JP"/>
        </w:rPr>
        <w:t xml:space="preserve"> и „Железнице Србије” а.д, при чему ће од успешности самог процеса реструктурирања и брзине спровођења усвојених мера зависити ефикасност пословања у будућности.</w:t>
      </w:r>
    </w:p>
    <w:p w14:paraId="2766350B" w14:textId="77777777" w:rsidR="00593E7B" w:rsidRPr="00DE058F" w:rsidRDefault="00593E7B" w:rsidP="00C95509">
      <w:pPr>
        <w:jc w:val="left"/>
        <w:rPr>
          <w:rFonts w:ascii="Calibri" w:eastAsia="Calibri" w:hAnsi="Calibri" w:cs="Calibri"/>
          <w:b/>
          <w:bCs/>
          <w:color w:val="2F5496" w:themeColor="accent1" w:themeShade="BF"/>
          <w:sz w:val="22"/>
          <w:szCs w:val="20"/>
          <w:lang w:val="sr-Cyrl-CS"/>
        </w:rPr>
      </w:pPr>
      <w:r w:rsidRPr="00DE058F">
        <w:rPr>
          <w:rFonts w:ascii="Calibri" w:eastAsia="Calibri" w:hAnsi="Calibri" w:cs="Calibri"/>
          <w:b/>
          <w:bCs/>
          <w:color w:val="2F5496" w:themeColor="accent1" w:themeShade="BF"/>
          <w:sz w:val="22"/>
          <w:szCs w:val="20"/>
          <w:lang w:val="sr-Cyrl-CS"/>
        </w:rPr>
        <w:t>Државне финансијске институције, банкарски систем и осигурање депозита</w:t>
      </w:r>
    </w:p>
    <w:p w14:paraId="170DA4AA"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Пре периода фискалне консолидације Република Србија имала је значајне фискалне трошкове спашавања државних банака. Укупни трошкови државних интервенција у банкарском сектору у периоду 2012–2015. године износили су око 900 милиона евра. То је износ издвојен за докапитализацију банака, различите финансијске трансакције приликом припајања неуспешних банака успешнијим, укључујући и исплату осигураних и неосигураних депозита (за шта су коришћена и средства Фонда за осигурање депозита).</w:t>
      </w:r>
    </w:p>
    <w:p w14:paraId="0172D40B" w14:textId="77777777" w:rsidR="00593E7B" w:rsidRPr="00DE058F" w:rsidRDefault="00593E7B" w:rsidP="00C95509">
      <w:pPr>
        <w:spacing w:after="80"/>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Република Србија данас у банкарском сектору земље има директан удео у капиталу:</w:t>
      </w:r>
    </w:p>
    <w:p w14:paraId="2D3D6C02" w14:textId="77777777" w:rsidR="00593E7B" w:rsidRPr="00DE058F" w:rsidRDefault="00593E7B" w:rsidP="00DB0157">
      <w:pPr>
        <w:numPr>
          <w:ilvl w:val="0"/>
          <w:numId w:val="14"/>
        </w:numPr>
        <w:spacing w:line="256" w:lineRule="auto"/>
        <w:ind w:left="454" w:hanging="227"/>
        <w:contextualSpacing/>
        <w:jc w:val="left"/>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Банке Поштанска штедионица а.д. Београд (72,64%),</w:t>
      </w:r>
    </w:p>
    <w:p w14:paraId="2865638B" w14:textId="77777777" w:rsidR="00593E7B" w:rsidRPr="00DE058F" w:rsidRDefault="00593E7B" w:rsidP="00DB0157">
      <w:pPr>
        <w:numPr>
          <w:ilvl w:val="0"/>
          <w:numId w:val="14"/>
        </w:numPr>
        <w:spacing w:line="256" w:lineRule="auto"/>
        <w:ind w:left="454" w:hanging="227"/>
        <w:jc w:val="left"/>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Српске банке а.д. Београд (76,69%).</w:t>
      </w:r>
    </w:p>
    <w:p w14:paraId="54A8902B"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У циљу доследног спровођења излазне стратегије и смањења фискалних ризика по овом основу настављају се реформске активности у области државних финансијских институција започете 2012. године, односно 2015. године.</w:t>
      </w:r>
    </w:p>
    <w:p w14:paraId="61AF9A72"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 xml:space="preserve">Банка Поштанска штедионица. Уз подршку Светске банке наставиће се са спровођењем стратегије за Банку Поштанска штедионица са нагласком на преусмеравање пословања са становништвом, предузетницима, микро предузећима и малим предузећима; побољшање интерне организације </w:t>
      </w:r>
      <w:r w:rsidRPr="00DE058F">
        <w:rPr>
          <w:rFonts w:ascii="Calibri" w:eastAsia="MS PGothic" w:hAnsi="Calibri" w:cs="Calibri"/>
          <w:color w:val="44546A"/>
          <w:szCs w:val="20"/>
          <w:lang w:val="sr-Cyrl-CS" w:eastAsia="ja-JP"/>
        </w:rPr>
        <w:lastRenderedPageBreak/>
        <w:t>банке, корпоративног управљања и управљања ризиком; јачање ИТ инфраструктуре, као и план пословања за период 2021–2025. године.</w:t>
      </w:r>
    </w:p>
    <w:p w14:paraId="28C50140" w14:textId="64C3B2D2"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Како би се омогућило ублажавање економских и финансијских последица, насталих услед пандемије болести COVID-19 изазване вирусом SARS-CoV-2, Банка поступа у складу са Законом о утврђивању гарантне шеме као мере подршке привреди за ублажавање последица пандемије болести COVID-19 изазване вирусом SARS-CoV-2 („Службени гласник РС</w:t>
      </w:r>
      <w:r w:rsidR="00792F54" w:rsidRPr="00DE058F">
        <w:rPr>
          <w:rFonts w:ascii="Calibri" w:eastAsia="MS PGothic" w:hAnsi="Calibri" w:cs="Calibri"/>
          <w:color w:val="44546A"/>
          <w:szCs w:val="20"/>
          <w:lang w:val="sr-Cyrl-CS" w:eastAsia="ja-JP"/>
        </w:rPr>
        <w:t>”</w:t>
      </w:r>
      <w:r w:rsidRPr="00DE058F">
        <w:rPr>
          <w:rFonts w:ascii="Calibri" w:eastAsia="MS PGothic" w:hAnsi="Calibri" w:cs="Calibri"/>
          <w:color w:val="44546A"/>
          <w:szCs w:val="20"/>
          <w:lang w:val="sr-Cyrl-CS" w:eastAsia="ja-JP"/>
        </w:rPr>
        <w:t>, бр. 153/20 и 40/21) и Законом о утврђивању друге гарантне шеме као мера додатне подршке привреди услед продуженог негативног утицаја пандемије болести COVID-19 изазване вирусом SARS-CoV-2 („Службени гласник РС”, бр. 40/21 и 129/21).</w:t>
      </w:r>
    </w:p>
    <w:p w14:paraId="28CDB511"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Комерцијална банка. Дана 26. фебруара 2020. године закључен је Уговор о купопродаји акција у вези са 83,23% обичних акција Комерцијалне банке а.д. Београд између Републике Србије и Nove Ljubljanske banke d.d. Ljubljana. Завршетак трансакције (пренос власништва и исплата купопродајне цене) реализован је 30. децембра 2020. године.</w:t>
      </w:r>
    </w:p>
    <w:p w14:paraId="76A80538" w14:textId="77777777" w:rsidR="00593E7B" w:rsidRPr="00DE058F" w:rsidRDefault="00593E7B" w:rsidP="00C95509">
      <w:pPr>
        <w:rPr>
          <w:rFonts w:ascii="Calibri" w:eastAsia="MS PGothic" w:hAnsi="Calibri" w:cs="Calibri"/>
          <w:color w:val="44546A"/>
          <w:spacing w:val="-2"/>
          <w:szCs w:val="20"/>
          <w:lang w:val="sr-Cyrl-CS" w:eastAsia="ja-JP"/>
        </w:rPr>
      </w:pPr>
      <w:r w:rsidRPr="00DE058F">
        <w:rPr>
          <w:rFonts w:ascii="Calibri" w:eastAsia="MS PGothic" w:hAnsi="Calibri" w:cs="Calibri"/>
          <w:color w:val="44546A"/>
          <w:szCs w:val="20"/>
          <w:lang w:val="sr-Cyrl-CS" w:eastAsia="ja-JP"/>
        </w:rPr>
        <w:t>Српска банка. У складу са Владином стратегијом за државне банке, формирана је Стручна радна група</w:t>
      </w:r>
      <w:r w:rsidRPr="00DE058F">
        <w:rPr>
          <w:rFonts w:ascii="Calibri" w:eastAsia="MS PGothic" w:hAnsi="Calibri" w:cs="Calibri"/>
          <w:color w:val="44546A"/>
          <w:spacing w:val="-2"/>
          <w:szCs w:val="20"/>
          <w:lang w:val="sr-Cyrl-CS" w:eastAsia="ja-JP"/>
        </w:rPr>
        <w:t xml:space="preserve"> за трансформацију Српске банке у специјализовану финансијску институцију за пружање свих врста финансијских услуга и подршке наменској индустрији Републике Србије дана 21. јануара 2019. године и почела је са формалним радом у марту 2019. године када је одржана конститутивна седница.</w:t>
      </w:r>
    </w:p>
    <w:p w14:paraId="26DD3074"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Реформа прописа који уређују српски финансијски систем</w:t>
      </w:r>
      <w:r w:rsidRPr="00DE058F">
        <w:rPr>
          <w:rFonts w:ascii="Calibri" w:eastAsia="MS PGothic" w:hAnsi="Calibri" w:cs="Calibri"/>
          <w:color w:val="44546A"/>
          <w:szCs w:val="20"/>
          <w:vertAlign w:val="superscript"/>
          <w:lang w:val="sr-Cyrl-CS" w:eastAsia="ja-JP"/>
        </w:rPr>
        <w:footnoteReference w:id="10"/>
      </w:r>
      <w:r w:rsidRPr="00DE058F">
        <w:rPr>
          <w:rFonts w:ascii="Calibri" w:eastAsia="MS PGothic" w:hAnsi="Calibri" w:cs="Calibri"/>
          <w:color w:val="44546A"/>
          <w:szCs w:val="20"/>
          <w:vertAlign w:val="superscript"/>
          <w:lang w:val="sr-Cyrl-CS" w:eastAsia="ja-JP"/>
        </w:rPr>
        <w:t xml:space="preserve"> </w:t>
      </w:r>
      <w:r w:rsidRPr="00DE058F">
        <w:rPr>
          <w:rFonts w:ascii="Calibri" w:eastAsia="MS PGothic" w:hAnsi="Calibri" w:cs="Calibri"/>
          <w:color w:val="44546A"/>
          <w:szCs w:val="20"/>
          <w:lang w:val="sr-Cyrl-CS" w:eastAsia="ja-JP"/>
        </w:rPr>
        <w:t xml:space="preserve">спроведена је фебруара 2015. године. Једна од карактеристика те реформе јесте и пренос надлежности праћења резултата пословања и рада органа управљања у банкама, друштвима за осигурање и другим финансијским институцијама чији је акционар Република Србија, као и организовање и спровођење поступка продаје акција у њима, са АОД на Министарство финансија, почев од 1. априла 2015. године. </w:t>
      </w:r>
      <w:r w:rsidRPr="00DE058F">
        <w:rPr>
          <w:rFonts w:ascii="Calibri" w:eastAsia="MS PGothic" w:hAnsi="Calibri" w:cs="Calibri"/>
          <w:color w:val="44546A"/>
          <w:szCs w:val="20"/>
          <w:lang w:val="sr-Cyrl-CS" w:eastAsia="ja-JP"/>
        </w:rPr>
        <w:t>Реформом прописа је у домаћу регулативу транспонована и Директива о реструктурирању банака (</w:t>
      </w:r>
      <w:r w:rsidRPr="00DE058F">
        <w:rPr>
          <w:rFonts w:ascii="Calibri" w:eastAsia="MS PGothic" w:hAnsi="Calibri" w:cs="Calibri"/>
          <w:i/>
          <w:color w:val="44546A"/>
          <w:szCs w:val="20"/>
          <w:lang w:val="sr-Cyrl-CS" w:eastAsia="ja-JP"/>
        </w:rPr>
        <w:t>Bank Recovery and Resolution Directive</w:t>
      </w:r>
      <w:r w:rsidRPr="00DE058F">
        <w:rPr>
          <w:rFonts w:ascii="Calibri" w:eastAsia="MS PGothic" w:hAnsi="Calibri" w:cs="Calibri"/>
          <w:color w:val="44546A"/>
          <w:szCs w:val="20"/>
          <w:lang w:val="sr-Cyrl-CS" w:eastAsia="ja-JP"/>
        </w:rPr>
        <w:t xml:space="preserve"> – BRRD) и функција реструктурирања банака поверена је НБС. У децембру 2016. године усвојен је сет прописа којима се у домаћи регулаторни оквир имплементирају Базел III стандарди, чиме је постигнут значајан степен усклађености домаћих прописа са релевантним прописима ЕУ у овој области, а током 2017. године се наставило са активностима на унапређењу домаћих прописа којима се уређује пословање банака, а у циљу њиховог даљег усклађивања са прописима ЕУ. Основни циљеви усвајања ових прописа су повећање отпорности банкарског сектора повећањем квалитета капитала и увођењем заштитних слојева капитала, боље праћење и контрола изложености банке ризику ликвидности, даље јачање тржишне дисциплине и транспарентности пословања банака у Републици Србији објављивањем свих релевантних информација о пословању банке, као и прилагођавање извештајног система новим регулаторним решењима.</w:t>
      </w:r>
    </w:p>
    <w:p w14:paraId="0E989667" w14:textId="38AC178C"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Један од ограничавајућих фактора за раст кредитне активности представљао је релативно висок ниво проблематичних кредита. У августу 2015. године усвојена је Стратегија за решавање проблематичних кредита која се спроводи имплементацијом два трогодишња акциона плана, један припремљен од стране Владе и други припремљен од стране НБС, у циљу спуштања нивоа проблематичних кредита. Кључне области имплементације подразумевале су јачање капацитета банака за решавање проблематичних кредита, унапређење регулативе за процену вредности средстава обезбеђења, развој тржишта проблематичних кредита и др.</w:t>
      </w:r>
    </w:p>
    <w:p w14:paraId="3D101579" w14:textId="129147C9" w:rsidR="00E56B4F" w:rsidRPr="00DE058F" w:rsidRDefault="00E56B4F" w:rsidP="00C95509">
      <w:pPr>
        <w:rPr>
          <w:rFonts w:ascii="Calibri" w:eastAsia="MS PGothic" w:hAnsi="Calibri" w:cs="Calibri"/>
          <w:color w:val="44546A"/>
          <w:spacing w:val="-2"/>
          <w:szCs w:val="20"/>
          <w:lang w:val="sr-Cyrl-CS" w:eastAsia="ja-JP"/>
        </w:rPr>
      </w:pPr>
      <w:r w:rsidRPr="00DE058F">
        <w:rPr>
          <w:rFonts w:ascii="Calibri" w:eastAsia="MS PGothic" w:hAnsi="Calibri" w:cs="Calibri"/>
          <w:color w:val="44546A"/>
          <w:spacing w:val="-2"/>
          <w:szCs w:val="20"/>
          <w:lang w:val="sr-Cyrl-CS" w:eastAsia="ja-JP"/>
        </w:rPr>
        <w:t xml:space="preserve">На иницијативу Народне банке Србије, 2014. године усвојен је нови Закон о осигурању на основу кога је током 2014. и 2015. године извршена регулаторна реформа у сектору осигурања, које представља други најважнији сегмент на домаћем финансијском тржишту. Регулаторном реформом </w:t>
      </w:r>
      <w:r w:rsidRPr="00DE058F">
        <w:rPr>
          <w:rFonts w:ascii="Calibri" w:eastAsia="MS PGothic" w:hAnsi="Calibri" w:cs="Calibri"/>
          <w:color w:val="44546A"/>
          <w:spacing w:val="-2"/>
          <w:szCs w:val="20"/>
          <w:lang w:val="sr-Cyrl-CS" w:eastAsia="ja-JP"/>
        </w:rPr>
        <w:lastRenderedPageBreak/>
        <w:t>створени су предуслови за даљи развој тржишта осигурања кроз имплементацију модерних стандарда прилагођених потребама домаћег тржишта. Нови регулаторни оквир омогућио је, између осталог, позитивне резултате који се огледају у расту укупне премије осигурања на тржишту Републике Србије и даљем развоју финансијског тржишта. Исто тако, реформа прописа у овој области је омогућила увођење квалитетнијих услуга друштава за осигурање и бољу заштиту грађана и привредних субјеката који те услуге користе. У току 2021. усвојене су измене и допуна Закона о осигурању, којима је уређена промена власничких права на друштвеном капиталу у друштвима за осигурање</w:t>
      </w:r>
      <w:r w:rsidR="00FE32E5" w:rsidRPr="00DE058F">
        <w:rPr>
          <w:rFonts w:ascii="Calibri" w:eastAsia="MS PGothic" w:hAnsi="Calibri" w:cs="Calibri"/>
          <w:color w:val="44546A"/>
          <w:spacing w:val="-2"/>
          <w:szCs w:val="20"/>
          <w:lang w:val="sr-Cyrl-CS" w:eastAsia="ja-JP"/>
        </w:rPr>
        <w:t>.</w:t>
      </w:r>
    </w:p>
    <w:p w14:paraId="0ECEB31B"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 xml:space="preserve">Од доношења поменуте стратегије, усвојен је и измењен већи број законских и подзаконских аката, унапређен је институционални капацитет и спроведене су бројне мере за лакши отпис и пренос ненаплативих потраживања и то: усвајањем Закона о изменама и допунама Закона о хипотеци (2015. године) чија решења су омогућила реафирмацију вансудског поступка намирења из вредности добијене продајом хипотековане непокретности, али и довела до вишег степена правне и економске сигурности учесника у пословима који подразумевају успостављање хипотеке, као средства обезбеђења потраживања; кроз доношење Закона о проценитељима вредности непокретности (почетак примене закона – јун 2017. године) који је, између осталог, увео нову професију – лиценциране проценитеље вредности непокретности и прописао обавезну процену која се спроводи у случајевима који се односе на Закон о хипотеци и Закон о стечају, као и приликом вршења процена за потребе кредитних послова који су обезбеђени хипотеком; образовање Стручног одбора (стручно тело које треба да допринесе уређењу и унапређењу професије проценитеља вредности непокретности) и доношење Националних стандарда, кодекса етике и правила професионалног понашања лиценцираног проценитеља (у јулу 2017. године) који, између осталог, дефинишу основе процене вредности непокретности, поступак вршења процене, претпоставке и чињенице од значаја које се морају узети у обзир приликом израде </w:t>
      </w:r>
      <w:r w:rsidRPr="00DE058F">
        <w:rPr>
          <w:rFonts w:ascii="Calibri" w:eastAsia="MS PGothic" w:hAnsi="Calibri" w:cs="Calibri"/>
          <w:color w:val="44546A"/>
          <w:szCs w:val="20"/>
          <w:lang w:val="sr-Cyrl-CS" w:eastAsia="ja-JP"/>
        </w:rPr>
        <w:t>извештаја процене, минимални садржај извештаја o процени и правила професионалног понашања лиценцираног проценитеља; усвајање измена и допуна Закона о порезу на добит правних лица и Закона о порезу на доходак грађана што је омогућило релаксиранију пореску политику за одобравање и отпис банкарских потраживања (крај 2017. године); усвајање амандмана на Закон о стечају којима је скраћен стечајни поступак и побољшан положај осигураних поверилаца (децембра 2017. године); припрему студије о могућностима увођења банкрота приватних појединаца и предузетника у Републици Србији, усвојен је Закон о изменама Закона о парничном поступку и друго. На основу Закона о проценитељима вредности непокретности и Одлуке о садржају, роковима и начину достављања извештаја о проценама вредности непокретности које су предмет хипотеке и кредитима обезбеђеним хипотеком, НБС од 2015. године води базу података о проценама вредности непокретности које су предмет хипотеке. У складу с поменутим законом и одлуком, банке и лиценцирани проценитељи могу остварити увид у одређене податке о проценама вредности непокретности које су предмет хипотеке. Крајем 2018. године НБС је усвојила сет подзаконских аката реагујући проактивно на све учесталију појаву ненаменског кредитирања становништва по неоправдано дугим роковима. Ови прописи имају за циљ да допринесу спречавању настанка проблематичних кредита у банкарском сектору и подстакну опрезно преузимање ризика од стране банака њиховим усмеравањем на одрживо кредитирање и избегавање прекомерне изложености одређеним врстама кредитних производа, не нарушавајући тренд раста кредитне активности и водећи рачуна о правима и интересима корисника услуга које пружају банке, а све ради очувања и јачања финансијске стабилности у Републици Србији.</w:t>
      </w:r>
    </w:p>
    <w:p w14:paraId="2AB9C370"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 xml:space="preserve">Влада је 27. децембра 2018. године донела Програм за решавање проблематичних кредита за период 2018–2020. године (у даљем тексту: Програм) заједно са Акционим планом за спровођење тог програма чиме је успешно испуњен и реформски циљ унутар програма сарадње са ММФ и зацртан пут за даљи успешан </w:t>
      </w:r>
      <w:r w:rsidRPr="00DE058F">
        <w:rPr>
          <w:rFonts w:ascii="Calibri" w:eastAsia="MS PGothic" w:hAnsi="Calibri" w:cs="Calibri"/>
          <w:color w:val="44546A"/>
          <w:szCs w:val="20"/>
          <w:lang w:val="sr-Cyrl-CS" w:eastAsia="ja-JP"/>
        </w:rPr>
        <w:lastRenderedPageBreak/>
        <w:t>рад на решавању питања проблематичних потраживања.</w:t>
      </w:r>
    </w:p>
    <w:p w14:paraId="338B751B"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Главни фокус поменутог документа јавне политике представља решавање питања проблематичних пласмана банака у стечају и пласмана у име и за рачун Републике Србије, којима управља АОД. У складу са тим, усвојени су стратешки и годишњи оперативни планови за АОД, Резолуција портфеља проблематичних пласмана, и развијени су унутрашњи капацитети за њихово решавање. У јуну 2019. године, АОД успешно је окончала продају првог, „пилот портфеља”, номиналне вредности од око 242 милиона евра, док је дана 30. септембра 2019. године објавила оглас за уступање другог, „великог портфеља”, номиналне вредности од 1,82 милијарде евра. Због ограничавајућих фактора изазваних пандемијом COVID-19 на способност инвеститора да спроведу поступак анализе, отварање обавезујућих понуда извршено је 10. септембра 2020. године, а укупно је примљено пет обавезујућих понуда.</w:t>
      </w:r>
    </w:p>
    <w:p w14:paraId="08186959" w14:textId="6BB74879" w:rsidR="00593E7B" w:rsidRPr="00DE058F" w:rsidRDefault="00593E7B" w:rsidP="00C95509">
      <w:pPr>
        <w:rPr>
          <w:rFonts w:ascii="Calibri" w:eastAsia="MS PGothic" w:hAnsi="Calibri" w:cs="Calibri"/>
          <w:szCs w:val="20"/>
          <w:lang w:val="sr-Cyrl-CS" w:eastAsia="ja-JP"/>
        </w:rPr>
      </w:pPr>
      <w:r w:rsidRPr="00DE058F">
        <w:rPr>
          <w:rFonts w:ascii="Calibri" w:eastAsia="MS PGothic" w:hAnsi="Calibri" w:cs="Calibri"/>
          <w:color w:val="44546A"/>
          <w:szCs w:val="20"/>
          <w:lang w:val="sr-Cyrl-CS" w:eastAsia="ja-JP"/>
        </w:rPr>
        <w:t>Након вишемесечних преговора са најбољим понуђачима, у складу са Закључком Владе 05 Број</w:t>
      </w:r>
      <w:r w:rsidR="004E3705" w:rsidRPr="00DE058F">
        <w:rPr>
          <w:rFonts w:ascii="Calibri" w:eastAsia="MS PGothic" w:hAnsi="Calibri" w:cs="Calibri"/>
          <w:color w:val="44546A"/>
          <w:szCs w:val="20"/>
          <w:lang w:val="sr-Cyrl-CS" w:eastAsia="ja-JP"/>
        </w:rPr>
        <w:t>:</w:t>
      </w:r>
      <w:r w:rsidRPr="00DE058F">
        <w:rPr>
          <w:rFonts w:ascii="Calibri" w:eastAsia="MS PGothic" w:hAnsi="Calibri" w:cs="Calibri"/>
          <w:color w:val="44546A"/>
          <w:szCs w:val="20"/>
          <w:lang w:val="sr-Cyrl-CS" w:eastAsia="ja-JP"/>
        </w:rPr>
        <w:t xml:space="preserve"> 401-1646/2021 од 25. фебруара 2021. године, Закључком Покрајинске владе 127 Број 422-6/2021 од 3. марта 2021. године и одлукама Одбора поверилаца свих финансијских институција у стечају, чија потраживања су предмет уступања, изабрана је </w:t>
      </w:r>
      <w:r w:rsidRPr="00DE058F">
        <w:rPr>
          <w:rFonts w:ascii="Calibri" w:eastAsia="MS PGothic" w:hAnsi="Calibri" w:cs="Calibri"/>
          <w:szCs w:val="20"/>
          <w:lang w:val="sr-Cyrl-CS" w:eastAsia="ja-JP"/>
        </w:rPr>
        <w:t>најбоља понуда у поступку уступања портфеља потраживања уз накнаду, методом јавног прикупљања понуда тендером и поступак уступања „великог” портфеља је успешно окончан дана 19. априла 2021. године, потписивањем Оквирних уговора о уступању портфеља потраживања и исплатом накнаде за уступање.</w:t>
      </w:r>
      <w:r w:rsidRPr="00DE058F">
        <w:rPr>
          <w:rFonts w:eastAsia="Times New Roman"/>
          <w:lang w:val="sr-Cyrl-CS"/>
        </w:rPr>
        <w:t xml:space="preserve"> Започето је и решавање преосталог портфолија, номиналне вредности од најмање 500 милиона евра, структуирањем потраживања.</w:t>
      </w:r>
    </w:p>
    <w:p w14:paraId="2B8E3B53" w14:textId="730B2BDC"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szCs w:val="20"/>
          <w:lang w:val="sr-Cyrl-CS" w:eastAsia="ja-JP"/>
        </w:rPr>
        <w:t xml:space="preserve">Имплементација других мера за решавање проблематичних кредита, како из Стратегије </w:t>
      </w:r>
      <w:r w:rsidRPr="00DE058F">
        <w:rPr>
          <w:rFonts w:ascii="Calibri" w:eastAsia="MS PGothic" w:hAnsi="Calibri" w:cs="Calibri"/>
          <w:color w:val="44546A"/>
          <w:szCs w:val="20"/>
          <w:lang w:val="sr-Cyrl-CS" w:eastAsia="ja-JP"/>
        </w:rPr>
        <w:t xml:space="preserve">за решавање проблематичних кредита, тако и из горепоменутог Програма, наставља да даје резултате. </w:t>
      </w:r>
      <w:r w:rsidRPr="00DE058F">
        <w:rPr>
          <w:rFonts w:ascii="Calibri" w:eastAsia="Calibri" w:hAnsi="Calibri" w:cs="Times New Roman"/>
          <w:color w:val="44546A"/>
          <w:lang w:val="sr-Cyrl-CS"/>
        </w:rPr>
        <w:t>Смањење проблематични</w:t>
      </w:r>
      <w:r w:rsidR="004E3705" w:rsidRPr="00DE058F">
        <w:rPr>
          <w:rFonts w:ascii="Calibri" w:eastAsia="Calibri" w:hAnsi="Calibri" w:cs="Times New Roman"/>
          <w:color w:val="44546A"/>
          <w:lang w:val="sr-Cyrl-CS"/>
        </w:rPr>
        <w:t>х кредита у периоду август 2015</w:t>
      </w:r>
      <w:r w:rsidRPr="00DE058F">
        <w:rPr>
          <w:rFonts w:ascii="Calibri" w:eastAsia="Calibri" w:hAnsi="Calibri" w:cs="Times New Roman"/>
          <w:color w:val="44546A"/>
          <w:lang w:val="sr-Cyrl-CS"/>
        </w:rPr>
        <w:t xml:space="preserve"> – септембар 2020. године </w:t>
      </w:r>
      <w:r w:rsidRPr="00DE058F">
        <w:rPr>
          <w:rFonts w:ascii="Calibri" w:eastAsia="Calibri" w:hAnsi="Calibri" w:cs="Times New Roman"/>
          <w:color w:val="44546A"/>
          <w:lang w:val="sr-Cyrl-CS"/>
        </w:rPr>
        <w:t>износи 333,0 млрд динара, док се резултат Стратегије за решавање проблематичних кредита огледа кроз историјски најнижи удео проблематичних кредита на крају септембра 2020. од 3,4%. У поређењу са тим показатељем пре примене Стратегије (22,25%) бележи се импресивно смањење за 18,82 п</w:t>
      </w:r>
      <w:r w:rsidRPr="00DE058F">
        <w:rPr>
          <w:rFonts w:ascii="Calibri" w:eastAsia="MS PGothic" w:hAnsi="Calibri" w:cs="Calibri"/>
          <w:color w:val="44546A"/>
          <w:szCs w:val="20"/>
          <w:lang w:val="sr-Cyrl-CS" w:eastAsia="ja-JP"/>
        </w:rPr>
        <w:t>.п. То је конкретна потврда да су мере добро дефинисане и да су дале одличне ефекте.</w:t>
      </w:r>
    </w:p>
    <w:p w14:paraId="0A869747"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НБС је деловала и изван оквира Стратегије, попут доношења Одлуке о рачуноводственом отпису билансне активе банке, што је употпунило регулаторне активности. И покривеност проблематичних кредита припадајућим исправкама вредности у складу са међународним рачуноводственим стандардима, која је на нивоу од 62%, недвосмислено, уз све друге показатеље здравља финансијског система, потврђује стабилност нашег банкарског сектора.</w:t>
      </w:r>
    </w:p>
    <w:p w14:paraId="68663424"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Стварањем стабилних услова пословања, наша економија је ушла у инвестициони циклус 2015. године, и од тада инвестиције по обиму представљају добар део раста економије. Профитабилност привреде расте у условима ниске и стабилне инфлације и релативно</w:t>
      </w:r>
      <w:r w:rsidRPr="00DE058F">
        <w:rPr>
          <w:rFonts w:ascii="Calibri" w:eastAsia="Calibri" w:hAnsi="Calibri" w:cs="Calibri"/>
          <w:color w:val="auto"/>
          <w:szCs w:val="20"/>
          <w:lang w:val="sr-Cyrl-CS" w:eastAsia="ja-JP"/>
        </w:rPr>
        <w:t xml:space="preserve"> </w:t>
      </w:r>
      <w:r w:rsidRPr="00DE058F">
        <w:rPr>
          <w:rFonts w:ascii="Calibri" w:eastAsia="MS PGothic" w:hAnsi="Calibri" w:cs="Calibri"/>
          <w:color w:val="44546A"/>
          <w:szCs w:val="20"/>
          <w:lang w:val="sr-Cyrl-CS" w:eastAsia="ja-JP"/>
        </w:rPr>
        <w:t>стабилног курса. Све су то били кључни фактори за одрживо решавање питања проблематичних кредита. То се јасно види и из чињенице да је у гранама које су и носиоци нашег раста, забележен и највећи пад проблематичних кредита – што је евидентно у прерађивачкој индустрији и грађевинарству.</w:t>
      </w:r>
    </w:p>
    <w:p w14:paraId="33EB2F82"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Осигурање депозита је механизам који доприноси очувању финансијске стабилности и обезбеђује заштиту депонената. Систем осигурања депозита обезбеђује да се сваком заштићеном депоненту</w:t>
      </w:r>
      <w:r w:rsidRPr="00DE058F">
        <w:rPr>
          <w:rFonts w:ascii="Calibri" w:eastAsia="MS PGothic" w:hAnsi="Calibri" w:cs="Calibri"/>
          <w:color w:val="44546A"/>
          <w:sz w:val="12"/>
          <w:szCs w:val="12"/>
          <w:vertAlign w:val="superscript"/>
          <w:lang w:val="sr-Cyrl-CS" w:eastAsia="ja-JP"/>
        </w:rPr>
        <w:footnoteReference w:id="11"/>
      </w:r>
      <w:r w:rsidRPr="00DE058F">
        <w:rPr>
          <w:rFonts w:ascii="Calibri" w:eastAsia="MS PGothic" w:hAnsi="Calibri" w:cs="Calibri"/>
          <w:color w:val="44546A"/>
          <w:sz w:val="12"/>
          <w:szCs w:val="12"/>
          <w:lang w:val="sr-Cyrl-CS" w:eastAsia="ja-JP"/>
        </w:rPr>
        <w:t xml:space="preserve"> </w:t>
      </w:r>
      <w:r w:rsidRPr="00DE058F">
        <w:rPr>
          <w:rFonts w:ascii="Calibri" w:eastAsia="MS PGothic" w:hAnsi="Calibri" w:cs="Calibri"/>
          <w:color w:val="44546A"/>
          <w:szCs w:val="20"/>
          <w:lang w:val="sr-Cyrl-CS" w:eastAsia="ja-JP"/>
        </w:rPr>
        <w:t>исплати целокупан износ улога у свакој банци до осигураног износа од 50.000 евра у случају стечаја или ликвидације банке. Осигурање депозита регулисано је Законом о осигурању депозита.</w:t>
      </w:r>
    </w:p>
    <w:p w14:paraId="608A4D51"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 xml:space="preserve">У октобру 2019. године, усвојен је Закон о изменама и допунама Закона о осигурању депозита из 2019. године, којим се настојало да се систем осигурања депозита додатно усклади са најбољом међународном праксом и стандардима, </w:t>
      </w:r>
      <w:r w:rsidRPr="00DE058F">
        <w:rPr>
          <w:rFonts w:ascii="Calibri" w:eastAsia="MS PGothic" w:hAnsi="Calibri" w:cs="Calibri"/>
          <w:color w:val="44546A"/>
          <w:szCs w:val="20"/>
          <w:lang w:val="sr-Cyrl-CS" w:eastAsia="ja-JP"/>
        </w:rPr>
        <w:lastRenderedPageBreak/>
        <w:t>као и правним тековинама ЕУ и то у погледу: метода обрачуна премије (увођење могућности обрачуна премије на основу нивоа ризика у пословању банака), основице за обрачун премије, висине ванредне премије, заштите депонената спојених или припојених банака, циљног износа фонда за осигурање депозита и др, све са циљем доприноса финансијској стабилности кроз подстицај смањењу ризика у пословању банака, јачање поверења јавности у финансијски систем и повећање ефикасности система осигурања депозита.</w:t>
      </w:r>
    </w:p>
    <w:p w14:paraId="34C4F405"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Уважавајући одредбе Закона о изменама и допунама Закона о осигурању депозита, премија осигурања депозита се почев од наплате премије за први квартал 2020. године обрачунава на измењену основицу, односно на основу просечног стања укупних осигураних износа до 50.000 евра (осигурањем покривени износ депозита) у банци у претходном тромесечју, уместо на основу просечног стања укупних осигураних депозита. Овом изменом, смањене су обавезе банака по основу плаћања премије осигурања депозита у просеку за око 30%, чиме се посредно омогућила већа инвестициона активност банака.</w:t>
      </w:r>
    </w:p>
    <w:p w14:paraId="02D22442"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Како је законом уведена и могућност обрачуна премије на основу нивоа ризика у пословању банака, прописана је обавеза Агенцији да донесе Методологију за обрачун премије осигурања депозита на основу нивоа ризика у пословању банака у року од годину дана од дана ступања на снагу овог закона. Управни одбор Агенције усвојио је текст Методологије 15. октобра 2020. године уз претходну сагласност НБС, чиме је испуњена законска обавеза у прописаном року, а посебном одлуком Управног одбора Агенције ће се одлучити о почетку примене Методологије.</w:t>
      </w:r>
    </w:p>
    <w:p w14:paraId="52C5B38B"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 xml:space="preserve">У систему осигурања депозита Република Србија је ултимативни гарант исплате осигураних депозита. У сврху обезбеђивања средстава за осигурање депозита АОД наплаћује премију осигурања депозита од банака за рачун Фонда за осигурање депозита, управља имовином фонда и исплаћује депозите до осигураног износа у случају стечаја или ликвидације банке. Додатно, средства фонда се могу користити и за финансирање поступка реструктурирања банака у обиму и под условима </w:t>
      </w:r>
      <w:r w:rsidRPr="00DE058F">
        <w:rPr>
          <w:rFonts w:ascii="Calibri" w:eastAsia="MS PGothic" w:hAnsi="Calibri" w:cs="Calibri"/>
          <w:color w:val="44546A"/>
          <w:szCs w:val="20"/>
          <w:lang w:val="sr-Cyrl-CS" w:eastAsia="ja-JP"/>
        </w:rPr>
        <w:t>утврђеним законом којим се уређују банке. У случају недостајућих средстава у фонду за осигурање депозита, Република Србија обезбеђује исплату било средствима из буџета, било давањем гаранције за задуживање АОД.</w:t>
      </w:r>
    </w:p>
    <w:p w14:paraId="0585C4DA" w14:textId="36F9250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Влада је дана 24. марта 2020. године донела Уредбу о улагању за време ванредног стања девизних средстава којима управља Агенција за осигурање депозита, којом је прописано да за време ванредног стања насталог услед болести COVID-19 изазване вирусом SARS-CoV-2 Агенција може улагати више од четвртине девизних средстава Фонда у девизне дужничке хартије од вредности које издаје Република Србија. У складу с Уредбом, Агенција је у року од годину дана од дана престанка ванредног стања (до 6. маја 2021. године) износ девизних средстава Фонда уложених у девизне дужничке хартије од вредности које издаје Република Србија, ускладила на ниво законског лимита од 1/4 укупних девизних средстава Фонда.</w:t>
      </w:r>
    </w:p>
    <w:p w14:paraId="77DD9225"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Гаранција исплате осигураних депозита од стране државе, било директно средствима из буџета, или индиректно издавањем гаранција за задуживање АОД, извор је фискалних ризика и могућих фискалних трошкова. Међутим, захваљујући постигнутој стабилности банкарског сектора, од 2015. године није било потребе за коришћењем средстава фонда за осигурање депозита, нити државе по основу исплата осигураних износа депозита.</w:t>
      </w:r>
    </w:p>
    <w:p w14:paraId="0A3C8311"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Умањење фискалних ризика по овом основу зависи од стабилности и одрживости банкарског система. Надзор над банкарским системом, обазривост у пласирању средстава и унапређење квалитета имовине банака су основни стубови стабилног банкарског система.</w:t>
      </w:r>
    </w:p>
    <w:p w14:paraId="4E7CCCC3" w14:textId="5C9390A8"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 xml:space="preserve">Остварени резултати банкарског сектора Републике Србије </w:t>
      </w:r>
      <w:r w:rsidR="00E56B4F" w:rsidRPr="00DE058F">
        <w:rPr>
          <w:rFonts w:ascii="Calibri" w:eastAsia="MS PGothic" w:hAnsi="Calibri" w:cs="Calibri"/>
          <w:color w:val="44546A"/>
          <w:szCs w:val="20"/>
          <w:lang w:val="sr-Cyrl-CS" w:eastAsia="ja-JP"/>
        </w:rPr>
        <w:t xml:space="preserve">у 2021. години </w:t>
      </w:r>
      <w:r w:rsidRPr="00DE058F">
        <w:rPr>
          <w:rFonts w:ascii="Calibri" w:eastAsia="MS PGothic" w:hAnsi="Calibri" w:cs="Calibri"/>
          <w:color w:val="44546A"/>
          <w:szCs w:val="20"/>
          <w:lang w:val="sr-Cyrl-CS" w:eastAsia="ja-JP"/>
        </w:rPr>
        <w:t xml:space="preserve">приказују </w:t>
      </w:r>
      <w:r w:rsidR="00E56B4F" w:rsidRPr="00DE058F">
        <w:rPr>
          <w:rFonts w:ascii="Calibri" w:eastAsia="MS PGothic" w:hAnsi="Calibri" w:cs="Calibri"/>
          <w:color w:val="44546A"/>
          <w:szCs w:val="20"/>
          <w:lang w:val="sr-Cyrl-CS" w:eastAsia="ja-JP"/>
        </w:rPr>
        <w:t xml:space="preserve">растућу </w:t>
      </w:r>
      <w:r w:rsidRPr="00DE058F">
        <w:rPr>
          <w:rFonts w:ascii="Calibri" w:eastAsia="MS PGothic" w:hAnsi="Calibri" w:cs="Calibri"/>
          <w:color w:val="44546A"/>
          <w:szCs w:val="20"/>
          <w:lang w:val="sr-Cyrl-CS" w:eastAsia="ja-JP"/>
        </w:rPr>
        <w:t>профитабилност банака. Банкарски сектор Републике Србије је у 202</w:t>
      </w:r>
      <w:r w:rsidR="00E56B4F" w:rsidRPr="00DE058F">
        <w:rPr>
          <w:rFonts w:ascii="Calibri" w:eastAsia="MS PGothic" w:hAnsi="Calibri" w:cs="Calibri"/>
          <w:color w:val="44546A"/>
          <w:szCs w:val="20"/>
          <w:lang w:val="sr-Cyrl-CS" w:eastAsia="ja-JP"/>
        </w:rPr>
        <w:t>1</w:t>
      </w:r>
      <w:r w:rsidRPr="00DE058F">
        <w:rPr>
          <w:rFonts w:ascii="Calibri" w:eastAsia="MS PGothic" w:hAnsi="Calibri" w:cs="Calibri"/>
          <w:color w:val="44546A"/>
          <w:szCs w:val="20"/>
          <w:lang w:val="sr-Cyrl-CS" w:eastAsia="ja-JP"/>
        </w:rPr>
        <w:t xml:space="preserve">. години пословао профитабилно, са нето добитком пре опорезивања у износу од </w:t>
      </w:r>
      <w:r w:rsidR="00E56B4F" w:rsidRPr="00DE058F">
        <w:rPr>
          <w:rFonts w:ascii="Calibri" w:eastAsia="MS PGothic" w:hAnsi="Calibri" w:cs="Calibri"/>
          <w:color w:val="44546A"/>
          <w:szCs w:val="20"/>
          <w:lang w:val="sr-Cyrl-CS" w:eastAsia="ja-JP"/>
        </w:rPr>
        <w:t>53,9</w:t>
      </w:r>
      <w:r w:rsidRPr="00DE058F">
        <w:rPr>
          <w:rFonts w:ascii="Calibri" w:eastAsia="MS PGothic" w:hAnsi="Calibri" w:cs="Calibri"/>
          <w:color w:val="44546A"/>
          <w:szCs w:val="20"/>
          <w:lang w:val="sr-Cyrl-CS" w:eastAsia="ja-JP"/>
        </w:rPr>
        <w:t xml:space="preserve"> милијарди динара, што је за </w:t>
      </w:r>
      <w:r w:rsidR="00E56B4F" w:rsidRPr="00DE058F">
        <w:rPr>
          <w:rFonts w:ascii="Calibri" w:eastAsia="MS PGothic" w:hAnsi="Calibri" w:cs="Calibri"/>
          <w:color w:val="44546A"/>
          <w:szCs w:val="20"/>
          <w:lang w:val="sr-Cyrl-CS" w:eastAsia="ja-JP"/>
        </w:rPr>
        <w:t>17</w:t>
      </w:r>
      <w:r w:rsidRPr="00DE058F">
        <w:rPr>
          <w:rFonts w:ascii="Calibri" w:eastAsia="MS PGothic" w:hAnsi="Calibri" w:cs="Calibri"/>
          <w:color w:val="44546A"/>
          <w:szCs w:val="20"/>
          <w:lang w:val="sr-Cyrl-CS" w:eastAsia="ja-JP"/>
        </w:rPr>
        <w:t xml:space="preserve">% </w:t>
      </w:r>
      <w:r w:rsidR="00E56B4F" w:rsidRPr="00DE058F">
        <w:rPr>
          <w:rFonts w:ascii="Calibri" w:eastAsia="MS PGothic" w:hAnsi="Calibri" w:cs="Calibri"/>
          <w:color w:val="44546A"/>
          <w:szCs w:val="20"/>
          <w:lang w:val="sr-Cyrl-CS" w:eastAsia="ja-JP"/>
        </w:rPr>
        <w:t xml:space="preserve">више од позитивног </w:t>
      </w:r>
      <w:r w:rsidRPr="00DE058F">
        <w:rPr>
          <w:rFonts w:ascii="Calibri" w:eastAsia="MS PGothic" w:hAnsi="Calibri" w:cs="Calibri"/>
          <w:color w:val="44546A"/>
          <w:szCs w:val="20"/>
          <w:lang w:val="sr-Cyrl-CS" w:eastAsia="ja-JP"/>
        </w:rPr>
        <w:t xml:space="preserve">резултата оствареног </w:t>
      </w:r>
      <w:r w:rsidR="00E56B4F" w:rsidRPr="00DE058F">
        <w:rPr>
          <w:rFonts w:ascii="Calibri" w:eastAsia="MS PGothic" w:hAnsi="Calibri" w:cs="Calibri"/>
          <w:color w:val="44546A"/>
          <w:szCs w:val="20"/>
          <w:lang w:val="sr-Cyrl-CS" w:eastAsia="ja-JP"/>
        </w:rPr>
        <w:t>у 2020. години</w:t>
      </w:r>
      <w:r w:rsidRPr="00DE058F">
        <w:rPr>
          <w:rFonts w:ascii="Calibri" w:eastAsia="MS PGothic" w:hAnsi="Calibri" w:cs="Calibri"/>
          <w:color w:val="44546A"/>
          <w:szCs w:val="20"/>
          <w:lang w:val="sr-Cyrl-CS" w:eastAsia="ja-JP"/>
        </w:rPr>
        <w:t xml:space="preserve"> када је нето добитак пре опорезивања износио </w:t>
      </w:r>
      <w:r w:rsidR="00033236" w:rsidRPr="00DE058F">
        <w:rPr>
          <w:rFonts w:ascii="Calibri" w:eastAsia="MS PGothic" w:hAnsi="Calibri" w:cs="Calibri"/>
          <w:color w:val="44546A"/>
          <w:szCs w:val="20"/>
          <w:lang w:val="sr-Cyrl-CS" w:eastAsia="ja-JP"/>
        </w:rPr>
        <w:t>46,1</w:t>
      </w:r>
      <w:r w:rsidRPr="00DE058F">
        <w:rPr>
          <w:rFonts w:ascii="Calibri" w:eastAsia="MS PGothic" w:hAnsi="Calibri" w:cs="Calibri"/>
          <w:color w:val="44546A"/>
          <w:szCs w:val="20"/>
          <w:lang w:val="sr-Cyrl-CS" w:eastAsia="ja-JP"/>
        </w:rPr>
        <w:t xml:space="preserve"> милијарди динара.</w:t>
      </w:r>
    </w:p>
    <w:p w14:paraId="24C8276A"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lastRenderedPageBreak/>
        <w:t>Банкарски сектор Републике Србије адекватно је капитализован како са становишта оствареног нивоа показатеља адекватности капитала тако и са становишта структуре регулаторног капитала. На крају 2020. године, просечна вредност показатеља адекватности капитала на нивоу банкарског сектора Републике Србије износила је 22,42%. И током 2021. године, очувана је висока адекватност капитала банкарског сектора (показатељ адекватности капитала износи 21,7%), што је значајно изнад прописаног регулаторног минимума од 8% и више него довољно за покриће свих ризика којима је сектор изложен, што потврђују и макропруденцијални стрес тестови које НБС редовно спроводи.</w:t>
      </w:r>
    </w:p>
    <w:p w14:paraId="2D9CC76E" w14:textId="66C7B61C"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Имајући у виду ситуацију насталу проглашењем ванредног стања у Републици Србији, како би се омогућило ублажавање економских и финансијских последица насталих услед пандемије болести COVID-19 изазване вирусом SARS-CoV-2 предузете су мере подршке привреди које су имале за циљ повећање ликвидности привредних субјеката. Једна од мера јесте била и доношење Уредбе о утврђивању гарантне шеме као мера подршке привреди за ублажавање последица пандемије болести COVID-19 изазване вирусом SARS-CоV-2.</w:t>
      </w:r>
      <w:r w:rsidR="0039693A" w:rsidRPr="00DE058F">
        <w:rPr>
          <w:rFonts w:ascii="Calibri" w:eastAsia="MS PGothic" w:hAnsi="Calibri" w:cs="Calibri"/>
          <w:color w:val="44546A"/>
          <w:szCs w:val="20"/>
          <w:lang w:val="sr-Cyrl-CS" w:eastAsia="ja-JP"/>
        </w:rPr>
        <w:t xml:space="preserve"> </w:t>
      </w:r>
      <w:r w:rsidRPr="00DE058F">
        <w:rPr>
          <w:rFonts w:ascii="Calibri" w:eastAsia="MS PGothic" w:hAnsi="Calibri" w:cs="Calibri"/>
          <w:color w:val="44546A"/>
          <w:szCs w:val="20"/>
          <w:lang w:val="sr-Cyrl-CS" w:eastAsia="ja-JP"/>
        </w:rPr>
        <w:t>Овом уредбом је конституисано утврђивање националне гарантне шеме. Повећање ликвидности привредних субјеката кроз механизам гарантовања Републике Србије за кредите које банке одобравају привредним субјектима за финансирање ликвидности и обртних средстава, а које се омогућава закључењем Уговора о гаранцији Републике Србије за кредитирање привреде с циљем ублажавања негативних последица пандемије болести COVID-19 изазване вирусом SARS-CoV-2, јесте мера која у себи сублимира изузетно важан и нужан механизам ефеката за сва лица са седиштем у Републици Србији укључујући и пољопривредна газдинства, која су регистрована у АПР Републике Србије и класификована као предузетник, или микро, мало и средње привредно друштво у складу са законом којим се уређује рачуноводство, а чија је ликвидност предуслов функционисања привреде Републике Србије.</w:t>
      </w:r>
    </w:p>
    <w:p w14:paraId="729B8A18"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Банке могу да за реализацију кредита пласирају износ до две милијарде евра, при чему је износ од једне милијарде евра, односно износ иницијалног максималног осигураног портфолија по банкама утврђен сходно тржишном учешћу банке према извештају НБС на дан 29. фебруар 2020. године.</w:t>
      </w:r>
    </w:p>
    <w:p w14:paraId="540DB154"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С обзиром на чињеницу да је преко пословних банака, до краја новембра 2020. године, привреди пласирано око 1,5 милијарди евра, од укупно расположиве 2 (две) милијарде евра, а да је Уредбом било прописано да уговор о кредиту мора бити закључен најкасније до 31. децембра 2020. године, као и да уговор o кредиту мора бити пуштен у течај најкасније до 31. јануара 2021. године, јавила се потреба за продужењем рока до када уговор о кредиту мора бити закључен, односно до када уговор o кредиту мора бити пуштен у течај.</w:t>
      </w:r>
    </w:p>
    <w:p w14:paraId="2C58D209" w14:textId="10D5A3E7" w:rsidR="00593E7B" w:rsidRPr="00DE058F" w:rsidRDefault="00593E7B" w:rsidP="00C95509">
      <w:pPr>
        <w:rPr>
          <w:rFonts w:ascii="Calibri" w:eastAsia="MS PGothic" w:hAnsi="Calibri" w:cs="Calibri"/>
          <w:szCs w:val="20"/>
          <w:lang w:val="sr-Cyrl-CS" w:eastAsia="ja-JP"/>
        </w:rPr>
      </w:pPr>
      <w:r w:rsidRPr="00DE058F">
        <w:rPr>
          <w:rFonts w:ascii="Calibri" w:eastAsia="MS PGothic" w:hAnsi="Calibri" w:cs="Calibri"/>
          <w:color w:val="44546A"/>
          <w:szCs w:val="20"/>
          <w:lang w:val="sr-Cyrl-CS" w:eastAsia="ja-JP"/>
        </w:rPr>
        <w:t xml:space="preserve">У складу са тим, Народној скупштини предложено је доношење Закона о утврђивању гарантне шеме као мере подршке привреди за ублажавање последица пандемије болести COVID-19 изазване вирусом SARS-CoV-2, који је донет на седници одржаној дана 17. децембра 2020. године и исти је објављен у </w:t>
      </w:r>
      <w:r w:rsidR="009B051B" w:rsidRPr="00DE058F">
        <w:rPr>
          <w:rFonts w:ascii="Calibri" w:eastAsia="MS PGothic" w:hAnsi="Calibri" w:cs="Calibri"/>
          <w:color w:val="44546A"/>
          <w:szCs w:val="20"/>
          <w:lang w:val="sr-Cyrl-CS" w:eastAsia="ja-JP"/>
        </w:rPr>
        <w:t>„Службеном гласнику Републике Србије”</w:t>
      </w:r>
      <w:r w:rsidRPr="00DE058F">
        <w:rPr>
          <w:rFonts w:ascii="Calibri" w:eastAsia="MS PGothic" w:hAnsi="Calibri" w:cs="Calibri"/>
          <w:color w:val="44546A"/>
          <w:szCs w:val="20"/>
          <w:lang w:val="sr-Cyrl-CS" w:eastAsia="ja-JP"/>
        </w:rPr>
        <w:t xml:space="preserve"> број 153/20 од 21. децембра 2020. године. Република Србија је препознала потребу за одобравањем додатних 500 милиона евра помоћи, у циљу одржавања ликвидности чиме ће укупан износ средстава пласираних путем I гарантне шеме достићи износ од 2.5 милијарде евра. С тим у вези, донет је Закон о изменама Закона о утврђивању гарантне шеме као мера подршке привреди за ублажавање последица пандемије болести COVID-19 изазване вирусом SARS-CoV-2 („Службени гласник РС”, број 40/21), којим је, између осталог, продужен рок за пуштање кредита у течај </w:t>
      </w:r>
      <w:r w:rsidRPr="00DE058F">
        <w:rPr>
          <w:rFonts w:ascii="Calibri" w:eastAsia="MS PGothic" w:hAnsi="Calibri" w:cs="Calibri"/>
          <w:szCs w:val="20"/>
          <w:lang w:val="sr-Cyrl-CS" w:eastAsia="ja-JP"/>
        </w:rPr>
        <w:t>најкасније до 31. јула 2022. године.</w:t>
      </w:r>
    </w:p>
    <w:p w14:paraId="667E7A09" w14:textId="6E97FFA5" w:rsidR="00593E7B" w:rsidRPr="00DE058F" w:rsidRDefault="00593E7B" w:rsidP="00C95509">
      <w:pPr>
        <w:rPr>
          <w:rFonts w:ascii="Calibri" w:eastAsia="MS PGothic" w:hAnsi="Calibri" w:cs="Calibri"/>
          <w:szCs w:val="20"/>
          <w:lang w:val="sr-Cyrl-CS" w:eastAsia="ja-JP"/>
        </w:rPr>
      </w:pPr>
      <w:r w:rsidRPr="00DE058F">
        <w:rPr>
          <w:rFonts w:ascii="Calibri" w:eastAsia="MS PGothic" w:hAnsi="Calibri" w:cs="Calibri"/>
          <w:szCs w:val="20"/>
          <w:lang w:val="sr-Cyrl-CS" w:eastAsia="ja-JP"/>
        </w:rPr>
        <w:t>Уговор о гаранцији Републике Србије за кредитирање привреде с циљем ублажавања негативних последица пандемије болести COVID-19 изазване вирусом SARS-CoV-2 са Републиком Србијом и НБС до сада су потписале 24 банке.</w:t>
      </w:r>
      <w:r w:rsidR="00007166" w:rsidRPr="00DE058F">
        <w:rPr>
          <w:rFonts w:ascii="Calibri" w:eastAsia="MS PGothic" w:hAnsi="Calibri" w:cs="Calibri"/>
          <w:szCs w:val="20"/>
          <w:lang w:val="sr-Cyrl-CS" w:eastAsia="ja-JP"/>
        </w:rPr>
        <w:t xml:space="preserve"> </w:t>
      </w:r>
      <w:r w:rsidRPr="00DE058F">
        <w:rPr>
          <w:rFonts w:ascii="Calibri" w:eastAsia="MS PGothic" w:hAnsi="Calibri" w:cs="Calibri"/>
          <w:szCs w:val="20"/>
          <w:lang w:val="sr-Cyrl-CS" w:eastAsia="ja-JP"/>
        </w:rPr>
        <w:t xml:space="preserve">Република Србија </w:t>
      </w:r>
      <w:r w:rsidR="00007166" w:rsidRPr="00DE058F">
        <w:rPr>
          <w:rFonts w:ascii="Calibri" w:eastAsia="MS PGothic" w:hAnsi="Calibri" w:cs="Calibri"/>
          <w:szCs w:val="20"/>
          <w:lang w:val="sr-Cyrl-CS" w:eastAsia="ja-JP"/>
        </w:rPr>
        <w:t>је</w:t>
      </w:r>
      <w:r w:rsidRPr="00DE058F">
        <w:rPr>
          <w:rFonts w:ascii="Calibri" w:eastAsia="MS PGothic" w:hAnsi="Calibri" w:cs="Calibri"/>
          <w:szCs w:val="20"/>
          <w:lang w:val="sr-Cyrl-CS" w:eastAsia="ja-JP"/>
        </w:rPr>
        <w:t xml:space="preserve"> пласирала Банкама предвиђених 2,5 милијарди евра, док су Банке, до 31. марта 2022. године, пласирале клијентима око </w:t>
      </w:r>
      <w:r w:rsidRPr="00DE058F">
        <w:rPr>
          <w:rFonts w:ascii="Calibri" w:eastAsia="MS PGothic" w:hAnsi="Calibri" w:cs="Calibri"/>
          <w:szCs w:val="20"/>
          <w:lang w:val="sr-Cyrl-CS" w:eastAsia="ja-JP"/>
        </w:rPr>
        <w:lastRenderedPageBreak/>
        <w:t xml:space="preserve">2,3 милијарди евра. Истовремено, Република Србија је препознала потребу за додатну помоћ најугроженијим предузећима која имају пад пословних прихода већи од 20% у 2020. години, у односу на исти период у 2019. години, те је 22. априла 2021. године донет Закон о утврђивању друге гарантне шеме као мере додатне подршке привреди услед продуженог негативног утицаја пандемије болести COVID-19 изазване вирусом SARS-CoV-2 („Службени гласник РС”, број 40/21) чиме је одобрено додатних 500 милиона евра помоћи. </w:t>
      </w:r>
      <w:r w:rsidRPr="00DE058F">
        <w:rPr>
          <w:rFonts w:eastAsia="Times New Roman"/>
          <w:lang w:val="sr-Cyrl-CS"/>
        </w:rPr>
        <w:t>У децембру 2021. године донет је Закон о измени и допуни Закона о утврђивању друге гарантне шеме као мера додатне подршке привреди услед продуженог негативног утицаја пандемије болести COVID-19 изазване вирусом SARS-CоV-2</w:t>
      </w:r>
      <w:r w:rsidRPr="00DE058F">
        <w:rPr>
          <w:rFonts w:eastAsia="Times New Roman"/>
          <w:i/>
          <w:lang w:val="sr-Cyrl-CS"/>
        </w:rPr>
        <w:t xml:space="preserve"> </w:t>
      </w:r>
      <w:r w:rsidRPr="00DE058F">
        <w:rPr>
          <w:rFonts w:ascii="Calibri" w:eastAsia="MS PGothic" w:hAnsi="Calibri" w:cs="Calibri"/>
          <w:szCs w:val="20"/>
          <w:lang w:val="sr-Cyrl-CS" w:eastAsia="ja-JP"/>
        </w:rPr>
        <w:t>(„Службени гласник РС”, број 129/21)</w:t>
      </w:r>
      <w:r w:rsidRPr="00DE058F">
        <w:rPr>
          <w:rFonts w:eastAsia="Times New Roman"/>
          <w:lang w:val="sr-Cyrl-CS"/>
        </w:rPr>
        <w:t>, којим је предвиђен изузетак да кориснику кредита који спада у предузетнике, микро, мала и средња предузећа која послују у секторима путничког транспорта, угоститељства, туристичких агенција и хотелијерства у градовима, може бити одобрен кредит обезбеђен гаранцијом, у складу са овим законом, и када је укупан износ кредита који је одобрен на основу Закона о утврђивању прве гарантне шеме и кредита одобреног на основу овог закона већи од прописаних прагова и ако су испуњени услови да је корисник превремено и у целости измирио обавезе по кредиту обезбеђеном гаранцијом у складу са Законом о утврђивању прве гарантне шеме, као и да је максимални износ кредита обезбеђеног гаранцијом износ који је једнак мањем од два износа утврђених овим законом.</w:t>
      </w:r>
    </w:p>
    <w:p w14:paraId="1D1C9226"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szCs w:val="20"/>
          <w:lang w:val="sr-Cyrl-CS" w:eastAsia="ja-JP"/>
        </w:rPr>
        <w:t xml:space="preserve">У складу са изнетим, пројекције фискалних бруто одлива буџета Републике Србије по основу предметне националне Гарантне шеме износе 23 милиона евра за 2021. годину, 89 милиона </w:t>
      </w:r>
      <w:r w:rsidRPr="00DE058F">
        <w:rPr>
          <w:rFonts w:ascii="Calibri" w:eastAsia="MS PGothic" w:hAnsi="Calibri" w:cs="Calibri"/>
          <w:color w:val="44546A"/>
          <w:szCs w:val="20"/>
          <w:lang w:val="sr-Cyrl-CS" w:eastAsia="ja-JP"/>
        </w:rPr>
        <w:t xml:space="preserve">евра за 2022. годину, 21 милиона евра за 2023. годину и 1 милион евра за 2024. годину. Такође, извршена је и пројекција прилива по основу наплате проблематичних потраживања по основу предметне Гарантне шеме Републике Србије која износе 14 милиона евра за 2022. годину, 16 милиона евра за 2023. годину и 3 милиона евра за 2024. годину. Пројекција фискалног бруто одлива буџета Републике Србије по основу друге Гарантне шеме износи 31,2 милиона евра за 2024. годину, а </w:t>
      </w:r>
      <w:r w:rsidRPr="00DE058F">
        <w:rPr>
          <w:rFonts w:ascii="Calibri" w:eastAsia="MS PGothic" w:hAnsi="Calibri" w:cs="Calibri"/>
          <w:color w:val="44546A"/>
          <w:szCs w:val="20"/>
          <w:lang w:val="sr-Cyrl-CS" w:eastAsia="ja-JP"/>
        </w:rPr>
        <w:t>пројекција прилива за исту годину износи 2 милиона евра.</w:t>
      </w:r>
    </w:p>
    <w:p w14:paraId="6C1F7E57"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Што се тиче других финансијских институција, Република Србија има директан удео у капиталу Компаније Дунав осигурање а.д.о. Београд (у даљем тексту: Дунав осигурање) и Дунав Ре а.д.о. Београд (у даљем тексту. Дунав Ре, као и у Националној корпорацији за осигурање стамбених кредита (у даљем тексту: Корпорација).</w:t>
      </w:r>
    </w:p>
    <w:p w14:paraId="0F3EB4D6" w14:textId="389BBF42"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 xml:space="preserve">Успешним и ефикасним спровођењем одредаба закона који је усвојен крајем априла 2021. године </w:t>
      </w:r>
      <w:r w:rsidR="002165A3" w:rsidRPr="00DE058F">
        <w:rPr>
          <w:rFonts w:ascii="Calibri" w:eastAsia="MS PGothic" w:hAnsi="Calibri" w:cs="Calibri"/>
          <w:color w:val="44546A"/>
          <w:szCs w:val="20"/>
          <w:lang w:val="sr-Cyrl-CS" w:eastAsia="ja-JP"/>
        </w:rPr>
        <w:t>–</w:t>
      </w:r>
      <w:r w:rsidRPr="00DE058F">
        <w:rPr>
          <w:rFonts w:ascii="Calibri" w:eastAsia="MS PGothic" w:hAnsi="Calibri" w:cs="Calibri"/>
          <w:color w:val="44546A"/>
          <w:szCs w:val="20"/>
          <w:lang w:val="sr-Cyrl-CS" w:eastAsia="ja-JP"/>
        </w:rPr>
        <w:t xml:space="preserve"> Закона о измени и допунама Закона о осигурању („Службени гласник РС”, број 44/21), а који је био основ за промену власничких права на друштвеном капиталу у друштвима за осигурање, директно учешће Републике Србије у капиталу Дунав је порасло на 76,70%. Такође, како је и у укупном капиталу Дунав Ре постојало мање учешће друштвеног капитала, након промене власничких права у складу са наведеним законом Република Србија је стекла директно учешће од око 4,76% у Дунав Ре.</w:t>
      </w:r>
    </w:p>
    <w:p w14:paraId="73AC3880" w14:textId="26905F2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Иначе, до краја 2014. године учешће друштвеног капитала у укупном капиталу Дунав осигурања је износило 94,61%</w:t>
      </w:r>
      <w:r w:rsidR="00291CA6" w:rsidRPr="00DE058F">
        <w:rPr>
          <w:rFonts w:ascii="Calibri" w:eastAsia="MS PGothic" w:hAnsi="Calibri" w:cs="Calibri"/>
          <w:color w:val="44546A"/>
          <w:szCs w:val="20"/>
          <w:lang w:val="sr-Cyrl-CS" w:eastAsia="ja-JP"/>
        </w:rPr>
        <w:t>,</w:t>
      </w:r>
      <w:r w:rsidRPr="00DE058F">
        <w:rPr>
          <w:rFonts w:ascii="Calibri" w:eastAsia="MS PGothic" w:hAnsi="Calibri" w:cs="Calibri"/>
          <w:color w:val="44546A"/>
          <w:szCs w:val="20"/>
          <w:lang w:val="sr-Cyrl-CS" w:eastAsia="ja-JP"/>
        </w:rPr>
        <w:t xml:space="preserve"> што је имало неповољан утицај на пословање Дунав осигурања (пре свега кроз компликовану управљачку структуру), на шта су указивали и ревизорски извештаји за 201</w:t>
      </w:r>
      <w:r w:rsidR="009B051B" w:rsidRPr="00DE058F">
        <w:rPr>
          <w:rFonts w:ascii="Calibri" w:eastAsia="MS PGothic" w:hAnsi="Calibri" w:cs="Calibri"/>
          <w:color w:val="44546A"/>
          <w:szCs w:val="20"/>
          <w:lang w:val="sr-Cyrl-CS" w:eastAsia="ja-JP"/>
        </w:rPr>
        <w:t>2</w:t>
      </w:r>
      <w:r w:rsidRPr="00DE058F">
        <w:rPr>
          <w:rFonts w:ascii="Calibri" w:eastAsia="MS PGothic" w:hAnsi="Calibri" w:cs="Calibri"/>
          <w:color w:val="44546A"/>
          <w:szCs w:val="20"/>
          <w:lang w:val="sr-Cyrl-CS" w:eastAsia="ja-JP"/>
        </w:rPr>
        <w:t>. и 201</w:t>
      </w:r>
      <w:r w:rsidR="009B051B" w:rsidRPr="00DE058F">
        <w:rPr>
          <w:rFonts w:ascii="Calibri" w:eastAsia="MS PGothic" w:hAnsi="Calibri" w:cs="Calibri"/>
          <w:color w:val="44546A"/>
          <w:szCs w:val="20"/>
          <w:lang w:val="sr-Cyrl-CS" w:eastAsia="ja-JP"/>
        </w:rPr>
        <w:t>3</w:t>
      </w:r>
      <w:r w:rsidRPr="00DE058F">
        <w:rPr>
          <w:rFonts w:ascii="Calibri" w:eastAsia="MS PGothic" w:hAnsi="Calibri" w:cs="Calibri"/>
          <w:color w:val="44546A"/>
          <w:szCs w:val="20"/>
          <w:lang w:val="sr-Cyrl-CS" w:eastAsia="ja-JP"/>
        </w:rPr>
        <w:t>. годину у којима је изражено мишљење ревизора са резервом. Имајући у виду значај Дунав осигурања на тржишту осигурања (највећа осигуравајућа компанија), Република Србија је у децембру 2014. године извршила докапитализацију Дунав осигурања са 4,8 милијарди динара</w:t>
      </w:r>
      <w:r w:rsidR="00746699" w:rsidRPr="00DE058F">
        <w:rPr>
          <w:rFonts w:ascii="Calibri" w:eastAsia="MS PGothic" w:hAnsi="Calibri" w:cs="Calibri"/>
          <w:color w:val="44546A"/>
          <w:szCs w:val="20"/>
          <w:lang w:val="sr-Cyrl-CS" w:eastAsia="ja-JP"/>
        </w:rPr>
        <w:t>, чиме је учешће друштвеног капитала сведено на 51,86%</w:t>
      </w:r>
      <w:r w:rsidRPr="00DE058F">
        <w:rPr>
          <w:rFonts w:ascii="Calibri" w:eastAsia="MS PGothic" w:hAnsi="Calibri" w:cs="Calibri"/>
          <w:color w:val="44546A"/>
          <w:szCs w:val="20"/>
          <w:lang w:val="sr-Cyrl-CS" w:eastAsia="ja-JP"/>
        </w:rPr>
        <w:t xml:space="preserve">. Последњих година пословање Дунав осигурања је стабилно, уз константно побољшање већине показатеља. Приметан је тренд раста добити из године у годину (и редовна исплата дивиденди). Дунав осигурање није имало негативних последица у пословању (гледајући кроз најзначајније показатеље) због болести COVID-19 изазване вирусом SARS-CoV-2. Као највећи изазов у предстојећем периоду истиче се усклађивање (организационо, управљачки, капитално итд.) са новим регулаторним стандардом Солвентност 2 </w:t>
      </w:r>
      <w:r w:rsidRPr="00DE058F">
        <w:rPr>
          <w:rFonts w:ascii="Calibri" w:eastAsia="MS PGothic" w:hAnsi="Calibri" w:cs="Calibri"/>
          <w:color w:val="44546A"/>
          <w:szCs w:val="20"/>
          <w:lang w:val="sr-Cyrl-CS" w:eastAsia="ja-JP"/>
        </w:rPr>
        <w:lastRenderedPageBreak/>
        <w:t>које очекује све учеснике на тржишту осигурања у Републици Србији.</w:t>
      </w:r>
    </w:p>
    <w:p w14:paraId="310080A2"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Законом о Националној корпорацији за осигурање стамбених кредита („Службени гласник РС”, број 55/04) основана је Корпорација, као правно лице специјализовано за осигурање потраживања по основу стамбених кредита које одобравају банке и друге финансијске организације, која су обезбеђена хипотеком, као и за обављање других послова у вези са тим осигурањем. Оснивач Корпорације је Република Србија која има директно учешће од 100% у капиталу Корпорације (законом је остављена могућност да се Корпорација организује као акционарско друштво, с тим да вредност државног капитала у укупном капиталу Корпорације не може да буде мање од 51%). Законом је, такође, утврђено да укупан номинални износ обавеза Корпорације које произилазе из обављања делатности Корпорације може бити највише до 16 пута већи од износа капитала Корпорације, али и да Влада може да, на образложен захтев Корпорације, да сагласност за повећање обима обавеза Корпорације које произилазе из обављања делатности Корпорације и за преко 16 пута од капитала Корпорације, за одређени временски период.</w:t>
      </w:r>
    </w:p>
    <w:p w14:paraId="7B53A3AF"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Од самог оснивања, Корпорација је имала значајан утицај у креирању тржишних услова и стандарда кредитирања, што је било нужно да би се хипотекарно тржиште уопште развило. То је довело до смањења ризика и обезбеђења интереса, како кредитора, тако и зајмотражилаца, кроз снижавање каматних стопа, што је довело да раста тражње за стамбеним непокретностима (са позитивним ефектом на грађевинску индустрију) и тиме допринело повећању броја станова купљених на кредит.</w:t>
      </w:r>
    </w:p>
    <w:p w14:paraId="52BB72CC" w14:textId="77777777" w:rsidR="00593E7B" w:rsidRPr="00DE058F" w:rsidRDefault="00593E7B" w:rsidP="00C95509">
      <w:pPr>
        <w:rPr>
          <w:rFonts w:ascii="Calibri" w:eastAsia="MS PGothic" w:hAnsi="Calibri" w:cs="Calibri"/>
          <w:color w:val="44546A"/>
          <w:szCs w:val="20"/>
          <w:lang w:val="sr-Cyrl-CS" w:eastAsia="ja-JP"/>
        </w:rPr>
      </w:pPr>
      <w:r w:rsidRPr="00DE058F">
        <w:rPr>
          <w:rFonts w:ascii="Calibri" w:eastAsia="MS PGothic" w:hAnsi="Calibri" w:cs="Calibri"/>
          <w:color w:val="44546A"/>
          <w:szCs w:val="20"/>
          <w:lang w:val="sr-Cyrl-CS" w:eastAsia="ja-JP"/>
        </w:rPr>
        <w:t xml:space="preserve">У протеклом периоду, није вршена докапитализација Корпорације из средстава буџета Републике Србије, већ је повећање капитала вршено из остварене добити Корпорације. Међутим, како повећање капитала није пратило раст осигураних кредита, Влада је, у складу са законом, сваке године давала сагласност за повећање обима обавеза Корпорације које произилазе из обављања делатности Корпорације и за преко 16 пута од капитала Корпорације. Ово </w:t>
      </w:r>
      <w:r w:rsidRPr="00DE058F">
        <w:rPr>
          <w:rFonts w:ascii="Calibri" w:eastAsia="MS PGothic" w:hAnsi="Calibri" w:cs="Calibri"/>
          <w:color w:val="44546A"/>
          <w:szCs w:val="20"/>
          <w:lang w:val="sr-Cyrl-CS" w:eastAsia="ja-JP"/>
        </w:rPr>
        <w:t>повећање се из године у годину смањује (нпр. за 2015. годину обим обавеза Корпорације које произилазе из обављања делатности Корпорације је могао да буде до 30 пута већи од капитала Корпорације, док за 2022. годину може да износи до 20 пута више од капитала Корпорације).</w:t>
      </w:r>
    </w:p>
    <w:p w14:paraId="7C2FF09F" w14:textId="77777777" w:rsidR="00593E7B" w:rsidRPr="00DE058F" w:rsidRDefault="00593E7B" w:rsidP="00C95509">
      <w:pPr>
        <w:rPr>
          <w:rFonts w:ascii="Calibri" w:eastAsia="Calibri" w:hAnsi="Calibri" w:cs="Times New Roman"/>
          <w:color w:val="44546A"/>
          <w:lang w:val="sr-Cyrl-CS"/>
        </w:rPr>
      </w:pPr>
      <w:r w:rsidRPr="00DE058F">
        <w:rPr>
          <w:rFonts w:ascii="Calibri" w:eastAsia="MS PGothic" w:hAnsi="Calibri" w:cs="Calibri"/>
          <w:color w:val="44546A"/>
          <w:szCs w:val="20"/>
          <w:lang w:val="sr-Cyrl-CS" w:eastAsia="ja-JP"/>
        </w:rPr>
        <w:t>Као потенцијални ризик се појављује велики број тужби клијената против банака у вези са плаћањем премије осигурања Корпорацији. Иако Корпорација није тужена страна, нити Република Србија гарантује за обавезе Корпорације (Корпорација гарантује за своје обавезе до висине свог капитала), потенцијално негативан исход ових спорова може да утиче на евентуалну потребу одређених издатака из буџета. Такође, услед промењених тржишних услова дошло је до спорова са одређеним бројем банака (отказ уговора са Корпорацијом од стране банака), што доводи до значајног смањења осигураних кредита, а тиме и до смањења прихода Корпорације. Имајући у виду дугорочност потенцијалних обавеза које Корпорација преузима (осигурање потраживања по основу стамбених кредита који се одобравају на период и од 30 година), наставак тренда значајног смањења осигураних кредита исто може да утиче на евентуалну потребу одређених издатака из буџета у будућности.</w:t>
      </w:r>
    </w:p>
    <w:p w14:paraId="562EEEE8" w14:textId="77777777" w:rsidR="00593E7B" w:rsidRPr="00DE058F" w:rsidRDefault="00593E7B" w:rsidP="00C95509">
      <w:pPr>
        <w:rPr>
          <w:rFonts w:cstheme="minorHAnsi"/>
          <w:b/>
          <w:bCs/>
          <w:color w:val="2F5496" w:themeColor="accent1" w:themeShade="BF"/>
          <w:sz w:val="22"/>
          <w:szCs w:val="20"/>
          <w:lang w:val="sr-Cyrl-CS"/>
        </w:rPr>
      </w:pPr>
      <w:r w:rsidRPr="00DE058F">
        <w:rPr>
          <w:rFonts w:cstheme="minorHAnsi"/>
          <w:b/>
          <w:bCs/>
          <w:color w:val="2F5496" w:themeColor="accent1" w:themeShade="BF"/>
          <w:sz w:val="22"/>
          <w:szCs w:val="20"/>
          <w:lang w:val="sr-Cyrl-CS"/>
        </w:rPr>
        <w:t>Судски спорови</w:t>
      </w:r>
    </w:p>
    <w:p w14:paraId="501DF194" w14:textId="77777777" w:rsidR="00410830" w:rsidRPr="00DE058F" w:rsidRDefault="00410830" w:rsidP="00410830">
      <w:pPr>
        <w:rPr>
          <w:rFonts w:eastAsia="MS PGothic" w:cstheme="minorHAnsi"/>
          <w:szCs w:val="20"/>
          <w:lang w:val="sr-Cyrl-CS" w:eastAsia="ja-JP"/>
        </w:rPr>
      </w:pPr>
      <w:r w:rsidRPr="00DE058F">
        <w:rPr>
          <w:rFonts w:eastAsia="MS PGothic" w:cstheme="minorHAnsi"/>
          <w:szCs w:val="20"/>
          <w:lang w:val="sr-Cyrl-CS" w:eastAsia="ja-JP"/>
        </w:rPr>
        <w:t>Идентификовани су значајни фискални ризици који произлазе из судских поступака који се воде пред домаћим и међународним судовима, као и ризик од покретања великог броја извршних поступака услед неизвршавања обавеза по правоснажним пресудама у предвиђеном року од стране органа. Фискални ризици по овом основу настају као последица низа основних физичких ризика. То су сâми судски поступци, по врсти (парнични, ванпарнични, извршни и сл.), али и по бројности укључујући тзв. масовне судске спорове. Начин поступања учесника у судском процесу (судова, тужилаца, тужених и сл.) утиче на дужину спора и вредност досуђених износа по основу правоснажних пресуда. Све то представља посебан изазов за праћење последично насталих фискалних ризика.</w:t>
      </w:r>
    </w:p>
    <w:p w14:paraId="27C98A57" w14:textId="2DBD57C8" w:rsidR="00410830" w:rsidRPr="00DE058F" w:rsidRDefault="00410830" w:rsidP="00410830">
      <w:pPr>
        <w:rPr>
          <w:rFonts w:eastAsia="MS PGothic" w:cstheme="minorHAnsi"/>
          <w:szCs w:val="20"/>
          <w:lang w:val="sr-Cyrl-CS" w:eastAsia="ja-JP"/>
        </w:rPr>
      </w:pPr>
      <w:r w:rsidRPr="00DE058F">
        <w:rPr>
          <w:rFonts w:eastAsia="MS PGothic" w:cstheme="minorHAnsi"/>
          <w:szCs w:val="20"/>
          <w:lang w:val="sr-Cyrl-CS" w:eastAsia="ja-JP"/>
        </w:rPr>
        <w:lastRenderedPageBreak/>
        <w:t xml:space="preserve">У циљу смањења трошкова у тзв. „буџетским” предметима, у току 2019. године дошло је до измена Закона о извршењу и обезбеђењу („Службени гласник РС”, бр. 106/15, 106/15 - аутентично тумачење, 113/17 - аутентично тумачење и 54/19), који је ступио на снагу 1. јануара 2020. године. Чланом 300. </w:t>
      </w:r>
      <w:r w:rsidR="009B051B" w:rsidRPr="00DE058F">
        <w:rPr>
          <w:rFonts w:eastAsia="MS PGothic" w:cstheme="minorHAnsi"/>
          <w:szCs w:val="20"/>
          <w:lang w:val="sr-Cyrl-CS" w:eastAsia="ja-JP"/>
        </w:rPr>
        <w:t>тог закона</w:t>
      </w:r>
      <w:r w:rsidRPr="00DE058F">
        <w:rPr>
          <w:rFonts w:eastAsia="MS PGothic" w:cstheme="minorHAnsi"/>
          <w:szCs w:val="20"/>
          <w:lang w:val="sr-Cyrl-CS" w:eastAsia="ja-JP"/>
        </w:rPr>
        <w:t>, између осталог прописано је да је извршни поверилац дужан да о намери подношења предлога за извршење писменим путем обавести министарство надлежно за финансије најкасније 30 дана пре подношења предлога за извршење, уколико се као извршни дужник појављује Република Србија, аутономна покрајна, јединица локалне самоуправе, директни или индиректни корисник буџетских средстава.</w:t>
      </w:r>
    </w:p>
    <w:p w14:paraId="79CD01B2" w14:textId="29CD0D5E" w:rsidR="00410830" w:rsidRPr="00DE058F" w:rsidRDefault="00410830" w:rsidP="00410830">
      <w:pPr>
        <w:rPr>
          <w:rFonts w:eastAsia="MS PGothic" w:cstheme="minorHAnsi"/>
          <w:szCs w:val="20"/>
          <w:lang w:val="sr-Cyrl-CS" w:eastAsia="ja-JP"/>
        </w:rPr>
      </w:pPr>
      <w:r w:rsidRPr="00DE058F">
        <w:rPr>
          <w:rFonts w:eastAsia="MS PGothic" w:cstheme="minorHAnsi"/>
          <w:szCs w:val="20"/>
          <w:lang w:val="sr-Cyrl-CS" w:eastAsia="ja-JP"/>
        </w:rPr>
        <w:t>Овим је продужен рок за добровољно плаћање обавезе од стране надлежног органа, како би се избегло додатно и непотребно плаћање јавних извршитеља. Министарству финансија, Управи за трезор, у 2021. години поднето је 49.863 Обавештења о намери подношења предлога за извршење. У првом кварталу 2022. године поднето је 12.499 Обавештења. Дужници са највећим процентом учешћа у броју достављених Обавештења у 2021. години закључно са 31.</w:t>
      </w:r>
      <w:r w:rsidR="009B051B" w:rsidRPr="00DE058F">
        <w:rPr>
          <w:rFonts w:eastAsia="MS PGothic" w:cstheme="minorHAnsi"/>
          <w:szCs w:val="20"/>
          <w:lang w:val="sr-Cyrl-CS" w:eastAsia="ja-JP"/>
        </w:rPr>
        <w:t xml:space="preserve"> мартом </w:t>
      </w:r>
      <w:r w:rsidRPr="00DE058F">
        <w:rPr>
          <w:rFonts w:eastAsia="MS PGothic" w:cstheme="minorHAnsi"/>
          <w:szCs w:val="20"/>
          <w:lang w:val="sr-Cyrl-CS" w:eastAsia="ja-JP"/>
        </w:rPr>
        <w:t>2022. године су Привредни суд у Крагујевцу са 10,05%, Министарство одбране са 7,28%, Привредни суд у Лесковцу са 6,69%, Прекршајни суд у Београду са 4,98%, МУП са 4,53%, други привредни судови (Зајечар 3,21%, Београд 2,97%, Краљево 2,30% и други), буџети градова (Лесковац са 2,88%, Нови Сад са 2,28%, Београд са 1,48%...), буџет РС са 2,17% и други.</w:t>
      </w:r>
    </w:p>
    <w:p w14:paraId="48C6FE8D" w14:textId="77777777" w:rsidR="00410830" w:rsidRPr="00DE058F" w:rsidRDefault="00410830" w:rsidP="00410830">
      <w:pPr>
        <w:rPr>
          <w:rFonts w:eastAsia="MS PGothic" w:cstheme="minorHAnsi"/>
          <w:szCs w:val="20"/>
          <w:lang w:val="sr-Cyrl-CS" w:eastAsia="ja-JP"/>
        </w:rPr>
      </w:pPr>
      <w:r w:rsidRPr="00DE058F">
        <w:rPr>
          <w:rFonts w:eastAsia="MS PGothic" w:cstheme="minorHAnsi"/>
          <w:szCs w:val="20"/>
          <w:lang w:val="sr-Cyrl-CS" w:eastAsia="ja-JP"/>
        </w:rPr>
        <w:t xml:space="preserve">Република Србија је по основу новчаних казни и пенала по решењу судова (економска класификација 483) и накнаде штете за повреде или штету нанету од стране државних органа (економска класификација 485) у периоду 2009-2020. године из буџета платила 121 млрд динара. У 2021. години по овом основу плаћено је 16,6 млрд динара из буџета Републике Србије. </w:t>
      </w:r>
    </w:p>
    <w:p w14:paraId="15204EDA" w14:textId="0B5F8A61" w:rsidR="00410830" w:rsidRPr="00DE058F" w:rsidRDefault="00410830" w:rsidP="00410830">
      <w:pPr>
        <w:rPr>
          <w:rFonts w:eastAsia="MS PGothic" w:cstheme="minorHAnsi"/>
          <w:szCs w:val="20"/>
          <w:lang w:val="sr-Cyrl-CS" w:eastAsia="ja-JP"/>
        </w:rPr>
      </w:pPr>
      <w:r w:rsidRPr="00DE058F">
        <w:rPr>
          <w:rFonts w:eastAsia="MS PGothic" w:cstheme="minorHAnsi"/>
          <w:szCs w:val="20"/>
          <w:lang w:val="sr-Cyrl-CS" w:eastAsia="ja-JP"/>
        </w:rPr>
        <w:t>У извештају о извршеним плаћањима по основу принудне наплате у судским споровима где је тужена страна Република Србија (корисници јавних средстава-дужници) највећи проценат учешћа, на дан 19.</w:t>
      </w:r>
      <w:r w:rsidR="009B051B" w:rsidRPr="00DE058F">
        <w:rPr>
          <w:rFonts w:eastAsia="MS PGothic" w:cstheme="minorHAnsi"/>
          <w:szCs w:val="20"/>
          <w:lang w:val="sr-Cyrl-CS" w:eastAsia="ja-JP"/>
        </w:rPr>
        <w:t xml:space="preserve"> април </w:t>
      </w:r>
      <w:r w:rsidRPr="00DE058F">
        <w:rPr>
          <w:rFonts w:eastAsia="MS PGothic" w:cstheme="minorHAnsi"/>
          <w:szCs w:val="20"/>
          <w:lang w:val="sr-Cyrl-CS" w:eastAsia="ja-JP"/>
        </w:rPr>
        <w:t xml:space="preserve">2022. године (вредност </w:t>
      </w:r>
      <w:r w:rsidRPr="00DE058F">
        <w:rPr>
          <w:rFonts w:eastAsia="MS PGothic" w:cstheme="minorHAnsi"/>
          <w:szCs w:val="20"/>
          <w:lang w:val="sr-Cyrl-CS" w:eastAsia="ja-JP"/>
        </w:rPr>
        <w:t>наплате по министарствима у односу на укупну наплату) имају: Министарство одбране 26,6%, Министарство правде 8,6% и Министарство унутрашњих послова 7,5%.</w:t>
      </w:r>
    </w:p>
    <w:p w14:paraId="12421FAC" w14:textId="137DBCB1" w:rsidR="00593E7B" w:rsidRPr="00DE058F" w:rsidRDefault="00410830" w:rsidP="00410830">
      <w:pPr>
        <w:rPr>
          <w:rFonts w:eastAsia="MS PGothic" w:cstheme="minorHAnsi"/>
          <w:szCs w:val="20"/>
          <w:lang w:val="sr-Cyrl-CS" w:eastAsia="ja-JP"/>
        </w:rPr>
      </w:pPr>
      <w:r w:rsidRPr="00DE058F">
        <w:rPr>
          <w:rFonts w:eastAsia="MS PGothic" w:cstheme="minorHAnsi"/>
          <w:szCs w:val="20"/>
          <w:lang w:val="sr-Cyrl-CS" w:eastAsia="ja-JP"/>
        </w:rPr>
        <w:t>До краја 2022. биће израђени модели за праћење фискалних ризика по основу судских поступака, а на основу Јединствене методологије. Они ће омогућити прецизније праћење и оцену ризика, а самим тим и лакшу идентификацију, сузбијање и праћење основних физичких ризика који доводе до фискалних ризика по буџет Републике Србије.</w:t>
      </w:r>
    </w:p>
    <w:p w14:paraId="0DC5BACA" w14:textId="77777777" w:rsidR="00593E7B" w:rsidRPr="00DE058F" w:rsidRDefault="00593E7B" w:rsidP="00C95509">
      <w:pPr>
        <w:rPr>
          <w:rFonts w:cstheme="minorHAnsi"/>
          <w:b/>
          <w:bCs/>
          <w:color w:val="2F5496" w:themeColor="accent1" w:themeShade="BF"/>
          <w:sz w:val="22"/>
          <w:szCs w:val="20"/>
          <w:lang w:val="sr-Cyrl-CS"/>
        </w:rPr>
      </w:pPr>
      <w:r w:rsidRPr="00DE058F">
        <w:rPr>
          <w:rFonts w:cstheme="minorHAnsi"/>
          <w:b/>
          <w:bCs/>
          <w:color w:val="2F5496" w:themeColor="accent1" w:themeShade="BF"/>
          <w:sz w:val="22"/>
          <w:szCs w:val="20"/>
          <w:lang w:val="sr-Cyrl-CS"/>
        </w:rPr>
        <w:t>Остали фискални ризици</w:t>
      </w:r>
    </w:p>
    <w:p w14:paraId="759B9EC9" w14:textId="77777777" w:rsidR="00593E7B" w:rsidRPr="00DE058F" w:rsidRDefault="00593E7B" w:rsidP="00C95509">
      <w:pPr>
        <w:rPr>
          <w:rFonts w:eastAsia="MS PGothic" w:cstheme="minorHAnsi"/>
          <w:szCs w:val="20"/>
          <w:lang w:val="sr-Cyrl-CS" w:eastAsia="ja-JP"/>
        </w:rPr>
      </w:pPr>
      <w:r w:rsidRPr="00DE058F">
        <w:rPr>
          <w:rFonts w:eastAsia="MS PGothic" w:cstheme="minorHAnsi"/>
          <w:szCs w:val="20"/>
          <w:lang w:val="sr-Cyrl-CS" w:eastAsia="ja-JP"/>
        </w:rPr>
        <w:t>Поред наведених фискалних ризика постоје и друге околности које, уколико се реализују, могу довести до фискалних трошкова. За поједине ризике не постоје систематизовани подаци, али имајући у виду да су се поједини остварили у ближој прошлости може се сагледати величина њиховог утицаја на јавне финансије. Само њихово идентификовање помаже сагледавању могућих утицаја на фискалну позицију земље у наредном периоду.</w:t>
      </w:r>
    </w:p>
    <w:p w14:paraId="6E278931" w14:textId="77777777" w:rsidR="00593E7B" w:rsidRPr="00DE058F" w:rsidRDefault="00593E7B" w:rsidP="00C95509">
      <w:pPr>
        <w:rPr>
          <w:rFonts w:eastAsia="MS PGothic" w:cstheme="minorHAnsi"/>
          <w:szCs w:val="20"/>
          <w:lang w:val="sr-Cyrl-CS" w:eastAsia="ja-JP"/>
        </w:rPr>
      </w:pPr>
      <w:r w:rsidRPr="00DE058F">
        <w:rPr>
          <w:rFonts w:eastAsia="MS PGothic" w:cstheme="minorHAnsi"/>
          <w:szCs w:val="20"/>
          <w:lang w:val="sr-Cyrl-CS" w:eastAsia="ja-JP"/>
        </w:rPr>
        <w:t>Пословање јединица локалне самоуправе може имати фискалне импликације на буџет опште државе. Посебним фискалним правилима за локалне самоуправе постављено је тзв. „златно правило” да је дефицит могућ само за реализацију капиталних инвестиција. Постоје и правила о висини задужености јединица локалне самоуправе, која би доследном применом одржала стабилност јавних финансија на локалном нивоу. У пракси се дешавало да нереалним планирањем како прихода, тако и расхода дође до нагомилавања доспелих а неизмирених обавеза које угрожавају функционисање појединих градова и општина.</w:t>
      </w:r>
    </w:p>
    <w:p w14:paraId="7DC70685" w14:textId="77777777" w:rsidR="00593E7B" w:rsidRPr="00DE058F" w:rsidRDefault="00593E7B" w:rsidP="00C95509">
      <w:pPr>
        <w:rPr>
          <w:rFonts w:eastAsia="MS PGothic" w:cstheme="minorHAnsi"/>
          <w:szCs w:val="20"/>
          <w:lang w:val="sr-Cyrl-CS" w:eastAsia="ja-JP"/>
        </w:rPr>
      </w:pPr>
      <w:r w:rsidRPr="00DE058F">
        <w:rPr>
          <w:rFonts w:eastAsia="MS PGothic" w:cstheme="minorHAnsi"/>
          <w:szCs w:val="20"/>
          <w:lang w:val="sr-Cyrl-CS" w:eastAsia="ja-JP"/>
        </w:rPr>
        <w:t>Како би се избегла реализација фискалних ризика по овом основу Министарство финансија ће у наредном периоду значајно унапредити систем контроле јавних финансија локалних самоуправа у циљу поштовања постављених правила од планирања до реализације буџета на локалном нивоу.</w:t>
      </w:r>
    </w:p>
    <w:p w14:paraId="575227E8" w14:textId="3DBD851C" w:rsidR="00593E7B" w:rsidRPr="00DE058F" w:rsidRDefault="00593E7B" w:rsidP="00C95509">
      <w:pPr>
        <w:rPr>
          <w:rFonts w:eastAsia="MS PGothic" w:cstheme="minorHAnsi"/>
          <w:szCs w:val="20"/>
          <w:lang w:val="sr-Cyrl-CS" w:eastAsia="ja-JP"/>
        </w:rPr>
      </w:pPr>
      <w:r w:rsidRPr="00DE058F">
        <w:rPr>
          <w:rFonts w:eastAsia="MS PGothic" w:cstheme="minorHAnsi"/>
          <w:szCs w:val="20"/>
          <w:lang w:val="sr-Cyrl-CS" w:eastAsia="ja-JP"/>
        </w:rPr>
        <w:t xml:space="preserve">На основу усвојене Методологије за праћење фискалних ризика по буџет Републике Србије који </w:t>
      </w:r>
      <w:r w:rsidRPr="00DE058F">
        <w:rPr>
          <w:rFonts w:eastAsia="MS PGothic" w:cstheme="minorHAnsi"/>
          <w:szCs w:val="20"/>
          <w:lang w:val="sr-Cyrl-CS" w:eastAsia="ja-JP"/>
        </w:rPr>
        <w:lastRenderedPageBreak/>
        <w:t>произлазе из вршења надлежности јединица локалне самоуправе, Министарство финансија је израдило радни модел за анализу, оцену и праћење фискалних ризика и он ће бити примењен до 2023</w:t>
      </w:r>
      <w:r w:rsidR="003213AE" w:rsidRPr="00DE058F">
        <w:rPr>
          <w:rFonts w:eastAsia="MS PGothic" w:cstheme="minorHAnsi"/>
          <w:szCs w:val="20"/>
          <w:lang w:val="sr-Cyrl-CS" w:eastAsia="ja-JP"/>
        </w:rPr>
        <w:t>. године</w:t>
      </w:r>
      <w:r w:rsidRPr="00DE058F">
        <w:rPr>
          <w:rFonts w:eastAsia="MS PGothic" w:cstheme="minorHAnsi"/>
          <w:szCs w:val="20"/>
          <w:lang w:val="sr-Cyrl-CS" w:eastAsia="ja-JP"/>
        </w:rPr>
        <w:t>.</w:t>
      </w:r>
    </w:p>
    <w:p w14:paraId="05D1D869" w14:textId="2B985274" w:rsidR="00593E7B" w:rsidRPr="00DE058F" w:rsidRDefault="00593E7B" w:rsidP="00C95509">
      <w:pPr>
        <w:rPr>
          <w:rFonts w:eastAsia="MS PGothic" w:cstheme="minorHAnsi"/>
          <w:szCs w:val="20"/>
          <w:lang w:val="sr-Cyrl-CS" w:eastAsia="ja-JP"/>
        </w:rPr>
      </w:pPr>
      <w:r w:rsidRPr="00DE058F">
        <w:rPr>
          <w:rFonts w:eastAsia="MS PGothic" w:cstheme="minorHAnsi"/>
          <w:szCs w:val="20"/>
          <w:lang w:val="sr-Cyrl-CS" w:eastAsia="ja-JP"/>
        </w:rPr>
        <w:t>Стално присутан ризик од елементарних непогода и природних катастрофа обавезује улагање у програме превенције како би се умањили потенцијални фискални трошкови за отклањање штета насталих по том основу. Превенција обухвата укључивање ширег спектра финансијских инструмената</w:t>
      </w:r>
      <w:r w:rsidR="00291CA6" w:rsidRPr="00DE058F">
        <w:rPr>
          <w:rFonts w:eastAsia="MS PGothic" w:cstheme="minorHAnsi"/>
          <w:szCs w:val="20"/>
          <w:lang w:val="sr-Cyrl-CS" w:eastAsia="ja-JP"/>
        </w:rPr>
        <w:t>,</w:t>
      </w:r>
      <w:r w:rsidRPr="00DE058F">
        <w:rPr>
          <w:rFonts w:eastAsia="MS PGothic" w:cstheme="minorHAnsi"/>
          <w:szCs w:val="20"/>
          <w:lang w:val="sr-Cyrl-CS" w:eastAsia="ja-JP"/>
        </w:rPr>
        <w:t xml:space="preserve"> као што су резервни фондови, потенцијалне кредитне линије, а нарочито осигурање који треба да буду на располагању држави. Република Србија се у 2014. години суочила са ка</w:t>
      </w:r>
      <w:r w:rsidR="00C8212E" w:rsidRPr="00DE058F">
        <w:rPr>
          <w:rFonts w:eastAsia="MS PGothic" w:cstheme="minorHAnsi"/>
          <w:szCs w:val="20"/>
          <w:lang w:val="sr-Cyrl-CS" w:eastAsia="ja-JP"/>
        </w:rPr>
        <w:t>та</w:t>
      </w:r>
      <w:r w:rsidRPr="00DE058F">
        <w:rPr>
          <w:rFonts w:eastAsia="MS PGothic" w:cstheme="minorHAnsi"/>
          <w:szCs w:val="20"/>
          <w:lang w:val="sr-Cyrl-CS" w:eastAsia="ja-JP"/>
        </w:rPr>
        <w:t>строфалним последицама поплава, чија је укупна штета (са губицима) процењена на више од 1,7 млрд евра. Влада је у децембру 2014.</w:t>
      </w:r>
      <w:r w:rsidR="003213AE" w:rsidRPr="00DE058F">
        <w:rPr>
          <w:rFonts w:eastAsia="MS PGothic" w:cstheme="minorHAnsi"/>
          <w:szCs w:val="20"/>
          <w:lang w:val="sr-Cyrl-CS" w:eastAsia="ja-JP"/>
        </w:rPr>
        <w:t xml:space="preserve"> године</w:t>
      </w:r>
      <w:r w:rsidRPr="00DE058F">
        <w:rPr>
          <w:rFonts w:eastAsia="MS PGothic" w:cstheme="minorHAnsi"/>
          <w:szCs w:val="20"/>
          <w:lang w:val="sr-Cyrl-CS" w:eastAsia="ja-JP"/>
        </w:rPr>
        <w:t xml:space="preserve"> усвојила Национални програм за управљање ризицима од елементарних непогода, који се спроводи у сарадњи са Светском банком, Уједињеним нацијама и ЕУ. У оквиру Националног програма, новембра 2018. године донет је Закон о смањењу ризика од катастрофа и управљању ванредним ситуацијама („Службени гласник РС</w:t>
      </w:r>
      <w:r w:rsidR="00A224F8" w:rsidRPr="00DE058F">
        <w:rPr>
          <w:rFonts w:eastAsia="MS PGothic" w:cstheme="minorHAnsi"/>
          <w:szCs w:val="20"/>
          <w:lang w:val="sr-Cyrl-CS" w:eastAsia="ja-JP"/>
        </w:rPr>
        <w:t>”</w:t>
      </w:r>
      <w:r w:rsidR="003213AE" w:rsidRPr="00DE058F">
        <w:rPr>
          <w:rFonts w:eastAsia="MS PGothic" w:cstheme="minorHAnsi"/>
          <w:szCs w:val="20"/>
          <w:lang w:val="sr-Cyrl-CS" w:eastAsia="ja-JP"/>
        </w:rPr>
        <w:t>, број</w:t>
      </w:r>
      <w:r w:rsidRPr="00DE058F">
        <w:rPr>
          <w:rFonts w:eastAsia="MS PGothic" w:cstheme="minorHAnsi"/>
          <w:szCs w:val="20"/>
          <w:lang w:val="sr-Cyrl-CS" w:eastAsia="ja-JP"/>
        </w:rPr>
        <w:t xml:space="preserve"> 87/18). Половином априла 2022. године одржан је први састанак Посебне радне групе за израду Предлога стратегије смањења ризика од </w:t>
      </w:r>
      <w:r w:rsidRPr="00DE058F">
        <w:rPr>
          <w:rFonts w:eastAsia="MS PGothic" w:cstheme="minorHAnsi"/>
          <w:szCs w:val="20"/>
          <w:lang w:val="sr-Cyrl-CS" w:eastAsia="ja-JP"/>
        </w:rPr>
        <w:t>катастрофа и управљања ванредним ситуацијама у Републици Србији за период 2022</w:t>
      </w:r>
      <w:r w:rsidR="00B93D6A" w:rsidRPr="00DE058F">
        <w:rPr>
          <w:rFonts w:eastAsia="MS PGothic" w:cstheme="minorHAnsi"/>
          <w:szCs w:val="20"/>
          <w:lang w:val="sr-Cyrl-CS" w:eastAsia="ja-JP"/>
        </w:rPr>
        <w:t>–</w:t>
      </w:r>
      <w:r w:rsidRPr="00DE058F">
        <w:rPr>
          <w:rFonts w:eastAsia="MS PGothic" w:cstheme="minorHAnsi"/>
          <w:szCs w:val="20"/>
          <w:lang w:val="sr-Cyrl-CS" w:eastAsia="ja-JP"/>
        </w:rPr>
        <w:t>2027. године.</w:t>
      </w:r>
    </w:p>
    <w:p w14:paraId="5E67E18D" w14:textId="77777777" w:rsidR="00593E7B" w:rsidRPr="00DE058F" w:rsidRDefault="00593E7B" w:rsidP="00C95509">
      <w:pPr>
        <w:rPr>
          <w:rFonts w:eastAsia="MS PGothic" w:cstheme="minorHAnsi"/>
          <w:szCs w:val="20"/>
          <w:lang w:val="sr-Cyrl-CS" w:eastAsia="ja-JP"/>
        </w:rPr>
      </w:pPr>
      <w:r w:rsidRPr="00DE058F">
        <w:rPr>
          <w:rFonts w:eastAsia="MS PGothic" w:cstheme="minorHAnsi"/>
          <w:szCs w:val="20"/>
          <w:lang w:val="sr-Cyrl-CS" w:eastAsia="ja-JP"/>
        </w:rPr>
        <w:t>Република Србија је у 2019. години платила из буџета 4,22 млрд динара за накнаде штете за повреде или штете настале услед елементарних непогода или других природних узрока. У току 2020. године за ову намену издвојено је 2,8 млрд динара, док је за 2021. годину износ потрошен на ове намене износио 520,3 милиона динара, не рачунајући интервенцијска средства за ублажавање последица болести COVID-19.</w:t>
      </w:r>
    </w:p>
    <w:p w14:paraId="5244BAE8" w14:textId="52775309" w:rsidR="00593E7B" w:rsidRPr="00DE058F" w:rsidRDefault="00593E7B" w:rsidP="00C95509">
      <w:pPr>
        <w:rPr>
          <w:rFonts w:eastAsia="MS PGothic" w:cstheme="minorHAnsi"/>
          <w:szCs w:val="20"/>
          <w:lang w:val="sr-Cyrl-CS" w:eastAsia="ja-JP"/>
        </w:rPr>
      </w:pPr>
      <w:r w:rsidRPr="00DE058F">
        <w:rPr>
          <w:rFonts w:eastAsia="MS PGothic" w:cstheme="minorHAnsi"/>
          <w:szCs w:val="20"/>
          <w:lang w:val="sr-Cyrl-CS" w:eastAsia="ja-JP"/>
        </w:rPr>
        <w:t>Како је наведено у уводу, Закљу</w:t>
      </w:r>
      <w:r w:rsidR="003213AE" w:rsidRPr="00DE058F">
        <w:rPr>
          <w:rFonts w:eastAsia="MS PGothic" w:cstheme="minorHAnsi"/>
          <w:szCs w:val="20"/>
          <w:lang w:val="sr-Cyrl-CS" w:eastAsia="ja-JP"/>
        </w:rPr>
        <w:t>чком Владе 05 Б</w:t>
      </w:r>
      <w:r w:rsidRPr="00DE058F">
        <w:rPr>
          <w:rFonts w:eastAsia="MS PGothic" w:cstheme="minorHAnsi"/>
          <w:szCs w:val="20"/>
          <w:lang w:val="sr-Cyrl-CS" w:eastAsia="ja-JP"/>
        </w:rPr>
        <w:t>рој</w:t>
      </w:r>
      <w:r w:rsidR="003213AE" w:rsidRPr="00DE058F">
        <w:rPr>
          <w:rFonts w:eastAsia="MS PGothic" w:cstheme="minorHAnsi"/>
          <w:szCs w:val="20"/>
          <w:lang w:val="sr-Cyrl-CS" w:eastAsia="ja-JP"/>
        </w:rPr>
        <w:t>:</w:t>
      </w:r>
      <w:r w:rsidRPr="00DE058F">
        <w:rPr>
          <w:rFonts w:eastAsia="MS PGothic" w:cstheme="minorHAnsi"/>
          <w:szCs w:val="20"/>
          <w:lang w:val="sr-Cyrl-CS" w:eastAsia="ja-JP"/>
        </w:rPr>
        <w:t xml:space="preserve"> 40-9575/2021 од 21. октобра 2021. године усвојена је Јединствена методологија за праћење фискалних ризика у Републици Србији која обухвата четири основне методологије: Методологију за праћење фискалних ризика који произлазе из пословања јавних предузећа, Методологију за праћење фискалних ризика по буџет Републике Србије који произлазе из вршења надлежности јединица локалне самоуправе, Методологију за праћење фискалних ризика по основу судских спорова и Методологију за праћење фискалних ризика који се јављају као последица елементарних непогода Током 2022. године очекује се израда модела за праћење фискалних ризика и обука запослених од стране тима Светске банке.</w:t>
      </w:r>
    </w:p>
    <w:p w14:paraId="31C34A92" w14:textId="77777777" w:rsidR="00593E7B" w:rsidRPr="00DE058F" w:rsidRDefault="00593E7B" w:rsidP="00C95509">
      <w:pPr>
        <w:rPr>
          <w:rFonts w:eastAsia="MS PGothic" w:cstheme="minorHAnsi"/>
          <w:szCs w:val="20"/>
          <w:lang w:val="sr-Cyrl-CS" w:eastAsia="ja-JP"/>
        </w:rPr>
        <w:sectPr w:rsidR="00593E7B" w:rsidRPr="00DE058F" w:rsidSect="00C95509">
          <w:headerReference w:type="even" r:id="rId144"/>
          <w:footerReference w:type="even" r:id="rId145"/>
          <w:footerReference w:type="default" r:id="rId146"/>
          <w:headerReference w:type="first" r:id="rId147"/>
          <w:type w:val="continuous"/>
          <w:pgSz w:w="12240" w:h="15840" w:code="1"/>
          <w:pgMar w:top="1440" w:right="1440" w:bottom="1440" w:left="1440" w:header="720" w:footer="720" w:gutter="0"/>
          <w:cols w:num="2" w:space="720"/>
          <w:docGrid w:linePitch="360"/>
          <w15:footnoteColumns w:val="1"/>
        </w:sectPr>
      </w:pPr>
    </w:p>
    <w:bookmarkEnd w:id="43"/>
    <w:bookmarkEnd w:id="44"/>
    <w:p w14:paraId="143074CB" w14:textId="77777777" w:rsidR="00BD7244" w:rsidRPr="00DE058F" w:rsidRDefault="00BD7244" w:rsidP="00BD7244">
      <w:pPr>
        <w:rPr>
          <w:lang w:val="sr-Cyrl-CS"/>
        </w:rPr>
      </w:pPr>
      <w:r w:rsidRPr="00DE058F">
        <w:rPr>
          <w:lang w:val="sr-Cyrl-CS"/>
        </w:rPr>
        <w:br w:type="page"/>
      </w:r>
    </w:p>
    <w:p w14:paraId="68B9EF38" w14:textId="1E5A95C5" w:rsidR="00E124CF" w:rsidRPr="00DE058F" w:rsidRDefault="00E124CF" w:rsidP="00E124CF">
      <w:pPr>
        <w:pStyle w:val="Heading2"/>
        <w:spacing w:before="480" w:after="240"/>
        <w:jc w:val="center"/>
        <w:rPr>
          <w:rFonts w:asciiTheme="minorHAnsi" w:eastAsia="MS PGothic" w:hAnsiTheme="minorHAnsi" w:cstheme="minorHAnsi"/>
          <w:b/>
          <w:sz w:val="24"/>
          <w:lang w:val="sr-Cyrl-CS" w:eastAsia="ja-JP"/>
        </w:rPr>
        <w:sectPr w:rsidR="00E124CF" w:rsidRPr="00DE058F" w:rsidSect="00AE40EB">
          <w:headerReference w:type="even" r:id="rId148"/>
          <w:footerReference w:type="even" r:id="rId149"/>
          <w:footerReference w:type="default" r:id="rId150"/>
          <w:headerReference w:type="first" r:id="rId151"/>
          <w:type w:val="continuous"/>
          <w:pgSz w:w="12240" w:h="15840" w:code="1"/>
          <w:pgMar w:top="1440" w:right="1440" w:bottom="1440" w:left="1440" w:header="720" w:footer="720" w:gutter="0"/>
          <w:cols w:space="720"/>
          <w:docGrid w:linePitch="360"/>
        </w:sectPr>
      </w:pPr>
      <w:bookmarkStart w:id="46" w:name="_Toc104899610"/>
      <w:r w:rsidRPr="00DE058F">
        <w:rPr>
          <w:rFonts w:asciiTheme="minorHAnsi" w:eastAsia="Times New Roman" w:hAnsiTheme="minorHAnsi" w:cstheme="minorHAnsi"/>
          <w:b/>
          <w:sz w:val="24"/>
          <w:lang w:val="sr-Cyrl-CS"/>
        </w:rPr>
        <w:lastRenderedPageBreak/>
        <w:t xml:space="preserve">6. </w:t>
      </w:r>
      <w:r w:rsidRPr="00DE058F">
        <w:rPr>
          <w:rFonts w:asciiTheme="minorHAnsi" w:eastAsia="MS PGothic" w:hAnsiTheme="minorHAnsi" w:cstheme="minorHAnsi"/>
          <w:b/>
          <w:sz w:val="24"/>
          <w:lang w:val="sr-Cyrl-CS" w:eastAsia="ja-JP"/>
        </w:rPr>
        <w:t>Циклично прилагођени и структурни фискални биланс</w:t>
      </w:r>
      <w:bookmarkEnd w:id="37"/>
      <w:bookmarkEnd w:id="38"/>
      <w:bookmarkEnd w:id="39"/>
      <w:bookmarkEnd w:id="40"/>
      <w:bookmarkEnd w:id="41"/>
      <w:bookmarkEnd w:id="46"/>
    </w:p>
    <w:p w14:paraId="401B1455" w14:textId="77777777" w:rsidR="00E124CF" w:rsidRPr="00DE058F" w:rsidRDefault="00E124CF" w:rsidP="00E124CF">
      <w:pPr>
        <w:spacing w:after="120"/>
        <w:rPr>
          <w:rFonts w:ascii="Calibri" w:eastAsia="MS PGothic" w:hAnsi="Calibri" w:cs="Calibri"/>
          <w:szCs w:val="20"/>
          <w:lang w:val="sr-Cyrl-CS" w:eastAsia="ja-JP"/>
        </w:rPr>
      </w:pPr>
      <w:bookmarkStart w:id="47" w:name="_Toc499650054"/>
      <w:bookmarkStart w:id="48" w:name="_Toc530635110"/>
      <w:bookmarkStart w:id="49" w:name="_Toc11155996"/>
      <w:r w:rsidRPr="00DE058F">
        <w:rPr>
          <w:rFonts w:eastAsia="MS PGothic" w:cstheme="minorHAnsi"/>
          <w:szCs w:val="20"/>
          <w:lang w:val="sr-Cyrl-CS" w:eastAsia="ja-JP"/>
        </w:rPr>
        <w:t>Циклично прилагођени фискални биланс је фискални биланс из кога је искључен изоловани утицај привредног циклуса, а</w:t>
      </w:r>
      <w:r w:rsidRPr="00DE058F">
        <w:rPr>
          <w:rFonts w:ascii="Calibri" w:eastAsia="MS PGothic" w:hAnsi="Calibri" w:cs="Calibri"/>
          <w:szCs w:val="20"/>
          <w:lang w:val="sr-Cyrl-CS" w:eastAsia="ja-JP"/>
        </w:rPr>
        <w:t xml:space="preserve"> идентитет од кога се полази је следећи</w:t>
      </w:r>
      <w:r w:rsidRPr="00DE058F">
        <w:rPr>
          <w:rFonts w:ascii="Calibri" w:eastAsia="MS PGothic" w:hAnsi="Calibri" w:cs="Calibri"/>
          <w:szCs w:val="20"/>
          <w:vertAlign w:val="superscript"/>
          <w:lang w:val="sr-Cyrl-CS" w:eastAsia="ja-JP"/>
        </w:rPr>
        <w:footnoteReference w:id="12"/>
      </w:r>
      <w:r w:rsidRPr="00DE058F">
        <w:rPr>
          <w:rFonts w:ascii="Calibri" w:eastAsia="MS PGothic" w:hAnsi="Calibri" w:cs="Calibri"/>
          <w:szCs w:val="20"/>
          <w:lang w:val="sr-Cyrl-CS" w:eastAsia="ja-JP"/>
        </w:rPr>
        <w:t>:</w:t>
      </w:r>
    </w:p>
    <w:p w14:paraId="69E7C450" w14:textId="77777777" w:rsidR="00E124CF" w:rsidRPr="00DE058F" w:rsidRDefault="00E124CF" w:rsidP="00E124CF">
      <w:pPr>
        <w:spacing w:after="120"/>
        <w:jc w:val="center"/>
        <w:rPr>
          <w:rFonts w:ascii="Calibri" w:eastAsia="MS PGothic" w:hAnsi="Calibri" w:cs="Calibri"/>
          <w:szCs w:val="20"/>
          <w:lang w:val="sr-Cyrl-CS" w:eastAsia="ja-JP"/>
        </w:rPr>
      </w:pPr>
      <w:r w:rsidRPr="00DE058F">
        <w:rPr>
          <w:rFonts w:ascii="Calibri" w:eastAsia="MS PGothic" w:hAnsi="Calibri" w:cs="Calibri"/>
          <w:szCs w:val="20"/>
          <w:lang w:val="sr-Cyrl-CS" w:eastAsia="ja-JP"/>
        </w:rPr>
        <w:t>FB = CB + CAB</w:t>
      </w:r>
    </w:p>
    <w:p w14:paraId="7B631D2E" w14:textId="77777777" w:rsidR="00E124CF" w:rsidRPr="00DE058F" w:rsidRDefault="00E124CF" w:rsidP="00E124CF">
      <w:pPr>
        <w:spacing w:after="120"/>
        <w:rPr>
          <w:rFonts w:eastAsia="MS PGothic" w:cstheme="minorHAnsi"/>
          <w:szCs w:val="20"/>
          <w:lang w:val="sr-Cyrl-CS" w:eastAsia="ja-JP"/>
        </w:rPr>
      </w:pPr>
      <w:r w:rsidRPr="00DE058F">
        <w:rPr>
          <w:rFonts w:ascii="Calibri" w:eastAsia="MS PGothic" w:hAnsi="Calibri" w:cs="Calibri"/>
          <w:szCs w:val="20"/>
          <w:lang w:val="sr-Cyrl-CS" w:eastAsia="ja-JP"/>
        </w:rPr>
        <w:t>Део фискалног биланса (FB)</w:t>
      </w:r>
      <w:r w:rsidRPr="00DE058F">
        <w:rPr>
          <w:rFonts w:ascii="Calibri" w:eastAsia="MS PGothic" w:hAnsi="Calibri" w:cs="Calibri"/>
          <w:i/>
          <w:szCs w:val="20"/>
          <w:lang w:val="sr-Cyrl-CS" w:eastAsia="ja-JP"/>
        </w:rPr>
        <w:t xml:space="preserve"> </w:t>
      </w:r>
      <w:r w:rsidRPr="00DE058F">
        <w:rPr>
          <w:rFonts w:ascii="Calibri" w:eastAsia="MS PGothic" w:hAnsi="Calibri" w:cs="Calibri"/>
          <w:szCs w:val="20"/>
          <w:lang w:val="sr-Cyrl-CS" w:eastAsia="ja-JP"/>
        </w:rPr>
        <w:t>који није под утицајем цикличних флуктуација назива се циклично прилагођени фискални биланс (CAB</w:t>
      </w:r>
      <w:r w:rsidRPr="00DE058F">
        <w:rPr>
          <w:rFonts w:ascii="Calibri" w:eastAsia="MS PGothic" w:hAnsi="Calibri" w:cs="Calibri"/>
          <w:i/>
          <w:szCs w:val="20"/>
          <w:lang w:val="sr-Cyrl-CS" w:eastAsia="ja-JP"/>
        </w:rPr>
        <w:t xml:space="preserve">), </w:t>
      </w:r>
      <w:r w:rsidRPr="00DE058F">
        <w:rPr>
          <w:rFonts w:ascii="Calibri" w:eastAsia="MS PGothic" w:hAnsi="Calibri" w:cs="Calibri"/>
          <w:szCs w:val="20"/>
          <w:lang w:val="sr-Cyrl-CS" w:eastAsia="ja-JP"/>
        </w:rPr>
        <w:t xml:space="preserve">а циљ ове процедуре је изоловање цикличне компоненте </w:t>
      </w:r>
      <w:r w:rsidRPr="00DE058F">
        <w:rPr>
          <w:rFonts w:eastAsia="MS PGothic" w:cstheme="minorHAnsi"/>
          <w:szCs w:val="20"/>
          <w:lang w:val="sr-Cyrl-CS" w:eastAsia="ja-JP"/>
        </w:rPr>
        <w:t>фискалног биланса (CB) која је резултат дејства производног јаза. Стварни фискални биланс биће једнак циклично прилагођеном у случају да је производни јаз једнак нули, тј. ако је стопа раста реалног БДП једнака потенцијалној. Структурни фискални биланс се даље рачунски добија елиминацијом једнократних ефеката на приходној и расходној страни, и тако показује структурну (трајну) фискалну позицију.</w:t>
      </w:r>
    </w:p>
    <w:p w14:paraId="24637209" w14:textId="77777777" w:rsidR="00E124CF" w:rsidRPr="00DE058F" w:rsidRDefault="00E124CF" w:rsidP="00E124CF">
      <w:pPr>
        <w:spacing w:after="120"/>
        <w:rPr>
          <w:rFonts w:ascii="Calibri" w:eastAsia="MS PGothic" w:hAnsi="Calibri" w:cs="Calibri"/>
          <w:szCs w:val="20"/>
          <w:lang w:val="sr-Cyrl-CS" w:eastAsia="ja-JP"/>
        </w:rPr>
      </w:pPr>
      <w:r w:rsidRPr="00DE058F">
        <w:rPr>
          <w:rFonts w:eastAsia="MS PGothic" w:cstheme="minorHAnsi"/>
          <w:szCs w:val="20"/>
          <w:lang w:val="sr-Cyrl-CS" w:eastAsia="ja-JP"/>
        </w:rPr>
        <w:t xml:space="preserve">Циклично прилагођени дефицит се убрзано смањује након 2014. године, упоредо са кретањем општег фискалног резултата, а у 2017. години улази у зону суфицита. Структурни примарни биланс очишћен од једнократних фактора у 2017. године такође бележи високу позитивну </w:t>
      </w:r>
      <w:r w:rsidRPr="00DE058F">
        <w:rPr>
          <w:rFonts w:ascii="Calibri" w:eastAsia="MS PGothic" w:hAnsi="Calibri" w:cs="Calibri"/>
          <w:szCs w:val="20"/>
          <w:lang w:val="sr-Cyrl-CS" w:eastAsia="ja-JP"/>
        </w:rPr>
        <w:t xml:space="preserve">вредност. Структурне промене у пореском систему током 2012. и 2013. године су почеле да дају резултате у наредном периоду, чиме је процес фискалне консолидације суштински и почео. Наредна фаза фискалне консолидације, спроведена током аранжмана са ММФ, али овог пута са нагласком на структурном прилагођавању на расходној страни, значајно је поправила фискалну позицију земље. Анализом и квантификацијом структурног примарног биланса могу се изоловати, пре свега, </w:t>
      </w:r>
      <w:r w:rsidRPr="00DE058F">
        <w:rPr>
          <w:rFonts w:ascii="Calibri" w:eastAsia="MS PGothic" w:hAnsi="Calibri" w:cs="Calibri"/>
          <w:szCs w:val="20"/>
          <w:lang w:val="sr-Cyrl-CS" w:eastAsia="ja-JP"/>
        </w:rPr>
        <w:t>једнократни ефекти на страни расходна, иако у појединим годинама, нису безначајни и једнократни ефекти у виду непланираних уплата на приходној страни. Анализом структурног примарног биланса оцењена је фискална позиција земље. Тако је у периоду од 2014. до 2019. године фискална позиција значајно побољшана, чиме је и потврђена оцена успеха програма фискалне консолидације.</w:t>
      </w:r>
    </w:p>
    <w:p w14:paraId="161A94B8" w14:textId="77777777" w:rsidR="00E124CF" w:rsidRPr="00DE058F" w:rsidRDefault="00E124CF" w:rsidP="00E124CF">
      <w:pPr>
        <w:spacing w:after="120"/>
        <w:rPr>
          <w:rFonts w:eastAsia="MS PGothic" w:cstheme="minorHAnsi"/>
          <w:szCs w:val="20"/>
          <w:lang w:val="sr-Cyrl-CS" w:eastAsia="ja-JP"/>
        </w:rPr>
      </w:pPr>
      <w:r w:rsidRPr="00DE058F">
        <w:rPr>
          <w:rFonts w:ascii="Calibri" w:eastAsia="MS PGothic" w:hAnsi="Calibri" w:cs="Calibri"/>
          <w:szCs w:val="20"/>
          <w:lang w:val="sr-Cyrl-CS" w:eastAsia="ja-JP"/>
        </w:rPr>
        <w:t>Ф</w:t>
      </w:r>
      <w:r w:rsidRPr="00DE058F">
        <w:rPr>
          <w:rFonts w:eastAsia="MS PGothic" w:cstheme="minorHAnsi"/>
          <w:szCs w:val="20"/>
          <w:lang w:val="sr-Cyrl-CS" w:eastAsia="ja-JP"/>
        </w:rPr>
        <w:t>искални простор креиран у претходном периоду и значајно структурно унапређена фискална позиција земље, омогућили су релаксацију фискалне политике у кризним временима.</w:t>
      </w:r>
    </w:p>
    <w:p w14:paraId="14C81B55" w14:textId="27773D59" w:rsidR="00E124CF" w:rsidRPr="00DE058F" w:rsidRDefault="003213AE" w:rsidP="00E124CF">
      <w:pPr>
        <w:spacing w:after="120"/>
        <w:rPr>
          <w:rFonts w:ascii="Calibri" w:eastAsia="Calibri" w:hAnsi="Calibri" w:cs="Calibri"/>
          <w:szCs w:val="20"/>
          <w:lang w:val="sr-Cyrl-CS"/>
        </w:rPr>
        <w:sectPr w:rsidR="00E124CF" w:rsidRPr="00DE058F" w:rsidSect="00E124CF">
          <w:type w:val="continuous"/>
          <w:pgSz w:w="12240" w:h="15840" w:code="1"/>
          <w:pgMar w:top="1417" w:right="1417" w:bottom="1417" w:left="1417" w:header="720" w:footer="720" w:gutter="0"/>
          <w:cols w:num="2" w:space="720"/>
          <w15:footnoteColumns w:val="1"/>
        </w:sectPr>
      </w:pPr>
      <w:r w:rsidRPr="00DE058F">
        <w:rPr>
          <w:rFonts w:ascii="Calibri" w:eastAsia="MS PGothic" w:hAnsi="Calibri" w:cs="Calibri"/>
          <w:spacing w:val="-2"/>
          <w:szCs w:val="20"/>
          <w:lang w:val="sr-Cyrl-CS" w:eastAsia="ja-JP"/>
        </w:rPr>
        <w:t>Избијањем пандемије COVID</w:t>
      </w:r>
      <w:r w:rsidR="00E124CF" w:rsidRPr="00DE058F">
        <w:rPr>
          <w:rFonts w:ascii="Calibri" w:eastAsia="MS PGothic" w:hAnsi="Calibri" w:cs="Calibri"/>
          <w:spacing w:val="-2"/>
          <w:szCs w:val="20"/>
          <w:lang w:val="sr-Cyrl-CS" w:eastAsia="ja-JP"/>
        </w:rPr>
        <w:t xml:space="preserve">-19 почетком 2020. године и увођењем мера за здравствену заштиту становништва, глобална економија је ушла у кризу без преседана, која и поред назнака постепеног опоравка није још увек окончана. </w:t>
      </w:r>
      <w:r w:rsidR="00E124CF" w:rsidRPr="00DE058F">
        <w:rPr>
          <w:rFonts w:ascii="Calibri" w:eastAsia="Calibri" w:hAnsi="Calibri" w:cs="Calibri"/>
          <w:szCs w:val="20"/>
          <w:lang w:val="sr-Cyrl-CS"/>
        </w:rPr>
        <w:t>Специфичност кризе огледа се у самом узроку који није економске већ здравствене природе, при чему начин борбе у обуздавању даљег ширења вируса производи додатне негативне економске ефекте. Утицај на фискалну позицију је био видљив кроз смањене прихода буџета, који су последица успоравања економске активности услед пандемије, и драматично већих расхода условљених већим трошковима здравствене заштите и доношењем обимног пакета помоћи привреди и грађанима. У таквој ситуацији, уобичајена анализа привредног циклуса, квантификација фискалних мултипликатора и оцена еластичности фискалног баланса у односу на производни јаз не даје сасвим коректне оцене фискалне позиције земље.</w:t>
      </w:r>
    </w:p>
    <w:p w14:paraId="5BCD401A" w14:textId="77777777" w:rsidR="00E124CF" w:rsidRPr="00DE058F" w:rsidRDefault="00E124CF" w:rsidP="00E124CF">
      <w:pPr>
        <w:jc w:val="left"/>
        <w:rPr>
          <w:rFonts w:ascii="Calibri" w:eastAsia="MS PGothic" w:hAnsi="Calibri" w:cs="Calibri"/>
          <w:b/>
          <w:bCs/>
          <w:lang w:val="sr-Cyrl-CS"/>
        </w:rPr>
      </w:pPr>
    </w:p>
    <w:p w14:paraId="6C21166F" w14:textId="77777777" w:rsidR="00E124CF" w:rsidRPr="00DE058F" w:rsidRDefault="00E124CF">
      <w:pPr>
        <w:jc w:val="left"/>
        <w:rPr>
          <w:rFonts w:ascii="Calibri" w:eastAsia="MS PGothic" w:hAnsi="Calibri" w:cs="Calibri"/>
          <w:b/>
          <w:bCs/>
          <w:lang w:val="sr-Cyrl-CS"/>
        </w:rPr>
      </w:pPr>
      <w:r w:rsidRPr="00DE058F">
        <w:rPr>
          <w:rFonts w:ascii="Calibri" w:eastAsia="MS PGothic" w:hAnsi="Calibri" w:cs="Calibri"/>
          <w:b/>
          <w:bCs/>
          <w:color w:val="FF0000"/>
          <w:lang w:val="sr-Cyrl-CS"/>
        </w:rPr>
        <w:br w:type="page"/>
      </w:r>
    </w:p>
    <w:p w14:paraId="4C669D3B" w14:textId="4D7761A7" w:rsidR="00E124CF" w:rsidRPr="00DE058F" w:rsidRDefault="00E124CF" w:rsidP="00E124CF">
      <w:pPr>
        <w:jc w:val="center"/>
        <w:rPr>
          <w:rFonts w:ascii="Calibri" w:eastAsia="MS PGothic" w:hAnsi="Calibri" w:cs="Calibri"/>
          <w:b/>
          <w:bCs/>
          <w:color w:val="002060"/>
          <w:lang w:val="sr-Cyrl-CS"/>
        </w:rPr>
      </w:pPr>
      <w:r w:rsidRPr="00DE058F">
        <w:rPr>
          <w:rFonts w:ascii="Calibri" w:eastAsia="MS PGothic" w:hAnsi="Calibri" w:cs="Calibri"/>
          <w:b/>
          <w:bCs/>
          <w:color w:val="002060"/>
          <w:lang w:val="sr-Cyrl-CS"/>
        </w:rPr>
        <w:lastRenderedPageBreak/>
        <w:t>Табела 2</w:t>
      </w:r>
      <w:r w:rsidR="00623E62" w:rsidRPr="00DE058F">
        <w:rPr>
          <w:rFonts w:ascii="Calibri" w:eastAsia="MS PGothic" w:hAnsi="Calibri" w:cs="Calibri"/>
          <w:b/>
          <w:bCs/>
          <w:color w:val="002060"/>
          <w:lang w:val="sr-Cyrl-CS"/>
        </w:rPr>
        <w:t>0</w:t>
      </w:r>
      <w:r w:rsidRPr="00DE058F">
        <w:rPr>
          <w:rFonts w:ascii="Calibri" w:eastAsia="MS PGothic" w:hAnsi="Calibri" w:cs="Calibri"/>
          <w:b/>
          <w:bCs/>
          <w:color w:val="002060"/>
          <w:lang w:val="sr-Cyrl-CS"/>
        </w:rPr>
        <w:t xml:space="preserve">. Фискални биланс и компоненте за обрачун циклично прилагођеног биланса </w:t>
      </w:r>
      <w:r w:rsidRPr="00DE058F">
        <w:rPr>
          <w:rFonts w:ascii="Calibri" w:eastAsia="MS PGothic" w:hAnsi="Calibri" w:cs="Calibri"/>
          <w:b/>
          <w:bCs/>
          <w:color w:val="002060"/>
          <w:lang w:val="sr-Cyrl-CS"/>
        </w:rPr>
        <w:br w:type="textWrapping" w:clear="all"/>
        <w:t>у периоду 2005–2025. године, % БДП*</w:t>
      </w:r>
    </w:p>
    <w:tbl>
      <w:tblPr>
        <w:tblStyle w:val="LightShading-Accent337"/>
        <w:tblpPr w:leftFromText="180" w:rightFromText="180" w:vertAnchor="text" w:horzAnchor="margin" w:tblpXSpec="center" w:tblpY="28"/>
        <w:tblW w:w="5433" w:type="pct"/>
        <w:tblLook w:val="04A0" w:firstRow="1" w:lastRow="0" w:firstColumn="1" w:lastColumn="0" w:noHBand="0" w:noVBand="1"/>
      </w:tblPr>
      <w:tblGrid>
        <w:gridCol w:w="768"/>
        <w:gridCol w:w="1181"/>
        <w:gridCol w:w="1181"/>
        <w:gridCol w:w="1181"/>
        <w:gridCol w:w="1182"/>
        <w:gridCol w:w="1182"/>
        <w:gridCol w:w="1182"/>
        <w:gridCol w:w="1182"/>
        <w:gridCol w:w="1182"/>
      </w:tblGrid>
      <w:tr w:rsidR="00482D55" w:rsidRPr="00DE058F" w14:paraId="4B7A5DE6" w14:textId="77777777" w:rsidTr="00482D55">
        <w:trPr>
          <w:cnfStyle w:val="100000000000" w:firstRow="1" w:lastRow="0" w:firstColumn="0" w:lastColumn="0" w:oddVBand="0" w:evenVBand="0" w:oddHBand="0" w:evenHBand="0" w:firstRowFirstColumn="0" w:firstRowLastColumn="0" w:lastRowFirstColumn="0" w:lastRowLastColumn="0"/>
          <w:trHeight w:val="776"/>
        </w:trPr>
        <w:tc>
          <w:tcPr>
            <w:cnfStyle w:val="001000000000" w:firstRow="0" w:lastRow="0" w:firstColumn="1" w:lastColumn="0" w:oddVBand="0" w:evenVBand="0" w:oddHBand="0" w:evenHBand="0" w:firstRowFirstColumn="0" w:firstRowLastColumn="0" w:lastRowFirstColumn="0" w:lastRowLastColumn="0"/>
            <w:tcW w:w="376" w:type="pct"/>
            <w:tcBorders>
              <w:top w:val="single" w:sz="4" w:space="0" w:color="002060"/>
              <w:bottom w:val="single" w:sz="4" w:space="0" w:color="002060"/>
            </w:tcBorders>
            <w:noWrap/>
            <w:hideMark/>
          </w:tcPr>
          <w:p w14:paraId="17AAB27C" w14:textId="77777777" w:rsidR="00E124CF" w:rsidRPr="00DE058F" w:rsidRDefault="00E124CF" w:rsidP="00E124CF">
            <w:pPr>
              <w:spacing w:line="256" w:lineRule="auto"/>
              <w:rPr>
                <w:rFonts w:ascii="Calibri" w:eastAsia="MS PGothic" w:hAnsi="Calibri" w:cs="Calibri"/>
                <w:color w:val="002060"/>
                <w:sz w:val="18"/>
                <w:szCs w:val="18"/>
                <w:lang w:val="sr-Cyrl-CS" w:eastAsia="ja-JP"/>
              </w:rPr>
            </w:pPr>
          </w:p>
        </w:tc>
        <w:tc>
          <w:tcPr>
            <w:tcW w:w="578" w:type="pct"/>
            <w:tcBorders>
              <w:top w:val="single" w:sz="4" w:space="0" w:color="002060"/>
              <w:bottom w:val="single" w:sz="4" w:space="0" w:color="002060"/>
            </w:tcBorders>
          </w:tcPr>
          <w:p w14:paraId="0A8DEE8E" w14:textId="77777777" w:rsidR="00E124CF" w:rsidRPr="00DE058F" w:rsidRDefault="00E124CF" w:rsidP="00E124CF">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Производни јаз</w:t>
            </w:r>
          </w:p>
        </w:tc>
        <w:tc>
          <w:tcPr>
            <w:tcW w:w="578" w:type="pct"/>
            <w:tcBorders>
              <w:top w:val="single" w:sz="4" w:space="0" w:color="002060"/>
              <w:bottom w:val="single" w:sz="4" w:space="0" w:color="002060"/>
            </w:tcBorders>
            <w:hideMark/>
          </w:tcPr>
          <w:p w14:paraId="02057736" w14:textId="77777777" w:rsidR="00E124CF" w:rsidRPr="00DE058F" w:rsidRDefault="00E124CF" w:rsidP="00E124CF">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 xml:space="preserve">Фискални </w:t>
            </w:r>
            <w:r w:rsidRPr="00DE058F">
              <w:rPr>
                <w:rFonts w:ascii="Calibri" w:hAnsi="Calibri" w:cs="Calibri"/>
                <w:b w:val="0"/>
                <w:color w:val="002060"/>
                <w:sz w:val="16"/>
                <w:szCs w:val="16"/>
                <w:lang w:val="sr-Cyrl-CS"/>
              </w:rPr>
              <w:br/>
              <w:t>биланс</w:t>
            </w:r>
          </w:p>
        </w:tc>
        <w:tc>
          <w:tcPr>
            <w:tcW w:w="578" w:type="pct"/>
            <w:tcBorders>
              <w:top w:val="single" w:sz="4" w:space="0" w:color="002060"/>
              <w:bottom w:val="single" w:sz="4" w:space="0" w:color="002060"/>
            </w:tcBorders>
            <w:hideMark/>
          </w:tcPr>
          <w:p w14:paraId="26BAF9E2" w14:textId="77777777" w:rsidR="00E124CF" w:rsidRPr="00DE058F" w:rsidRDefault="00E124CF" w:rsidP="00E124CF">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Примарни фискални биланс</w:t>
            </w:r>
          </w:p>
        </w:tc>
        <w:tc>
          <w:tcPr>
            <w:tcW w:w="578" w:type="pct"/>
            <w:tcBorders>
              <w:top w:val="single" w:sz="4" w:space="0" w:color="002060"/>
              <w:bottom w:val="single" w:sz="4" w:space="0" w:color="002060"/>
            </w:tcBorders>
            <w:hideMark/>
          </w:tcPr>
          <w:p w14:paraId="6E110D78" w14:textId="77777777" w:rsidR="00E124CF" w:rsidRPr="00DE058F" w:rsidRDefault="00E124CF" w:rsidP="00E124CF">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 xml:space="preserve">Циклично </w:t>
            </w:r>
            <w:r w:rsidRPr="00DE058F">
              <w:rPr>
                <w:rFonts w:ascii="Calibri" w:hAnsi="Calibri" w:cs="Calibri"/>
                <w:b w:val="0"/>
                <w:color w:val="002060"/>
                <w:sz w:val="16"/>
                <w:szCs w:val="16"/>
                <w:lang w:val="sr-Cyrl-CS"/>
              </w:rPr>
              <w:br/>
              <w:t>прилагођени фискални биланс</w:t>
            </w:r>
          </w:p>
        </w:tc>
        <w:tc>
          <w:tcPr>
            <w:tcW w:w="578" w:type="pct"/>
            <w:tcBorders>
              <w:top w:val="single" w:sz="4" w:space="0" w:color="002060"/>
              <w:bottom w:val="single" w:sz="4" w:space="0" w:color="002060"/>
            </w:tcBorders>
            <w:hideMark/>
          </w:tcPr>
          <w:p w14:paraId="1F3EB88B" w14:textId="77777777" w:rsidR="00E124CF" w:rsidRPr="00DE058F" w:rsidRDefault="00E124CF" w:rsidP="00E124CF">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 xml:space="preserve">Циклично </w:t>
            </w:r>
            <w:r w:rsidRPr="00DE058F">
              <w:rPr>
                <w:rFonts w:ascii="Calibri" w:hAnsi="Calibri" w:cs="Calibri"/>
                <w:b w:val="0"/>
                <w:color w:val="002060"/>
                <w:sz w:val="16"/>
                <w:szCs w:val="16"/>
                <w:lang w:val="sr-Cyrl-CS"/>
              </w:rPr>
              <w:br/>
              <w:t>прилагођени примарни фискални биланс</w:t>
            </w:r>
          </w:p>
        </w:tc>
        <w:tc>
          <w:tcPr>
            <w:tcW w:w="578" w:type="pct"/>
            <w:tcBorders>
              <w:top w:val="single" w:sz="4" w:space="0" w:color="002060"/>
              <w:bottom w:val="single" w:sz="4" w:space="0" w:color="002060"/>
            </w:tcBorders>
          </w:tcPr>
          <w:p w14:paraId="443A8164" w14:textId="77777777" w:rsidR="00E124CF" w:rsidRPr="00DE058F" w:rsidRDefault="00E124CF" w:rsidP="00E124CF">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Структурни фискални биланс</w:t>
            </w:r>
          </w:p>
        </w:tc>
        <w:tc>
          <w:tcPr>
            <w:tcW w:w="578" w:type="pct"/>
            <w:tcBorders>
              <w:top w:val="single" w:sz="4" w:space="0" w:color="002060"/>
              <w:bottom w:val="single" w:sz="4" w:space="0" w:color="002060"/>
            </w:tcBorders>
            <w:hideMark/>
          </w:tcPr>
          <w:p w14:paraId="1382AB74" w14:textId="06AB8557" w:rsidR="00E124CF" w:rsidRPr="00DE058F" w:rsidRDefault="00E124CF" w:rsidP="00E124CF">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Структурни примарни фискални биланс</w:t>
            </w:r>
            <w:r w:rsidR="004B1180" w:rsidRPr="00DE058F">
              <w:rPr>
                <w:rFonts w:ascii="Calibri" w:hAnsi="Calibri" w:cs="Calibri"/>
                <w:b w:val="0"/>
                <w:color w:val="002060"/>
                <w:sz w:val="16"/>
                <w:szCs w:val="16"/>
                <w:lang w:val="sr-Cyrl-CS"/>
              </w:rPr>
              <w:t>**</w:t>
            </w:r>
          </w:p>
        </w:tc>
        <w:tc>
          <w:tcPr>
            <w:tcW w:w="578" w:type="pct"/>
            <w:tcBorders>
              <w:top w:val="single" w:sz="4" w:space="0" w:color="002060"/>
              <w:bottom w:val="single" w:sz="4" w:space="0" w:color="002060"/>
            </w:tcBorders>
            <w:hideMark/>
          </w:tcPr>
          <w:p w14:paraId="16F8379E" w14:textId="7272501F" w:rsidR="00E124CF" w:rsidRPr="00DE058F" w:rsidRDefault="00E051E5" w:rsidP="00E124CF">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Ф</w:t>
            </w:r>
            <w:r w:rsidR="00E124CF" w:rsidRPr="00DE058F">
              <w:rPr>
                <w:rFonts w:ascii="Calibri" w:hAnsi="Calibri" w:cs="Calibri"/>
                <w:b w:val="0"/>
                <w:color w:val="002060"/>
                <w:sz w:val="16"/>
                <w:szCs w:val="16"/>
                <w:lang w:val="sr-Cyrl-CS"/>
              </w:rPr>
              <w:t>искални импулс</w:t>
            </w:r>
          </w:p>
        </w:tc>
      </w:tr>
      <w:tr w:rsidR="00482D55" w:rsidRPr="00DE058F" w14:paraId="09EDFFF1" w14:textId="77777777" w:rsidTr="00482D55">
        <w:trPr>
          <w:cnfStyle w:val="000000100000" w:firstRow="0" w:lastRow="0" w:firstColumn="0" w:lastColumn="0" w:oddVBand="0" w:evenVBand="0" w:oddHBand="1" w:evenHBand="0" w:firstRowFirstColumn="0" w:firstRowLastColumn="0" w:lastRowFirstColumn="0" w:lastRowLastColumn="0"/>
          <w:trHeight w:hRule="exact" w:val="245"/>
        </w:trPr>
        <w:tc>
          <w:tcPr>
            <w:cnfStyle w:val="001000000000" w:firstRow="0" w:lastRow="0" w:firstColumn="1" w:lastColumn="0" w:oddVBand="0" w:evenVBand="0" w:oddHBand="0" w:evenHBand="0" w:firstRowFirstColumn="0" w:firstRowLastColumn="0" w:lastRowFirstColumn="0" w:lastRowLastColumn="0"/>
            <w:tcW w:w="376" w:type="pct"/>
            <w:tcBorders>
              <w:top w:val="single" w:sz="4" w:space="0" w:color="002060"/>
              <w:bottom w:val="nil"/>
            </w:tcBorders>
            <w:shd w:val="clear" w:color="auto" w:fill="FFFFFF" w:themeFill="background1"/>
            <w:noWrap/>
            <w:hideMark/>
          </w:tcPr>
          <w:p w14:paraId="30710E8E"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2005</w:t>
            </w:r>
          </w:p>
        </w:tc>
        <w:tc>
          <w:tcPr>
            <w:tcW w:w="578" w:type="pct"/>
            <w:tcBorders>
              <w:top w:val="single" w:sz="4" w:space="0" w:color="002060"/>
              <w:bottom w:val="nil"/>
            </w:tcBorders>
            <w:shd w:val="clear" w:color="auto" w:fill="FFFFFF" w:themeFill="background1"/>
          </w:tcPr>
          <w:p w14:paraId="7C483ACB"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0,0</w:t>
            </w:r>
          </w:p>
        </w:tc>
        <w:tc>
          <w:tcPr>
            <w:tcW w:w="578" w:type="pct"/>
            <w:tcBorders>
              <w:top w:val="single" w:sz="4" w:space="0" w:color="002060"/>
              <w:bottom w:val="nil"/>
            </w:tcBorders>
            <w:shd w:val="clear" w:color="auto" w:fill="FFFFFF" w:themeFill="background1"/>
            <w:hideMark/>
          </w:tcPr>
          <w:p w14:paraId="7A047C72"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1,1</w:t>
            </w:r>
          </w:p>
        </w:tc>
        <w:tc>
          <w:tcPr>
            <w:tcW w:w="578" w:type="pct"/>
            <w:tcBorders>
              <w:top w:val="single" w:sz="4" w:space="0" w:color="002060"/>
              <w:bottom w:val="nil"/>
            </w:tcBorders>
            <w:shd w:val="clear" w:color="auto" w:fill="FFFFFF" w:themeFill="background1"/>
            <w:hideMark/>
          </w:tcPr>
          <w:p w14:paraId="1927279D"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2,0</w:t>
            </w:r>
          </w:p>
        </w:tc>
        <w:tc>
          <w:tcPr>
            <w:tcW w:w="578" w:type="pct"/>
            <w:tcBorders>
              <w:top w:val="single" w:sz="4" w:space="0" w:color="002060"/>
              <w:bottom w:val="nil"/>
            </w:tcBorders>
            <w:shd w:val="clear" w:color="auto" w:fill="FFFFFF" w:themeFill="background1"/>
            <w:noWrap/>
            <w:hideMark/>
          </w:tcPr>
          <w:p w14:paraId="0E2771CD"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1,1</w:t>
            </w:r>
          </w:p>
        </w:tc>
        <w:tc>
          <w:tcPr>
            <w:tcW w:w="578" w:type="pct"/>
            <w:tcBorders>
              <w:top w:val="single" w:sz="4" w:space="0" w:color="002060"/>
              <w:bottom w:val="nil"/>
            </w:tcBorders>
            <w:shd w:val="clear" w:color="auto" w:fill="FFFFFF" w:themeFill="background1"/>
            <w:noWrap/>
            <w:hideMark/>
          </w:tcPr>
          <w:p w14:paraId="1A458F0E"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2,0</w:t>
            </w:r>
          </w:p>
        </w:tc>
        <w:tc>
          <w:tcPr>
            <w:tcW w:w="578" w:type="pct"/>
            <w:tcBorders>
              <w:top w:val="single" w:sz="4" w:space="0" w:color="002060"/>
              <w:bottom w:val="nil"/>
            </w:tcBorders>
            <w:shd w:val="clear" w:color="auto" w:fill="FFFFFF" w:themeFill="background1"/>
          </w:tcPr>
          <w:p w14:paraId="798DCDCB"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1,3</w:t>
            </w:r>
          </w:p>
        </w:tc>
        <w:tc>
          <w:tcPr>
            <w:tcW w:w="578" w:type="pct"/>
            <w:tcBorders>
              <w:top w:val="single" w:sz="4" w:space="0" w:color="002060"/>
              <w:bottom w:val="nil"/>
            </w:tcBorders>
            <w:shd w:val="clear" w:color="auto" w:fill="FFFFFF" w:themeFill="background1"/>
            <w:noWrap/>
            <w:hideMark/>
          </w:tcPr>
          <w:p w14:paraId="501CF069"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2,2</w:t>
            </w:r>
          </w:p>
        </w:tc>
        <w:tc>
          <w:tcPr>
            <w:tcW w:w="578" w:type="pct"/>
            <w:tcBorders>
              <w:top w:val="single" w:sz="4" w:space="0" w:color="002060"/>
              <w:bottom w:val="nil"/>
            </w:tcBorders>
            <w:shd w:val="clear" w:color="auto" w:fill="FFFFFF" w:themeFill="background1"/>
            <w:noWrap/>
            <w:hideMark/>
          </w:tcPr>
          <w:p w14:paraId="013FDC2B"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p>
        </w:tc>
      </w:tr>
      <w:tr w:rsidR="00482D55" w:rsidRPr="00DE058F" w14:paraId="32BF54E2" w14:textId="77777777" w:rsidTr="00482D55">
        <w:trPr>
          <w:trHeight w:hRule="exact" w:val="245"/>
        </w:trPr>
        <w:tc>
          <w:tcPr>
            <w:cnfStyle w:val="001000000000" w:firstRow="0" w:lastRow="0" w:firstColumn="1" w:lastColumn="0" w:oddVBand="0" w:evenVBand="0" w:oddHBand="0" w:evenHBand="0" w:firstRowFirstColumn="0" w:firstRowLastColumn="0" w:lastRowFirstColumn="0" w:lastRowLastColumn="0"/>
            <w:tcW w:w="376" w:type="pct"/>
            <w:tcBorders>
              <w:top w:val="nil"/>
              <w:left w:val="nil"/>
              <w:bottom w:val="nil"/>
              <w:right w:val="nil"/>
            </w:tcBorders>
            <w:shd w:val="clear" w:color="auto" w:fill="FFFFFF" w:themeFill="background1"/>
            <w:noWrap/>
            <w:hideMark/>
          </w:tcPr>
          <w:p w14:paraId="0A807B60"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2006</w:t>
            </w:r>
          </w:p>
        </w:tc>
        <w:tc>
          <w:tcPr>
            <w:tcW w:w="578" w:type="pct"/>
            <w:tcBorders>
              <w:top w:val="nil"/>
              <w:left w:val="nil"/>
              <w:bottom w:val="nil"/>
              <w:right w:val="nil"/>
            </w:tcBorders>
            <w:shd w:val="clear" w:color="auto" w:fill="FFFFFF" w:themeFill="background1"/>
          </w:tcPr>
          <w:p w14:paraId="7E09C10A"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-2,7</w:t>
            </w:r>
          </w:p>
        </w:tc>
        <w:tc>
          <w:tcPr>
            <w:tcW w:w="578" w:type="pct"/>
            <w:tcBorders>
              <w:top w:val="nil"/>
              <w:left w:val="nil"/>
              <w:bottom w:val="nil"/>
              <w:right w:val="nil"/>
            </w:tcBorders>
            <w:shd w:val="clear" w:color="auto" w:fill="FFFFFF" w:themeFill="background1"/>
            <w:hideMark/>
          </w:tcPr>
          <w:p w14:paraId="573F96CD"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-1,4</w:t>
            </w:r>
          </w:p>
        </w:tc>
        <w:tc>
          <w:tcPr>
            <w:tcW w:w="578" w:type="pct"/>
            <w:tcBorders>
              <w:top w:val="nil"/>
              <w:left w:val="nil"/>
              <w:bottom w:val="nil"/>
              <w:right w:val="nil"/>
            </w:tcBorders>
            <w:shd w:val="clear" w:color="auto" w:fill="FFFFFF" w:themeFill="background1"/>
            <w:hideMark/>
          </w:tcPr>
          <w:p w14:paraId="3D8929F0"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-0,1</w:t>
            </w:r>
          </w:p>
        </w:tc>
        <w:tc>
          <w:tcPr>
            <w:tcW w:w="578" w:type="pct"/>
            <w:tcBorders>
              <w:top w:val="nil"/>
              <w:left w:val="nil"/>
              <w:bottom w:val="nil"/>
              <w:right w:val="nil"/>
            </w:tcBorders>
            <w:shd w:val="clear" w:color="auto" w:fill="FFFFFF" w:themeFill="background1"/>
            <w:noWrap/>
            <w:hideMark/>
          </w:tcPr>
          <w:p w14:paraId="521AB281"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-0,5</w:t>
            </w:r>
          </w:p>
        </w:tc>
        <w:tc>
          <w:tcPr>
            <w:tcW w:w="578" w:type="pct"/>
            <w:tcBorders>
              <w:top w:val="nil"/>
              <w:left w:val="nil"/>
              <w:bottom w:val="nil"/>
              <w:right w:val="nil"/>
            </w:tcBorders>
            <w:shd w:val="clear" w:color="auto" w:fill="FFFFFF" w:themeFill="background1"/>
            <w:noWrap/>
            <w:hideMark/>
          </w:tcPr>
          <w:p w14:paraId="653EE24B"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0,8</w:t>
            </w:r>
          </w:p>
        </w:tc>
        <w:tc>
          <w:tcPr>
            <w:tcW w:w="578" w:type="pct"/>
            <w:tcBorders>
              <w:top w:val="nil"/>
              <w:left w:val="nil"/>
              <w:bottom w:val="nil"/>
              <w:right w:val="nil"/>
            </w:tcBorders>
            <w:shd w:val="clear" w:color="auto" w:fill="FFFFFF" w:themeFill="background1"/>
          </w:tcPr>
          <w:p w14:paraId="387C3282"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0,2</w:t>
            </w:r>
          </w:p>
        </w:tc>
        <w:tc>
          <w:tcPr>
            <w:tcW w:w="578" w:type="pct"/>
            <w:tcBorders>
              <w:top w:val="nil"/>
              <w:left w:val="nil"/>
              <w:bottom w:val="nil"/>
              <w:right w:val="nil"/>
            </w:tcBorders>
            <w:shd w:val="clear" w:color="auto" w:fill="FFFFFF" w:themeFill="background1"/>
            <w:noWrap/>
            <w:hideMark/>
          </w:tcPr>
          <w:p w14:paraId="0FAA8836"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1,5</w:t>
            </w:r>
          </w:p>
        </w:tc>
        <w:tc>
          <w:tcPr>
            <w:tcW w:w="578" w:type="pct"/>
            <w:tcBorders>
              <w:top w:val="nil"/>
              <w:left w:val="nil"/>
              <w:bottom w:val="nil"/>
              <w:right w:val="nil"/>
            </w:tcBorders>
            <w:shd w:val="clear" w:color="auto" w:fill="FFFFFF" w:themeFill="background1"/>
            <w:noWrap/>
            <w:hideMark/>
          </w:tcPr>
          <w:p w14:paraId="1C383113"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1,2</w:t>
            </w:r>
          </w:p>
        </w:tc>
      </w:tr>
      <w:tr w:rsidR="00482D55" w:rsidRPr="00DE058F" w14:paraId="35C28254" w14:textId="77777777" w:rsidTr="00482D55">
        <w:trPr>
          <w:cnfStyle w:val="000000100000" w:firstRow="0" w:lastRow="0" w:firstColumn="0" w:lastColumn="0" w:oddVBand="0" w:evenVBand="0" w:oddHBand="1" w:evenHBand="0" w:firstRowFirstColumn="0" w:firstRowLastColumn="0" w:lastRowFirstColumn="0" w:lastRowLastColumn="0"/>
          <w:trHeight w:hRule="exact" w:val="245"/>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hideMark/>
          </w:tcPr>
          <w:p w14:paraId="712837AB"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2007</w:t>
            </w:r>
          </w:p>
        </w:tc>
        <w:tc>
          <w:tcPr>
            <w:tcW w:w="578" w:type="pct"/>
            <w:tcBorders>
              <w:top w:val="nil"/>
              <w:bottom w:val="nil"/>
            </w:tcBorders>
            <w:shd w:val="clear" w:color="auto" w:fill="FFFFFF" w:themeFill="background1"/>
          </w:tcPr>
          <w:p w14:paraId="2EEC8598"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0,8</w:t>
            </w:r>
          </w:p>
        </w:tc>
        <w:tc>
          <w:tcPr>
            <w:tcW w:w="578" w:type="pct"/>
            <w:tcBorders>
              <w:top w:val="nil"/>
              <w:bottom w:val="nil"/>
            </w:tcBorders>
            <w:shd w:val="clear" w:color="auto" w:fill="FFFFFF" w:themeFill="background1"/>
            <w:hideMark/>
          </w:tcPr>
          <w:p w14:paraId="42CDF667"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-1,8</w:t>
            </w:r>
          </w:p>
        </w:tc>
        <w:tc>
          <w:tcPr>
            <w:tcW w:w="578" w:type="pct"/>
            <w:tcBorders>
              <w:top w:val="nil"/>
              <w:bottom w:val="nil"/>
            </w:tcBorders>
            <w:shd w:val="clear" w:color="auto" w:fill="FFFFFF" w:themeFill="background1"/>
            <w:hideMark/>
          </w:tcPr>
          <w:p w14:paraId="7272B39E"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-1,2</w:t>
            </w:r>
          </w:p>
        </w:tc>
        <w:tc>
          <w:tcPr>
            <w:tcW w:w="578" w:type="pct"/>
            <w:tcBorders>
              <w:top w:val="nil"/>
              <w:bottom w:val="nil"/>
            </w:tcBorders>
            <w:shd w:val="clear" w:color="auto" w:fill="FFFFFF" w:themeFill="background1"/>
            <w:hideMark/>
          </w:tcPr>
          <w:p w14:paraId="3561AB50"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-2,1</w:t>
            </w:r>
          </w:p>
        </w:tc>
        <w:tc>
          <w:tcPr>
            <w:tcW w:w="578" w:type="pct"/>
            <w:tcBorders>
              <w:top w:val="nil"/>
              <w:bottom w:val="nil"/>
            </w:tcBorders>
            <w:shd w:val="clear" w:color="auto" w:fill="FFFFFF" w:themeFill="background1"/>
            <w:noWrap/>
            <w:hideMark/>
          </w:tcPr>
          <w:p w14:paraId="7EF5D9BA"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-1,5</w:t>
            </w:r>
          </w:p>
        </w:tc>
        <w:tc>
          <w:tcPr>
            <w:tcW w:w="578" w:type="pct"/>
            <w:tcBorders>
              <w:top w:val="nil"/>
              <w:bottom w:val="nil"/>
            </w:tcBorders>
            <w:shd w:val="clear" w:color="auto" w:fill="FFFFFF" w:themeFill="background1"/>
          </w:tcPr>
          <w:p w14:paraId="38AEA138"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-1,7</w:t>
            </w:r>
          </w:p>
        </w:tc>
        <w:tc>
          <w:tcPr>
            <w:tcW w:w="578" w:type="pct"/>
            <w:tcBorders>
              <w:top w:val="nil"/>
              <w:bottom w:val="nil"/>
            </w:tcBorders>
            <w:shd w:val="clear" w:color="auto" w:fill="FFFFFF" w:themeFill="background1"/>
            <w:noWrap/>
            <w:hideMark/>
          </w:tcPr>
          <w:p w14:paraId="1E6BA382"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-1,2</w:t>
            </w:r>
          </w:p>
        </w:tc>
        <w:tc>
          <w:tcPr>
            <w:tcW w:w="578" w:type="pct"/>
            <w:tcBorders>
              <w:top w:val="nil"/>
              <w:bottom w:val="nil"/>
            </w:tcBorders>
            <w:shd w:val="clear" w:color="auto" w:fill="FFFFFF" w:themeFill="background1"/>
            <w:noWrap/>
            <w:hideMark/>
          </w:tcPr>
          <w:p w14:paraId="226C749D"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2,3</w:t>
            </w:r>
          </w:p>
        </w:tc>
      </w:tr>
      <w:tr w:rsidR="00482D55" w:rsidRPr="00DE058F" w14:paraId="448453DD" w14:textId="77777777" w:rsidTr="00482D55">
        <w:trPr>
          <w:trHeight w:hRule="exact" w:val="245"/>
        </w:trPr>
        <w:tc>
          <w:tcPr>
            <w:cnfStyle w:val="001000000000" w:firstRow="0" w:lastRow="0" w:firstColumn="1" w:lastColumn="0" w:oddVBand="0" w:evenVBand="0" w:oddHBand="0" w:evenHBand="0" w:firstRowFirstColumn="0" w:firstRowLastColumn="0" w:lastRowFirstColumn="0" w:lastRowLastColumn="0"/>
            <w:tcW w:w="376" w:type="pct"/>
            <w:tcBorders>
              <w:top w:val="nil"/>
              <w:left w:val="nil"/>
              <w:bottom w:val="nil"/>
              <w:right w:val="nil"/>
            </w:tcBorders>
            <w:shd w:val="clear" w:color="auto" w:fill="FFFFFF" w:themeFill="background1"/>
            <w:noWrap/>
            <w:hideMark/>
          </w:tcPr>
          <w:p w14:paraId="020E9B73"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2008</w:t>
            </w:r>
          </w:p>
        </w:tc>
        <w:tc>
          <w:tcPr>
            <w:tcW w:w="578" w:type="pct"/>
            <w:tcBorders>
              <w:top w:val="nil"/>
              <w:left w:val="nil"/>
              <w:bottom w:val="nil"/>
              <w:right w:val="nil"/>
            </w:tcBorders>
            <w:shd w:val="clear" w:color="auto" w:fill="FFFFFF" w:themeFill="background1"/>
          </w:tcPr>
          <w:p w14:paraId="056E3078"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4,0</w:t>
            </w:r>
          </w:p>
        </w:tc>
        <w:tc>
          <w:tcPr>
            <w:tcW w:w="578" w:type="pct"/>
            <w:tcBorders>
              <w:top w:val="nil"/>
              <w:left w:val="nil"/>
              <w:bottom w:val="nil"/>
              <w:right w:val="nil"/>
            </w:tcBorders>
            <w:shd w:val="clear" w:color="auto" w:fill="FFFFFF" w:themeFill="background1"/>
            <w:hideMark/>
          </w:tcPr>
          <w:p w14:paraId="6F462D15"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-2,5</w:t>
            </w:r>
          </w:p>
        </w:tc>
        <w:tc>
          <w:tcPr>
            <w:tcW w:w="578" w:type="pct"/>
            <w:tcBorders>
              <w:top w:val="nil"/>
              <w:left w:val="nil"/>
              <w:bottom w:val="nil"/>
              <w:right w:val="nil"/>
            </w:tcBorders>
            <w:shd w:val="clear" w:color="auto" w:fill="FFFFFF" w:themeFill="background1"/>
            <w:hideMark/>
          </w:tcPr>
          <w:p w14:paraId="723C6605"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-1,9</w:t>
            </w:r>
          </w:p>
        </w:tc>
        <w:tc>
          <w:tcPr>
            <w:tcW w:w="578" w:type="pct"/>
            <w:tcBorders>
              <w:top w:val="nil"/>
              <w:left w:val="nil"/>
              <w:bottom w:val="nil"/>
              <w:right w:val="nil"/>
            </w:tcBorders>
            <w:shd w:val="clear" w:color="auto" w:fill="FFFFFF" w:themeFill="background1"/>
            <w:hideMark/>
          </w:tcPr>
          <w:p w14:paraId="1222B200"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-3,9</w:t>
            </w:r>
          </w:p>
        </w:tc>
        <w:tc>
          <w:tcPr>
            <w:tcW w:w="578" w:type="pct"/>
            <w:tcBorders>
              <w:top w:val="nil"/>
              <w:left w:val="nil"/>
              <w:bottom w:val="nil"/>
              <w:right w:val="nil"/>
            </w:tcBorders>
            <w:shd w:val="clear" w:color="auto" w:fill="FFFFFF" w:themeFill="background1"/>
            <w:noWrap/>
            <w:hideMark/>
          </w:tcPr>
          <w:p w14:paraId="581357EE"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-3,4</w:t>
            </w:r>
          </w:p>
        </w:tc>
        <w:tc>
          <w:tcPr>
            <w:tcW w:w="578" w:type="pct"/>
            <w:tcBorders>
              <w:top w:val="nil"/>
              <w:left w:val="nil"/>
              <w:bottom w:val="nil"/>
              <w:right w:val="nil"/>
            </w:tcBorders>
            <w:shd w:val="clear" w:color="auto" w:fill="FFFFFF" w:themeFill="background1"/>
          </w:tcPr>
          <w:p w14:paraId="79212C8F"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-4,0</w:t>
            </w:r>
          </w:p>
        </w:tc>
        <w:tc>
          <w:tcPr>
            <w:tcW w:w="578" w:type="pct"/>
            <w:tcBorders>
              <w:top w:val="nil"/>
              <w:left w:val="nil"/>
              <w:bottom w:val="nil"/>
              <w:right w:val="nil"/>
            </w:tcBorders>
            <w:shd w:val="clear" w:color="auto" w:fill="FFFFFF" w:themeFill="background1"/>
            <w:noWrap/>
            <w:hideMark/>
          </w:tcPr>
          <w:p w14:paraId="08B767C2"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-3,4</w:t>
            </w:r>
          </w:p>
        </w:tc>
        <w:tc>
          <w:tcPr>
            <w:tcW w:w="578" w:type="pct"/>
            <w:tcBorders>
              <w:top w:val="nil"/>
              <w:left w:val="nil"/>
              <w:bottom w:val="nil"/>
              <w:right w:val="nil"/>
            </w:tcBorders>
            <w:shd w:val="clear" w:color="auto" w:fill="FFFFFF" w:themeFill="background1"/>
            <w:noWrap/>
            <w:hideMark/>
          </w:tcPr>
          <w:p w14:paraId="7F14300D"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1,9</w:t>
            </w:r>
          </w:p>
        </w:tc>
      </w:tr>
      <w:tr w:rsidR="00482D55" w:rsidRPr="00DE058F" w14:paraId="48F58BC2" w14:textId="77777777" w:rsidTr="00482D55">
        <w:trPr>
          <w:cnfStyle w:val="000000100000" w:firstRow="0" w:lastRow="0" w:firstColumn="0" w:lastColumn="0" w:oddVBand="0" w:evenVBand="0" w:oddHBand="1" w:evenHBand="0" w:firstRowFirstColumn="0" w:firstRowLastColumn="0" w:lastRowFirstColumn="0" w:lastRowLastColumn="0"/>
          <w:trHeight w:hRule="exact" w:val="245"/>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hideMark/>
          </w:tcPr>
          <w:p w14:paraId="239229EA"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2009</w:t>
            </w:r>
          </w:p>
        </w:tc>
        <w:tc>
          <w:tcPr>
            <w:tcW w:w="578" w:type="pct"/>
            <w:tcBorders>
              <w:top w:val="nil"/>
              <w:bottom w:val="nil"/>
            </w:tcBorders>
            <w:shd w:val="clear" w:color="auto" w:fill="FFFFFF" w:themeFill="background1"/>
          </w:tcPr>
          <w:p w14:paraId="395ECDAD"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-0,4</w:t>
            </w:r>
          </w:p>
        </w:tc>
        <w:tc>
          <w:tcPr>
            <w:tcW w:w="578" w:type="pct"/>
            <w:tcBorders>
              <w:top w:val="nil"/>
              <w:bottom w:val="nil"/>
            </w:tcBorders>
            <w:shd w:val="clear" w:color="auto" w:fill="FFFFFF" w:themeFill="background1"/>
            <w:hideMark/>
          </w:tcPr>
          <w:p w14:paraId="05052D42"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-4,2</w:t>
            </w:r>
          </w:p>
        </w:tc>
        <w:tc>
          <w:tcPr>
            <w:tcW w:w="578" w:type="pct"/>
            <w:tcBorders>
              <w:top w:val="nil"/>
              <w:bottom w:val="nil"/>
            </w:tcBorders>
            <w:shd w:val="clear" w:color="auto" w:fill="FFFFFF" w:themeFill="background1"/>
            <w:hideMark/>
          </w:tcPr>
          <w:p w14:paraId="32A5F46D"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-3,6</w:t>
            </w:r>
          </w:p>
        </w:tc>
        <w:tc>
          <w:tcPr>
            <w:tcW w:w="578" w:type="pct"/>
            <w:tcBorders>
              <w:top w:val="nil"/>
              <w:bottom w:val="nil"/>
            </w:tcBorders>
            <w:shd w:val="clear" w:color="auto" w:fill="FFFFFF" w:themeFill="background1"/>
            <w:hideMark/>
          </w:tcPr>
          <w:p w14:paraId="239EBCF6"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-4,0</w:t>
            </w:r>
          </w:p>
        </w:tc>
        <w:tc>
          <w:tcPr>
            <w:tcW w:w="578" w:type="pct"/>
            <w:tcBorders>
              <w:top w:val="nil"/>
              <w:bottom w:val="nil"/>
            </w:tcBorders>
            <w:shd w:val="clear" w:color="auto" w:fill="FFFFFF" w:themeFill="background1"/>
            <w:hideMark/>
          </w:tcPr>
          <w:p w14:paraId="1BC3E829"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-3,4</w:t>
            </w:r>
          </w:p>
        </w:tc>
        <w:tc>
          <w:tcPr>
            <w:tcW w:w="578" w:type="pct"/>
            <w:tcBorders>
              <w:top w:val="nil"/>
              <w:bottom w:val="nil"/>
            </w:tcBorders>
            <w:shd w:val="clear" w:color="auto" w:fill="FFFFFF" w:themeFill="background1"/>
          </w:tcPr>
          <w:p w14:paraId="45AE289D"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-4,1</w:t>
            </w:r>
          </w:p>
        </w:tc>
        <w:tc>
          <w:tcPr>
            <w:tcW w:w="578" w:type="pct"/>
            <w:tcBorders>
              <w:top w:val="nil"/>
              <w:bottom w:val="nil"/>
            </w:tcBorders>
            <w:shd w:val="clear" w:color="auto" w:fill="FFFFFF" w:themeFill="background1"/>
            <w:noWrap/>
            <w:hideMark/>
          </w:tcPr>
          <w:p w14:paraId="4558DFF5"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-3,5</w:t>
            </w:r>
          </w:p>
        </w:tc>
        <w:tc>
          <w:tcPr>
            <w:tcW w:w="578" w:type="pct"/>
            <w:tcBorders>
              <w:top w:val="nil"/>
              <w:bottom w:val="nil"/>
            </w:tcBorders>
            <w:shd w:val="clear" w:color="auto" w:fill="FFFFFF" w:themeFill="background1"/>
            <w:noWrap/>
            <w:hideMark/>
          </w:tcPr>
          <w:p w14:paraId="7D949A6F"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0,0</w:t>
            </w:r>
          </w:p>
        </w:tc>
      </w:tr>
      <w:tr w:rsidR="00482D55" w:rsidRPr="00DE058F" w14:paraId="2A6B8BFE" w14:textId="77777777" w:rsidTr="00482D55">
        <w:trPr>
          <w:trHeight w:hRule="exact" w:val="245"/>
        </w:trPr>
        <w:tc>
          <w:tcPr>
            <w:cnfStyle w:val="001000000000" w:firstRow="0" w:lastRow="0" w:firstColumn="1" w:lastColumn="0" w:oddVBand="0" w:evenVBand="0" w:oddHBand="0" w:evenHBand="0" w:firstRowFirstColumn="0" w:firstRowLastColumn="0" w:lastRowFirstColumn="0" w:lastRowLastColumn="0"/>
            <w:tcW w:w="376" w:type="pct"/>
            <w:tcBorders>
              <w:top w:val="nil"/>
              <w:left w:val="nil"/>
              <w:bottom w:val="nil"/>
              <w:right w:val="nil"/>
            </w:tcBorders>
            <w:shd w:val="clear" w:color="auto" w:fill="FFFFFF" w:themeFill="background1"/>
            <w:noWrap/>
          </w:tcPr>
          <w:p w14:paraId="0EFF8000"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2010</w:t>
            </w:r>
          </w:p>
          <w:p w14:paraId="7ADE3067"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p>
        </w:tc>
        <w:tc>
          <w:tcPr>
            <w:tcW w:w="578" w:type="pct"/>
            <w:tcBorders>
              <w:top w:val="nil"/>
              <w:left w:val="nil"/>
              <w:bottom w:val="nil"/>
              <w:right w:val="nil"/>
            </w:tcBorders>
            <w:shd w:val="clear" w:color="auto" w:fill="FFFFFF" w:themeFill="background1"/>
          </w:tcPr>
          <w:p w14:paraId="38F3C64C"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-0,7</w:t>
            </w:r>
          </w:p>
        </w:tc>
        <w:tc>
          <w:tcPr>
            <w:tcW w:w="578" w:type="pct"/>
            <w:tcBorders>
              <w:top w:val="nil"/>
              <w:left w:val="nil"/>
              <w:bottom w:val="nil"/>
              <w:right w:val="nil"/>
            </w:tcBorders>
            <w:shd w:val="clear" w:color="auto" w:fill="FFFFFF" w:themeFill="background1"/>
            <w:hideMark/>
          </w:tcPr>
          <w:p w14:paraId="7B0B1438"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-4,3</w:t>
            </w:r>
          </w:p>
        </w:tc>
        <w:tc>
          <w:tcPr>
            <w:tcW w:w="578" w:type="pct"/>
            <w:tcBorders>
              <w:top w:val="nil"/>
              <w:left w:val="nil"/>
              <w:bottom w:val="nil"/>
              <w:right w:val="nil"/>
            </w:tcBorders>
            <w:shd w:val="clear" w:color="auto" w:fill="FFFFFF" w:themeFill="background1"/>
            <w:hideMark/>
          </w:tcPr>
          <w:p w14:paraId="7313948A"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-3,4</w:t>
            </w:r>
          </w:p>
        </w:tc>
        <w:tc>
          <w:tcPr>
            <w:tcW w:w="578" w:type="pct"/>
            <w:tcBorders>
              <w:top w:val="nil"/>
              <w:left w:val="nil"/>
              <w:bottom w:val="nil"/>
              <w:right w:val="nil"/>
            </w:tcBorders>
            <w:shd w:val="clear" w:color="auto" w:fill="FFFFFF" w:themeFill="background1"/>
            <w:hideMark/>
          </w:tcPr>
          <w:p w14:paraId="5136570F"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-4,1</w:t>
            </w:r>
          </w:p>
        </w:tc>
        <w:tc>
          <w:tcPr>
            <w:tcW w:w="578" w:type="pct"/>
            <w:tcBorders>
              <w:top w:val="nil"/>
              <w:left w:val="nil"/>
              <w:bottom w:val="nil"/>
              <w:right w:val="nil"/>
            </w:tcBorders>
            <w:shd w:val="clear" w:color="auto" w:fill="FFFFFF" w:themeFill="background1"/>
            <w:hideMark/>
          </w:tcPr>
          <w:p w14:paraId="2CB6CE11"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-3,1</w:t>
            </w:r>
          </w:p>
        </w:tc>
        <w:tc>
          <w:tcPr>
            <w:tcW w:w="578" w:type="pct"/>
            <w:tcBorders>
              <w:top w:val="nil"/>
              <w:left w:val="nil"/>
              <w:bottom w:val="nil"/>
              <w:right w:val="nil"/>
            </w:tcBorders>
            <w:shd w:val="clear" w:color="auto" w:fill="FFFFFF" w:themeFill="background1"/>
          </w:tcPr>
          <w:p w14:paraId="7C0C2010"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-4,2</w:t>
            </w:r>
          </w:p>
        </w:tc>
        <w:tc>
          <w:tcPr>
            <w:tcW w:w="578" w:type="pct"/>
            <w:tcBorders>
              <w:top w:val="nil"/>
              <w:left w:val="nil"/>
              <w:bottom w:val="nil"/>
              <w:right w:val="nil"/>
            </w:tcBorders>
            <w:shd w:val="clear" w:color="auto" w:fill="FFFFFF" w:themeFill="background1"/>
            <w:noWrap/>
            <w:hideMark/>
          </w:tcPr>
          <w:p w14:paraId="7837075C"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-3,2</w:t>
            </w:r>
          </w:p>
        </w:tc>
        <w:tc>
          <w:tcPr>
            <w:tcW w:w="578" w:type="pct"/>
            <w:tcBorders>
              <w:top w:val="nil"/>
              <w:left w:val="nil"/>
              <w:bottom w:val="nil"/>
              <w:right w:val="nil"/>
            </w:tcBorders>
            <w:shd w:val="clear" w:color="auto" w:fill="FFFFFF" w:themeFill="background1"/>
            <w:noWrap/>
            <w:hideMark/>
          </w:tcPr>
          <w:p w14:paraId="722256DF"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-0,3</w:t>
            </w:r>
          </w:p>
        </w:tc>
      </w:tr>
      <w:tr w:rsidR="00482D55" w:rsidRPr="00DE058F" w14:paraId="24C9DBA2" w14:textId="77777777" w:rsidTr="00482D55">
        <w:trPr>
          <w:cnfStyle w:val="000000100000" w:firstRow="0" w:lastRow="0" w:firstColumn="0" w:lastColumn="0" w:oddVBand="0" w:evenVBand="0" w:oddHBand="1" w:evenHBand="0" w:firstRowFirstColumn="0" w:firstRowLastColumn="0" w:lastRowFirstColumn="0" w:lastRowLastColumn="0"/>
          <w:trHeight w:hRule="exact" w:val="245"/>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hideMark/>
          </w:tcPr>
          <w:p w14:paraId="7AE66729"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2011</w:t>
            </w:r>
          </w:p>
        </w:tc>
        <w:tc>
          <w:tcPr>
            <w:tcW w:w="578" w:type="pct"/>
            <w:tcBorders>
              <w:top w:val="nil"/>
              <w:bottom w:val="nil"/>
            </w:tcBorders>
            <w:shd w:val="clear" w:color="auto" w:fill="FFFFFF" w:themeFill="background1"/>
          </w:tcPr>
          <w:p w14:paraId="74109291"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0,5</w:t>
            </w:r>
          </w:p>
        </w:tc>
        <w:tc>
          <w:tcPr>
            <w:tcW w:w="578" w:type="pct"/>
            <w:tcBorders>
              <w:top w:val="nil"/>
              <w:bottom w:val="nil"/>
            </w:tcBorders>
            <w:shd w:val="clear" w:color="auto" w:fill="FFFFFF" w:themeFill="background1"/>
            <w:hideMark/>
          </w:tcPr>
          <w:p w14:paraId="3AD3BC7D"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-4,5</w:t>
            </w:r>
          </w:p>
        </w:tc>
        <w:tc>
          <w:tcPr>
            <w:tcW w:w="578" w:type="pct"/>
            <w:tcBorders>
              <w:top w:val="nil"/>
              <w:bottom w:val="nil"/>
            </w:tcBorders>
            <w:shd w:val="clear" w:color="auto" w:fill="FFFFFF" w:themeFill="background1"/>
            <w:hideMark/>
          </w:tcPr>
          <w:p w14:paraId="67F2CBF8"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-3,4</w:t>
            </w:r>
          </w:p>
        </w:tc>
        <w:tc>
          <w:tcPr>
            <w:tcW w:w="578" w:type="pct"/>
            <w:tcBorders>
              <w:top w:val="nil"/>
              <w:bottom w:val="nil"/>
            </w:tcBorders>
            <w:shd w:val="clear" w:color="auto" w:fill="FFFFFF" w:themeFill="background1"/>
            <w:hideMark/>
          </w:tcPr>
          <w:p w14:paraId="6887CAA6"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-4,7</w:t>
            </w:r>
          </w:p>
        </w:tc>
        <w:tc>
          <w:tcPr>
            <w:tcW w:w="578" w:type="pct"/>
            <w:tcBorders>
              <w:top w:val="nil"/>
              <w:bottom w:val="nil"/>
            </w:tcBorders>
            <w:shd w:val="clear" w:color="auto" w:fill="FFFFFF" w:themeFill="background1"/>
            <w:hideMark/>
          </w:tcPr>
          <w:p w14:paraId="3C762F2D"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-3,6</w:t>
            </w:r>
          </w:p>
        </w:tc>
        <w:tc>
          <w:tcPr>
            <w:tcW w:w="578" w:type="pct"/>
            <w:tcBorders>
              <w:top w:val="nil"/>
              <w:bottom w:val="nil"/>
            </w:tcBorders>
            <w:shd w:val="clear" w:color="auto" w:fill="FFFFFF" w:themeFill="background1"/>
          </w:tcPr>
          <w:p w14:paraId="1CFCA844"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-4,9</w:t>
            </w:r>
          </w:p>
        </w:tc>
        <w:tc>
          <w:tcPr>
            <w:tcW w:w="578" w:type="pct"/>
            <w:tcBorders>
              <w:top w:val="nil"/>
              <w:bottom w:val="nil"/>
            </w:tcBorders>
            <w:shd w:val="clear" w:color="auto" w:fill="FFFFFF" w:themeFill="background1"/>
            <w:noWrap/>
            <w:hideMark/>
          </w:tcPr>
          <w:p w14:paraId="23D00728"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-3,8</w:t>
            </w:r>
          </w:p>
        </w:tc>
        <w:tc>
          <w:tcPr>
            <w:tcW w:w="578" w:type="pct"/>
            <w:tcBorders>
              <w:top w:val="nil"/>
              <w:bottom w:val="nil"/>
            </w:tcBorders>
            <w:shd w:val="clear" w:color="auto" w:fill="FFFFFF" w:themeFill="background1"/>
            <w:noWrap/>
            <w:hideMark/>
          </w:tcPr>
          <w:p w14:paraId="7EAF43D2"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0,4</w:t>
            </w:r>
          </w:p>
        </w:tc>
      </w:tr>
      <w:tr w:rsidR="00482D55" w:rsidRPr="00DE058F" w14:paraId="131C78D7" w14:textId="77777777" w:rsidTr="00482D55">
        <w:trPr>
          <w:trHeight w:hRule="exact" w:val="245"/>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6EFB9191"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2012</w:t>
            </w:r>
          </w:p>
          <w:p w14:paraId="440C5EF6"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p>
        </w:tc>
        <w:tc>
          <w:tcPr>
            <w:tcW w:w="578" w:type="pct"/>
            <w:tcBorders>
              <w:top w:val="nil"/>
              <w:bottom w:val="nil"/>
            </w:tcBorders>
            <w:shd w:val="clear" w:color="auto" w:fill="FFFFFF" w:themeFill="background1"/>
          </w:tcPr>
          <w:p w14:paraId="29A3E3CD"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-0,8</w:t>
            </w:r>
          </w:p>
        </w:tc>
        <w:tc>
          <w:tcPr>
            <w:tcW w:w="578" w:type="pct"/>
            <w:tcBorders>
              <w:top w:val="nil"/>
              <w:bottom w:val="nil"/>
            </w:tcBorders>
            <w:shd w:val="clear" w:color="auto" w:fill="FFFFFF" w:themeFill="background1"/>
          </w:tcPr>
          <w:p w14:paraId="0F67008C"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-6,4</w:t>
            </w:r>
          </w:p>
        </w:tc>
        <w:tc>
          <w:tcPr>
            <w:tcW w:w="578" w:type="pct"/>
            <w:tcBorders>
              <w:top w:val="nil"/>
              <w:bottom w:val="nil"/>
            </w:tcBorders>
            <w:shd w:val="clear" w:color="auto" w:fill="FFFFFF" w:themeFill="background1"/>
          </w:tcPr>
          <w:p w14:paraId="7D8CC2DD"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-4,7</w:t>
            </w:r>
          </w:p>
        </w:tc>
        <w:tc>
          <w:tcPr>
            <w:tcW w:w="578" w:type="pct"/>
            <w:tcBorders>
              <w:top w:val="nil"/>
              <w:bottom w:val="nil"/>
            </w:tcBorders>
            <w:shd w:val="clear" w:color="auto" w:fill="FFFFFF" w:themeFill="background1"/>
          </w:tcPr>
          <w:p w14:paraId="1C1C877B"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-6,1</w:t>
            </w:r>
          </w:p>
        </w:tc>
        <w:tc>
          <w:tcPr>
            <w:tcW w:w="578" w:type="pct"/>
            <w:tcBorders>
              <w:top w:val="nil"/>
              <w:bottom w:val="nil"/>
            </w:tcBorders>
            <w:shd w:val="clear" w:color="auto" w:fill="FFFFFF" w:themeFill="background1"/>
          </w:tcPr>
          <w:p w14:paraId="0D864271"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-4,4</w:t>
            </w:r>
          </w:p>
        </w:tc>
        <w:tc>
          <w:tcPr>
            <w:tcW w:w="578" w:type="pct"/>
            <w:tcBorders>
              <w:top w:val="nil"/>
              <w:bottom w:val="nil"/>
            </w:tcBorders>
            <w:shd w:val="clear" w:color="auto" w:fill="FFFFFF" w:themeFill="background1"/>
          </w:tcPr>
          <w:p w14:paraId="72AFAAD6"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-6,1</w:t>
            </w:r>
          </w:p>
        </w:tc>
        <w:tc>
          <w:tcPr>
            <w:tcW w:w="578" w:type="pct"/>
            <w:tcBorders>
              <w:top w:val="nil"/>
              <w:bottom w:val="nil"/>
            </w:tcBorders>
            <w:shd w:val="clear" w:color="auto" w:fill="FFFFFF" w:themeFill="background1"/>
            <w:noWrap/>
          </w:tcPr>
          <w:p w14:paraId="5839C003"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-4,4</w:t>
            </w:r>
          </w:p>
        </w:tc>
        <w:tc>
          <w:tcPr>
            <w:tcW w:w="578" w:type="pct"/>
            <w:tcBorders>
              <w:top w:val="nil"/>
              <w:bottom w:val="nil"/>
            </w:tcBorders>
            <w:shd w:val="clear" w:color="auto" w:fill="FFFFFF" w:themeFill="background1"/>
            <w:noWrap/>
          </w:tcPr>
          <w:p w14:paraId="3A881F10"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0,9</w:t>
            </w:r>
          </w:p>
        </w:tc>
      </w:tr>
      <w:tr w:rsidR="00482D55" w:rsidRPr="00DE058F" w14:paraId="283ADA88" w14:textId="77777777" w:rsidTr="00482D55">
        <w:trPr>
          <w:cnfStyle w:val="000000100000" w:firstRow="0" w:lastRow="0" w:firstColumn="0" w:lastColumn="0" w:oddVBand="0" w:evenVBand="0" w:oddHBand="1" w:evenHBand="0" w:firstRowFirstColumn="0" w:firstRowLastColumn="0" w:lastRowFirstColumn="0" w:lastRowLastColumn="0"/>
          <w:trHeight w:hRule="exact" w:val="245"/>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46548348"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2013</w:t>
            </w:r>
          </w:p>
        </w:tc>
        <w:tc>
          <w:tcPr>
            <w:tcW w:w="578" w:type="pct"/>
            <w:tcBorders>
              <w:top w:val="nil"/>
              <w:bottom w:val="nil"/>
            </w:tcBorders>
            <w:shd w:val="clear" w:color="auto" w:fill="FFFFFF" w:themeFill="background1"/>
          </w:tcPr>
          <w:p w14:paraId="333D3D52"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1,2</w:t>
            </w:r>
          </w:p>
        </w:tc>
        <w:tc>
          <w:tcPr>
            <w:tcW w:w="578" w:type="pct"/>
            <w:tcBorders>
              <w:top w:val="nil"/>
              <w:bottom w:val="nil"/>
            </w:tcBorders>
            <w:shd w:val="clear" w:color="auto" w:fill="FFFFFF" w:themeFill="background1"/>
          </w:tcPr>
          <w:p w14:paraId="4F66364D"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-5,1</w:t>
            </w:r>
          </w:p>
        </w:tc>
        <w:tc>
          <w:tcPr>
            <w:tcW w:w="578" w:type="pct"/>
            <w:tcBorders>
              <w:top w:val="nil"/>
              <w:bottom w:val="nil"/>
            </w:tcBorders>
            <w:shd w:val="clear" w:color="auto" w:fill="FFFFFF" w:themeFill="background1"/>
          </w:tcPr>
          <w:p w14:paraId="1F3DF4B4"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-3,0</w:t>
            </w:r>
          </w:p>
        </w:tc>
        <w:tc>
          <w:tcPr>
            <w:tcW w:w="578" w:type="pct"/>
            <w:tcBorders>
              <w:top w:val="nil"/>
              <w:bottom w:val="nil"/>
            </w:tcBorders>
            <w:shd w:val="clear" w:color="auto" w:fill="FFFFFF" w:themeFill="background1"/>
          </w:tcPr>
          <w:p w14:paraId="26E150DE"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-5,6</w:t>
            </w:r>
          </w:p>
        </w:tc>
        <w:tc>
          <w:tcPr>
            <w:tcW w:w="578" w:type="pct"/>
            <w:tcBorders>
              <w:top w:val="nil"/>
              <w:bottom w:val="nil"/>
            </w:tcBorders>
            <w:shd w:val="clear" w:color="auto" w:fill="FFFFFF" w:themeFill="background1"/>
          </w:tcPr>
          <w:p w14:paraId="2CE82652"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-3,4</w:t>
            </w:r>
          </w:p>
        </w:tc>
        <w:tc>
          <w:tcPr>
            <w:tcW w:w="578" w:type="pct"/>
            <w:tcBorders>
              <w:top w:val="nil"/>
              <w:bottom w:val="nil"/>
            </w:tcBorders>
            <w:shd w:val="clear" w:color="auto" w:fill="FFFFFF" w:themeFill="background1"/>
          </w:tcPr>
          <w:p w14:paraId="6112F12D"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-5,3</w:t>
            </w:r>
          </w:p>
        </w:tc>
        <w:tc>
          <w:tcPr>
            <w:tcW w:w="578" w:type="pct"/>
            <w:tcBorders>
              <w:top w:val="nil"/>
              <w:bottom w:val="nil"/>
            </w:tcBorders>
            <w:shd w:val="clear" w:color="auto" w:fill="FFFFFF" w:themeFill="background1"/>
            <w:noWrap/>
          </w:tcPr>
          <w:p w14:paraId="2EBB3FF0"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-3,1</w:t>
            </w:r>
          </w:p>
        </w:tc>
        <w:tc>
          <w:tcPr>
            <w:tcW w:w="578" w:type="pct"/>
            <w:tcBorders>
              <w:top w:val="nil"/>
              <w:bottom w:val="nil"/>
            </w:tcBorders>
            <w:shd w:val="clear" w:color="auto" w:fill="FFFFFF" w:themeFill="background1"/>
            <w:noWrap/>
          </w:tcPr>
          <w:p w14:paraId="6090A5F0"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-1,0</w:t>
            </w:r>
          </w:p>
        </w:tc>
      </w:tr>
      <w:tr w:rsidR="00482D55" w:rsidRPr="00DE058F" w14:paraId="62F74C59" w14:textId="77777777" w:rsidTr="00482D55">
        <w:trPr>
          <w:trHeight w:hRule="exact" w:val="245"/>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74DE4DEC"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2014</w:t>
            </w:r>
          </w:p>
        </w:tc>
        <w:tc>
          <w:tcPr>
            <w:tcW w:w="578" w:type="pct"/>
            <w:tcBorders>
              <w:top w:val="nil"/>
              <w:bottom w:val="nil"/>
            </w:tcBorders>
            <w:shd w:val="clear" w:color="auto" w:fill="FFFFFF" w:themeFill="background1"/>
          </w:tcPr>
          <w:p w14:paraId="0F60519F"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-1,4</w:t>
            </w:r>
          </w:p>
        </w:tc>
        <w:tc>
          <w:tcPr>
            <w:tcW w:w="578" w:type="pct"/>
            <w:tcBorders>
              <w:top w:val="nil"/>
              <w:bottom w:val="nil"/>
            </w:tcBorders>
            <w:shd w:val="clear" w:color="auto" w:fill="FFFFFF" w:themeFill="background1"/>
          </w:tcPr>
          <w:p w14:paraId="7D27F00A"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-6,2</w:t>
            </w:r>
          </w:p>
        </w:tc>
        <w:tc>
          <w:tcPr>
            <w:tcW w:w="578" w:type="pct"/>
            <w:tcBorders>
              <w:top w:val="nil"/>
              <w:bottom w:val="nil"/>
            </w:tcBorders>
            <w:shd w:val="clear" w:color="auto" w:fill="FFFFFF" w:themeFill="background1"/>
          </w:tcPr>
          <w:p w14:paraId="0030A114"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-3,5</w:t>
            </w:r>
          </w:p>
        </w:tc>
        <w:tc>
          <w:tcPr>
            <w:tcW w:w="578" w:type="pct"/>
            <w:tcBorders>
              <w:top w:val="nil"/>
              <w:bottom w:val="nil"/>
            </w:tcBorders>
            <w:shd w:val="clear" w:color="auto" w:fill="FFFFFF" w:themeFill="background1"/>
          </w:tcPr>
          <w:p w14:paraId="64A0300A"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-5,7</w:t>
            </w:r>
          </w:p>
        </w:tc>
        <w:tc>
          <w:tcPr>
            <w:tcW w:w="578" w:type="pct"/>
            <w:tcBorders>
              <w:top w:val="nil"/>
              <w:bottom w:val="nil"/>
            </w:tcBorders>
            <w:shd w:val="clear" w:color="auto" w:fill="FFFFFF" w:themeFill="background1"/>
          </w:tcPr>
          <w:p w14:paraId="705FDD2D"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-3,0</w:t>
            </w:r>
          </w:p>
        </w:tc>
        <w:tc>
          <w:tcPr>
            <w:tcW w:w="578" w:type="pct"/>
            <w:tcBorders>
              <w:top w:val="nil"/>
              <w:bottom w:val="nil"/>
            </w:tcBorders>
            <w:shd w:val="clear" w:color="auto" w:fill="FFFFFF" w:themeFill="background1"/>
          </w:tcPr>
          <w:p w14:paraId="28B50501"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-4,8</w:t>
            </w:r>
          </w:p>
        </w:tc>
        <w:tc>
          <w:tcPr>
            <w:tcW w:w="578" w:type="pct"/>
            <w:tcBorders>
              <w:top w:val="nil"/>
              <w:bottom w:val="nil"/>
            </w:tcBorders>
            <w:shd w:val="clear" w:color="auto" w:fill="FFFFFF" w:themeFill="background1"/>
            <w:noWrap/>
          </w:tcPr>
          <w:p w14:paraId="438DC25E"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-2,2</w:t>
            </w:r>
          </w:p>
        </w:tc>
        <w:tc>
          <w:tcPr>
            <w:tcW w:w="578" w:type="pct"/>
            <w:tcBorders>
              <w:top w:val="nil"/>
              <w:bottom w:val="nil"/>
            </w:tcBorders>
            <w:shd w:val="clear" w:color="auto" w:fill="FFFFFF" w:themeFill="background1"/>
            <w:noWrap/>
          </w:tcPr>
          <w:p w14:paraId="3066632C"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-0,4</w:t>
            </w:r>
          </w:p>
        </w:tc>
      </w:tr>
      <w:tr w:rsidR="00482D55" w:rsidRPr="00DE058F" w14:paraId="7DB48E51" w14:textId="77777777" w:rsidTr="00482D55">
        <w:trPr>
          <w:cnfStyle w:val="000000100000" w:firstRow="0" w:lastRow="0" w:firstColumn="0" w:lastColumn="0" w:oddVBand="0" w:evenVBand="0" w:oddHBand="1" w:evenHBand="0" w:firstRowFirstColumn="0" w:firstRowLastColumn="0" w:lastRowFirstColumn="0" w:lastRowLastColumn="0"/>
          <w:trHeight w:hRule="exact" w:val="245"/>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4438E978"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2015</w:t>
            </w:r>
          </w:p>
        </w:tc>
        <w:tc>
          <w:tcPr>
            <w:tcW w:w="578" w:type="pct"/>
            <w:tcBorders>
              <w:top w:val="nil"/>
              <w:bottom w:val="nil"/>
            </w:tcBorders>
            <w:shd w:val="clear" w:color="auto" w:fill="FFFFFF" w:themeFill="background1"/>
          </w:tcPr>
          <w:p w14:paraId="56617317"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-1,2</w:t>
            </w:r>
          </w:p>
        </w:tc>
        <w:tc>
          <w:tcPr>
            <w:tcW w:w="578" w:type="pct"/>
            <w:tcBorders>
              <w:top w:val="nil"/>
              <w:bottom w:val="nil"/>
            </w:tcBorders>
            <w:shd w:val="clear" w:color="auto" w:fill="FFFFFF" w:themeFill="background1"/>
          </w:tcPr>
          <w:p w14:paraId="738912AB"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-3,5</w:t>
            </w:r>
          </w:p>
        </w:tc>
        <w:tc>
          <w:tcPr>
            <w:tcW w:w="578" w:type="pct"/>
            <w:tcBorders>
              <w:top w:val="nil"/>
              <w:bottom w:val="nil"/>
            </w:tcBorders>
            <w:shd w:val="clear" w:color="auto" w:fill="FFFFFF" w:themeFill="background1"/>
          </w:tcPr>
          <w:p w14:paraId="6C9E17BD"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-0,5</w:t>
            </w:r>
          </w:p>
        </w:tc>
        <w:tc>
          <w:tcPr>
            <w:tcW w:w="578" w:type="pct"/>
            <w:tcBorders>
              <w:top w:val="nil"/>
              <w:bottom w:val="nil"/>
            </w:tcBorders>
            <w:shd w:val="clear" w:color="auto" w:fill="FFFFFF" w:themeFill="background1"/>
          </w:tcPr>
          <w:p w14:paraId="0801A3FA"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-3,0</w:t>
            </w:r>
          </w:p>
        </w:tc>
        <w:tc>
          <w:tcPr>
            <w:tcW w:w="578" w:type="pct"/>
            <w:tcBorders>
              <w:top w:val="nil"/>
              <w:bottom w:val="nil"/>
            </w:tcBorders>
            <w:shd w:val="clear" w:color="auto" w:fill="FFFFFF" w:themeFill="background1"/>
          </w:tcPr>
          <w:p w14:paraId="41FC5A1A"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-0,1</w:t>
            </w:r>
          </w:p>
        </w:tc>
        <w:tc>
          <w:tcPr>
            <w:tcW w:w="578" w:type="pct"/>
            <w:tcBorders>
              <w:top w:val="nil"/>
              <w:bottom w:val="nil"/>
            </w:tcBorders>
            <w:shd w:val="clear" w:color="auto" w:fill="FFFFFF" w:themeFill="background1"/>
          </w:tcPr>
          <w:p w14:paraId="09197EB3"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-2,2</w:t>
            </w:r>
          </w:p>
        </w:tc>
        <w:tc>
          <w:tcPr>
            <w:tcW w:w="578" w:type="pct"/>
            <w:tcBorders>
              <w:top w:val="nil"/>
              <w:bottom w:val="nil"/>
            </w:tcBorders>
            <w:shd w:val="clear" w:color="auto" w:fill="FFFFFF" w:themeFill="background1"/>
            <w:noWrap/>
          </w:tcPr>
          <w:p w14:paraId="321E580B"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0,8</w:t>
            </w:r>
          </w:p>
        </w:tc>
        <w:tc>
          <w:tcPr>
            <w:tcW w:w="578" w:type="pct"/>
            <w:tcBorders>
              <w:top w:val="nil"/>
              <w:bottom w:val="nil"/>
            </w:tcBorders>
            <w:shd w:val="clear" w:color="auto" w:fill="FFFFFF" w:themeFill="background1"/>
            <w:noWrap/>
          </w:tcPr>
          <w:p w14:paraId="51246E9E"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-3,0</w:t>
            </w:r>
          </w:p>
        </w:tc>
      </w:tr>
      <w:tr w:rsidR="00482D55" w:rsidRPr="00DE058F" w14:paraId="2CC574A3" w14:textId="77777777" w:rsidTr="00482D55">
        <w:trPr>
          <w:trHeight w:hRule="exact" w:val="245"/>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12C4C159"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2016</w:t>
            </w:r>
          </w:p>
        </w:tc>
        <w:tc>
          <w:tcPr>
            <w:tcW w:w="578" w:type="pct"/>
            <w:tcBorders>
              <w:top w:val="nil"/>
              <w:bottom w:val="nil"/>
            </w:tcBorders>
            <w:shd w:val="clear" w:color="auto" w:fill="FFFFFF" w:themeFill="background1"/>
          </w:tcPr>
          <w:p w14:paraId="213A39FE"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0,0</w:t>
            </w:r>
          </w:p>
        </w:tc>
        <w:tc>
          <w:tcPr>
            <w:tcW w:w="578" w:type="pct"/>
            <w:tcBorders>
              <w:top w:val="nil"/>
              <w:bottom w:val="nil"/>
            </w:tcBorders>
            <w:shd w:val="clear" w:color="auto" w:fill="FFFFFF" w:themeFill="background1"/>
          </w:tcPr>
          <w:p w14:paraId="51CF83C3"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-1,2</w:t>
            </w:r>
          </w:p>
        </w:tc>
        <w:tc>
          <w:tcPr>
            <w:tcW w:w="578" w:type="pct"/>
            <w:tcBorders>
              <w:top w:val="nil"/>
              <w:bottom w:val="nil"/>
            </w:tcBorders>
            <w:shd w:val="clear" w:color="auto" w:fill="FFFFFF" w:themeFill="background1"/>
          </w:tcPr>
          <w:p w14:paraId="20FEBC6A"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1,7</w:t>
            </w:r>
          </w:p>
        </w:tc>
        <w:tc>
          <w:tcPr>
            <w:tcW w:w="578" w:type="pct"/>
            <w:tcBorders>
              <w:top w:val="nil"/>
              <w:bottom w:val="nil"/>
            </w:tcBorders>
            <w:shd w:val="clear" w:color="auto" w:fill="FFFFFF" w:themeFill="background1"/>
          </w:tcPr>
          <w:p w14:paraId="678EE98D"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-1,2</w:t>
            </w:r>
          </w:p>
        </w:tc>
        <w:tc>
          <w:tcPr>
            <w:tcW w:w="578" w:type="pct"/>
            <w:tcBorders>
              <w:top w:val="nil"/>
              <w:bottom w:val="nil"/>
            </w:tcBorders>
            <w:shd w:val="clear" w:color="auto" w:fill="FFFFFF" w:themeFill="background1"/>
          </w:tcPr>
          <w:p w14:paraId="70A2A527"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1,7</w:t>
            </w:r>
          </w:p>
        </w:tc>
        <w:tc>
          <w:tcPr>
            <w:tcW w:w="578" w:type="pct"/>
            <w:tcBorders>
              <w:top w:val="nil"/>
              <w:bottom w:val="nil"/>
            </w:tcBorders>
            <w:shd w:val="clear" w:color="auto" w:fill="FFFFFF" w:themeFill="background1"/>
          </w:tcPr>
          <w:p w14:paraId="2AA6CEB1"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-1,1</w:t>
            </w:r>
          </w:p>
        </w:tc>
        <w:tc>
          <w:tcPr>
            <w:tcW w:w="578" w:type="pct"/>
            <w:tcBorders>
              <w:top w:val="nil"/>
              <w:bottom w:val="nil"/>
            </w:tcBorders>
            <w:shd w:val="clear" w:color="auto" w:fill="FFFFFF" w:themeFill="background1"/>
            <w:noWrap/>
          </w:tcPr>
          <w:p w14:paraId="5C542A26"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1,8</w:t>
            </w:r>
          </w:p>
        </w:tc>
        <w:tc>
          <w:tcPr>
            <w:tcW w:w="578" w:type="pct"/>
            <w:tcBorders>
              <w:top w:val="nil"/>
              <w:bottom w:val="nil"/>
            </w:tcBorders>
            <w:shd w:val="clear" w:color="auto" w:fill="FFFFFF" w:themeFill="background1"/>
            <w:noWrap/>
          </w:tcPr>
          <w:p w14:paraId="23E1E972"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-1,8</w:t>
            </w:r>
          </w:p>
        </w:tc>
      </w:tr>
      <w:tr w:rsidR="00482D55" w:rsidRPr="00DE058F" w14:paraId="27C542F4" w14:textId="77777777" w:rsidTr="00482D55">
        <w:trPr>
          <w:cnfStyle w:val="000000100000" w:firstRow="0" w:lastRow="0" w:firstColumn="0" w:lastColumn="0" w:oddVBand="0" w:evenVBand="0" w:oddHBand="1" w:evenHBand="0" w:firstRowFirstColumn="0" w:firstRowLastColumn="0" w:lastRowFirstColumn="0" w:lastRowLastColumn="0"/>
          <w:trHeight w:hRule="exact" w:val="245"/>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2E1849DD"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2017</w:t>
            </w:r>
          </w:p>
        </w:tc>
        <w:tc>
          <w:tcPr>
            <w:tcW w:w="578" w:type="pct"/>
            <w:tcBorders>
              <w:top w:val="nil"/>
              <w:bottom w:val="nil"/>
            </w:tcBorders>
            <w:shd w:val="clear" w:color="auto" w:fill="FFFFFF" w:themeFill="background1"/>
          </w:tcPr>
          <w:p w14:paraId="74D6630C"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-0,5</w:t>
            </w:r>
          </w:p>
        </w:tc>
        <w:tc>
          <w:tcPr>
            <w:tcW w:w="578" w:type="pct"/>
            <w:tcBorders>
              <w:top w:val="nil"/>
              <w:bottom w:val="nil"/>
            </w:tcBorders>
            <w:shd w:val="clear" w:color="auto" w:fill="FFFFFF" w:themeFill="background1"/>
          </w:tcPr>
          <w:p w14:paraId="5FA2B34D"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1,1</w:t>
            </w:r>
          </w:p>
        </w:tc>
        <w:tc>
          <w:tcPr>
            <w:tcW w:w="578" w:type="pct"/>
            <w:tcBorders>
              <w:top w:val="nil"/>
              <w:bottom w:val="nil"/>
            </w:tcBorders>
            <w:shd w:val="clear" w:color="auto" w:fill="FFFFFF" w:themeFill="background1"/>
          </w:tcPr>
          <w:p w14:paraId="7FC57932"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3,6</w:t>
            </w:r>
          </w:p>
        </w:tc>
        <w:tc>
          <w:tcPr>
            <w:tcW w:w="578" w:type="pct"/>
            <w:tcBorders>
              <w:top w:val="nil"/>
              <w:bottom w:val="nil"/>
            </w:tcBorders>
            <w:shd w:val="clear" w:color="auto" w:fill="FFFFFF" w:themeFill="background1"/>
          </w:tcPr>
          <w:p w14:paraId="55C76667"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1,3</w:t>
            </w:r>
          </w:p>
        </w:tc>
        <w:tc>
          <w:tcPr>
            <w:tcW w:w="578" w:type="pct"/>
            <w:tcBorders>
              <w:top w:val="nil"/>
              <w:bottom w:val="nil"/>
            </w:tcBorders>
            <w:shd w:val="clear" w:color="auto" w:fill="FFFFFF" w:themeFill="background1"/>
          </w:tcPr>
          <w:p w14:paraId="5DB06558"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3,8</w:t>
            </w:r>
          </w:p>
        </w:tc>
        <w:tc>
          <w:tcPr>
            <w:tcW w:w="578" w:type="pct"/>
            <w:tcBorders>
              <w:top w:val="nil"/>
              <w:bottom w:val="nil"/>
            </w:tcBorders>
            <w:shd w:val="clear" w:color="auto" w:fill="FFFFFF" w:themeFill="background1"/>
          </w:tcPr>
          <w:p w14:paraId="532CB856"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1,1</w:t>
            </w:r>
          </w:p>
        </w:tc>
        <w:tc>
          <w:tcPr>
            <w:tcW w:w="578" w:type="pct"/>
            <w:tcBorders>
              <w:top w:val="nil"/>
              <w:bottom w:val="nil"/>
            </w:tcBorders>
            <w:shd w:val="clear" w:color="auto" w:fill="FFFFFF" w:themeFill="background1"/>
            <w:noWrap/>
          </w:tcPr>
          <w:p w14:paraId="75A88D23"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3,7</w:t>
            </w:r>
          </w:p>
        </w:tc>
        <w:tc>
          <w:tcPr>
            <w:tcW w:w="578" w:type="pct"/>
            <w:tcBorders>
              <w:top w:val="nil"/>
              <w:bottom w:val="nil"/>
            </w:tcBorders>
            <w:shd w:val="clear" w:color="auto" w:fill="FFFFFF" w:themeFill="background1"/>
            <w:noWrap/>
          </w:tcPr>
          <w:p w14:paraId="5E3B6602"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-2,1</w:t>
            </w:r>
          </w:p>
        </w:tc>
      </w:tr>
      <w:tr w:rsidR="00482D55" w:rsidRPr="00DE058F" w14:paraId="21063EA4" w14:textId="77777777" w:rsidTr="00482D55">
        <w:trPr>
          <w:trHeight w:hRule="exact" w:val="245"/>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55A65784"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2018</w:t>
            </w:r>
          </w:p>
        </w:tc>
        <w:tc>
          <w:tcPr>
            <w:tcW w:w="578" w:type="pct"/>
            <w:tcBorders>
              <w:top w:val="nil"/>
              <w:bottom w:val="nil"/>
            </w:tcBorders>
            <w:shd w:val="clear" w:color="auto" w:fill="FFFFFF" w:themeFill="background1"/>
          </w:tcPr>
          <w:p w14:paraId="69784ABA"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0,9</w:t>
            </w:r>
          </w:p>
        </w:tc>
        <w:tc>
          <w:tcPr>
            <w:tcW w:w="578" w:type="pct"/>
            <w:tcBorders>
              <w:top w:val="nil"/>
              <w:bottom w:val="nil"/>
            </w:tcBorders>
            <w:shd w:val="clear" w:color="auto" w:fill="FFFFFF" w:themeFill="background1"/>
          </w:tcPr>
          <w:p w14:paraId="46D7B15D"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0,6</w:t>
            </w:r>
          </w:p>
        </w:tc>
        <w:tc>
          <w:tcPr>
            <w:tcW w:w="578" w:type="pct"/>
            <w:tcBorders>
              <w:top w:val="nil"/>
              <w:bottom w:val="nil"/>
            </w:tcBorders>
            <w:shd w:val="clear" w:color="auto" w:fill="FFFFFF" w:themeFill="background1"/>
          </w:tcPr>
          <w:p w14:paraId="5BBC16EC"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2,7</w:t>
            </w:r>
          </w:p>
        </w:tc>
        <w:tc>
          <w:tcPr>
            <w:tcW w:w="578" w:type="pct"/>
            <w:tcBorders>
              <w:top w:val="nil"/>
              <w:bottom w:val="nil"/>
            </w:tcBorders>
            <w:shd w:val="clear" w:color="auto" w:fill="FFFFFF" w:themeFill="background1"/>
          </w:tcPr>
          <w:p w14:paraId="59C84947"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0,3</w:t>
            </w:r>
          </w:p>
        </w:tc>
        <w:tc>
          <w:tcPr>
            <w:tcW w:w="578" w:type="pct"/>
            <w:tcBorders>
              <w:top w:val="nil"/>
              <w:bottom w:val="nil"/>
            </w:tcBorders>
            <w:shd w:val="clear" w:color="auto" w:fill="FFFFFF" w:themeFill="background1"/>
          </w:tcPr>
          <w:p w14:paraId="73B0180F"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2,4</w:t>
            </w:r>
          </w:p>
        </w:tc>
        <w:tc>
          <w:tcPr>
            <w:tcW w:w="578" w:type="pct"/>
            <w:tcBorders>
              <w:top w:val="nil"/>
              <w:bottom w:val="nil"/>
            </w:tcBorders>
            <w:shd w:val="clear" w:color="auto" w:fill="FFFFFF" w:themeFill="background1"/>
          </w:tcPr>
          <w:p w14:paraId="4597ED89"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0,2</w:t>
            </w:r>
          </w:p>
        </w:tc>
        <w:tc>
          <w:tcPr>
            <w:tcW w:w="578" w:type="pct"/>
            <w:tcBorders>
              <w:top w:val="nil"/>
              <w:bottom w:val="nil"/>
            </w:tcBorders>
            <w:shd w:val="clear" w:color="auto" w:fill="FFFFFF" w:themeFill="background1"/>
            <w:noWrap/>
          </w:tcPr>
          <w:p w14:paraId="708084CC"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2,3</w:t>
            </w:r>
          </w:p>
        </w:tc>
        <w:tc>
          <w:tcPr>
            <w:tcW w:w="578" w:type="pct"/>
            <w:tcBorders>
              <w:top w:val="nil"/>
              <w:bottom w:val="nil"/>
            </w:tcBorders>
            <w:shd w:val="clear" w:color="auto" w:fill="FFFFFF" w:themeFill="background1"/>
            <w:noWrap/>
          </w:tcPr>
          <w:p w14:paraId="0D7372C2"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1,4</w:t>
            </w:r>
          </w:p>
        </w:tc>
      </w:tr>
      <w:tr w:rsidR="00482D55" w:rsidRPr="00DE058F" w14:paraId="455FA34F" w14:textId="77777777" w:rsidTr="00482D55">
        <w:trPr>
          <w:cnfStyle w:val="000000100000" w:firstRow="0" w:lastRow="0" w:firstColumn="0" w:lastColumn="0" w:oddVBand="0" w:evenVBand="0" w:oddHBand="1" w:evenHBand="0" w:firstRowFirstColumn="0" w:firstRowLastColumn="0" w:lastRowFirstColumn="0" w:lastRowLastColumn="0"/>
          <w:trHeight w:hRule="exact" w:val="245"/>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079DDBF8"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2019</w:t>
            </w:r>
          </w:p>
          <w:p w14:paraId="4E0C6A05"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p>
        </w:tc>
        <w:tc>
          <w:tcPr>
            <w:tcW w:w="578" w:type="pct"/>
            <w:tcBorders>
              <w:top w:val="nil"/>
              <w:bottom w:val="nil"/>
            </w:tcBorders>
            <w:shd w:val="clear" w:color="auto" w:fill="FFFFFF" w:themeFill="background1"/>
          </w:tcPr>
          <w:p w14:paraId="4D4C331C"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1,9</w:t>
            </w:r>
          </w:p>
        </w:tc>
        <w:tc>
          <w:tcPr>
            <w:tcW w:w="578" w:type="pct"/>
            <w:tcBorders>
              <w:top w:val="nil"/>
              <w:bottom w:val="nil"/>
            </w:tcBorders>
            <w:shd w:val="clear" w:color="auto" w:fill="FFFFFF" w:themeFill="background1"/>
          </w:tcPr>
          <w:p w14:paraId="7F518538"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-0,2</w:t>
            </w:r>
          </w:p>
        </w:tc>
        <w:tc>
          <w:tcPr>
            <w:tcW w:w="578" w:type="pct"/>
            <w:tcBorders>
              <w:top w:val="nil"/>
              <w:bottom w:val="nil"/>
            </w:tcBorders>
            <w:shd w:val="clear" w:color="auto" w:fill="FFFFFF" w:themeFill="background1"/>
          </w:tcPr>
          <w:p w14:paraId="7570C38E"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1,8</w:t>
            </w:r>
          </w:p>
        </w:tc>
        <w:tc>
          <w:tcPr>
            <w:tcW w:w="578" w:type="pct"/>
            <w:tcBorders>
              <w:top w:val="nil"/>
              <w:bottom w:val="nil"/>
            </w:tcBorders>
            <w:shd w:val="clear" w:color="auto" w:fill="FFFFFF" w:themeFill="background1"/>
          </w:tcPr>
          <w:p w14:paraId="020B1580"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-0,9</w:t>
            </w:r>
          </w:p>
        </w:tc>
        <w:tc>
          <w:tcPr>
            <w:tcW w:w="578" w:type="pct"/>
            <w:tcBorders>
              <w:top w:val="nil"/>
              <w:bottom w:val="nil"/>
            </w:tcBorders>
            <w:shd w:val="clear" w:color="auto" w:fill="FFFFFF" w:themeFill="background1"/>
          </w:tcPr>
          <w:p w14:paraId="7E448D2A"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1,1</w:t>
            </w:r>
          </w:p>
        </w:tc>
        <w:tc>
          <w:tcPr>
            <w:tcW w:w="578" w:type="pct"/>
            <w:tcBorders>
              <w:top w:val="nil"/>
              <w:bottom w:val="nil"/>
            </w:tcBorders>
            <w:shd w:val="clear" w:color="auto" w:fill="FFFFFF" w:themeFill="background1"/>
          </w:tcPr>
          <w:p w14:paraId="26E870E8"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-1,1</w:t>
            </w:r>
          </w:p>
        </w:tc>
        <w:tc>
          <w:tcPr>
            <w:tcW w:w="578" w:type="pct"/>
            <w:tcBorders>
              <w:top w:val="nil"/>
              <w:bottom w:val="nil"/>
            </w:tcBorders>
            <w:shd w:val="clear" w:color="auto" w:fill="FFFFFF" w:themeFill="background1"/>
            <w:noWrap/>
          </w:tcPr>
          <w:p w14:paraId="3E404D5F"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0,9</w:t>
            </w:r>
          </w:p>
        </w:tc>
        <w:tc>
          <w:tcPr>
            <w:tcW w:w="578" w:type="pct"/>
            <w:tcBorders>
              <w:top w:val="nil"/>
              <w:bottom w:val="nil"/>
            </w:tcBorders>
            <w:shd w:val="clear" w:color="auto" w:fill="FFFFFF" w:themeFill="background1"/>
            <w:noWrap/>
          </w:tcPr>
          <w:p w14:paraId="43E50E3A"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1,3</w:t>
            </w:r>
          </w:p>
        </w:tc>
      </w:tr>
      <w:tr w:rsidR="00482D55" w:rsidRPr="00DE058F" w14:paraId="588EAF6B" w14:textId="77777777" w:rsidTr="00482D55">
        <w:trPr>
          <w:trHeight w:hRule="exact" w:val="245"/>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0108D82F"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2020</w:t>
            </w:r>
          </w:p>
          <w:p w14:paraId="4B5A2551"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2021</w:t>
            </w:r>
          </w:p>
          <w:p w14:paraId="5C566EA4"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2021</w:t>
            </w:r>
          </w:p>
          <w:p w14:paraId="7ADF6330"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202</w:t>
            </w:r>
          </w:p>
        </w:tc>
        <w:tc>
          <w:tcPr>
            <w:tcW w:w="578" w:type="pct"/>
            <w:tcBorders>
              <w:top w:val="nil"/>
              <w:bottom w:val="nil"/>
            </w:tcBorders>
            <w:shd w:val="clear" w:color="auto" w:fill="FFFFFF" w:themeFill="background1"/>
          </w:tcPr>
          <w:p w14:paraId="66ED31EE"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-2,5</w:t>
            </w:r>
          </w:p>
        </w:tc>
        <w:tc>
          <w:tcPr>
            <w:tcW w:w="578" w:type="pct"/>
            <w:tcBorders>
              <w:top w:val="nil"/>
              <w:bottom w:val="nil"/>
            </w:tcBorders>
            <w:shd w:val="clear" w:color="auto" w:fill="FFFFFF" w:themeFill="background1"/>
          </w:tcPr>
          <w:p w14:paraId="34A15D4A"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-8,0</w:t>
            </w:r>
          </w:p>
        </w:tc>
        <w:tc>
          <w:tcPr>
            <w:tcW w:w="578" w:type="pct"/>
            <w:tcBorders>
              <w:top w:val="nil"/>
              <w:bottom w:val="nil"/>
            </w:tcBorders>
            <w:shd w:val="clear" w:color="auto" w:fill="FFFFFF" w:themeFill="background1"/>
          </w:tcPr>
          <w:p w14:paraId="2D84B3F4"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-6,0</w:t>
            </w:r>
          </w:p>
        </w:tc>
        <w:tc>
          <w:tcPr>
            <w:tcW w:w="578" w:type="pct"/>
            <w:tcBorders>
              <w:top w:val="nil"/>
              <w:bottom w:val="nil"/>
            </w:tcBorders>
            <w:shd w:val="clear" w:color="auto" w:fill="FFFFFF" w:themeFill="background1"/>
          </w:tcPr>
          <w:p w14:paraId="56F869D6"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-7,2</w:t>
            </w:r>
          </w:p>
        </w:tc>
        <w:tc>
          <w:tcPr>
            <w:tcW w:w="578" w:type="pct"/>
            <w:tcBorders>
              <w:top w:val="nil"/>
              <w:bottom w:val="nil"/>
            </w:tcBorders>
            <w:shd w:val="clear" w:color="auto" w:fill="FFFFFF" w:themeFill="background1"/>
          </w:tcPr>
          <w:p w14:paraId="13011A8D"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-5,2</w:t>
            </w:r>
          </w:p>
        </w:tc>
        <w:tc>
          <w:tcPr>
            <w:tcW w:w="578" w:type="pct"/>
            <w:tcBorders>
              <w:top w:val="nil"/>
              <w:bottom w:val="nil"/>
            </w:tcBorders>
            <w:shd w:val="clear" w:color="auto" w:fill="FFFFFF" w:themeFill="background1"/>
          </w:tcPr>
          <w:p w14:paraId="2C64449A"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-0,1</w:t>
            </w:r>
          </w:p>
        </w:tc>
        <w:tc>
          <w:tcPr>
            <w:tcW w:w="578" w:type="pct"/>
            <w:tcBorders>
              <w:top w:val="nil"/>
              <w:bottom w:val="nil"/>
            </w:tcBorders>
            <w:shd w:val="clear" w:color="auto" w:fill="FFFFFF" w:themeFill="background1"/>
            <w:noWrap/>
          </w:tcPr>
          <w:p w14:paraId="1DA89653"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1,9</w:t>
            </w:r>
          </w:p>
        </w:tc>
        <w:tc>
          <w:tcPr>
            <w:tcW w:w="578" w:type="pct"/>
            <w:tcBorders>
              <w:top w:val="nil"/>
              <w:bottom w:val="nil"/>
            </w:tcBorders>
            <w:shd w:val="clear" w:color="auto" w:fill="FFFFFF" w:themeFill="background1"/>
            <w:noWrap/>
          </w:tcPr>
          <w:p w14:paraId="679BA17A"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6,3</w:t>
            </w:r>
          </w:p>
        </w:tc>
      </w:tr>
      <w:tr w:rsidR="00482D55" w:rsidRPr="00DE058F" w14:paraId="303A09A6" w14:textId="77777777" w:rsidTr="00482D55">
        <w:trPr>
          <w:cnfStyle w:val="000000100000" w:firstRow="0" w:lastRow="0" w:firstColumn="0" w:lastColumn="0" w:oddVBand="0" w:evenVBand="0" w:oddHBand="1" w:evenHBand="0" w:firstRowFirstColumn="0" w:firstRowLastColumn="0" w:lastRowFirstColumn="0" w:lastRowLastColumn="0"/>
          <w:trHeight w:hRule="exact" w:val="245"/>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74EC7D80"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2021</w:t>
            </w:r>
          </w:p>
        </w:tc>
        <w:tc>
          <w:tcPr>
            <w:tcW w:w="578" w:type="pct"/>
            <w:tcBorders>
              <w:top w:val="nil"/>
              <w:bottom w:val="nil"/>
            </w:tcBorders>
            <w:shd w:val="clear" w:color="auto" w:fill="FFFFFF" w:themeFill="background1"/>
          </w:tcPr>
          <w:p w14:paraId="2F978B57"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0,8</w:t>
            </w:r>
          </w:p>
        </w:tc>
        <w:tc>
          <w:tcPr>
            <w:tcW w:w="578" w:type="pct"/>
            <w:tcBorders>
              <w:top w:val="nil"/>
              <w:bottom w:val="nil"/>
            </w:tcBorders>
            <w:shd w:val="clear" w:color="auto" w:fill="FFFFFF" w:themeFill="background1"/>
          </w:tcPr>
          <w:p w14:paraId="63C95B8D"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-4,9</w:t>
            </w:r>
          </w:p>
        </w:tc>
        <w:tc>
          <w:tcPr>
            <w:tcW w:w="578" w:type="pct"/>
            <w:tcBorders>
              <w:top w:val="nil"/>
              <w:bottom w:val="nil"/>
            </w:tcBorders>
            <w:shd w:val="clear" w:color="auto" w:fill="FFFFFF" w:themeFill="background1"/>
          </w:tcPr>
          <w:p w14:paraId="3ECA0CFC"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-2,4</w:t>
            </w:r>
          </w:p>
        </w:tc>
        <w:tc>
          <w:tcPr>
            <w:tcW w:w="578" w:type="pct"/>
            <w:tcBorders>
              <w:top w:val="nil"/>
              <w:bottom w:val="nil"/>
            </w:tcBorders>
            <w:shd w:val="clear" w:color="auto" w:fill="FFFFFF" w:themeFill="background1"/>
          </w:tcPr>
          <w:p w14:paraId="6860F470"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-5,2</w:t>
            </w:r>
          </w:p>
        </w:tc>
        <w:tc>
          <w:tcPr>
            <w:tcW w:w="578" w:type="pct"/>
            <w:tcBorders>
              <w:top w:val="nil"/>
              <w:bottom w:val="nil"/>
            </w:tcBorders>
            <w:shd w:val="clear" w:color="auto" w:fill="FFFFFF" w:themeFill="background1"/>
          </w:tcPr>
          <w:p w14:paraId="6A8E652B"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-2,7</w:t>
            </w:r>
          </w:p>
        </w:tc>
        <w:tc>
          <w:tcPr>
            <w:tcW w:w="578" w:type="pct"/>
            <w:tcBorders>
              <w:top w:val="nil"/>
              <w:bottom w:val="nil"/>
            </w:tcBorders>
            <w:shd w:val="clear" w:color="auto" w:fill="FFFFFF" w:themeFill="background1"/>
          </w:tcPr>
          <w:p w14:paraId="73CC25D1"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-1,1</w:t>
            </w:r>
          </w:p>
        </w:tc>
        <w:tc>
          <w:tcPr>
            <w:tcW w:w="578" w:type="pct"/>
            <w:tcBorders>
              <w:top w:val="nil"/>
              <w:bottom w:val="nil"/>
            </w:tcBorders>
            <w:shd w:val="clear" w:color="auto" w:fill="FFFFFF" w:themeFill="background1"/>
            <w:noWrap/>
          </w:tcPr>
          <w:p w14:paraId="79D3C526"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1,4</w:t>
            </w:r>
          </w:p>
        </w:tc>
        <w:tc>
          <w:tcPr>
            <w:tcW w:w="578" w:type="pct"/>
            <w:tcBorders>
              <w:top w:val="nil"/>
              <w:bottom w:val="nil"/>
            </w:tcBorders>
            <w:shd w:val="clear" w:color="auto" w:fill="FFFFFF" w:themeFill="background1"/>
            <w:noWrap/>
          </w:tcPr>
          <w:p w14:paraId="4C3F3751"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-2,5</w:t>
            </w:r>
          </w:p>
        </w:tc>
      </w:tr>
      <w:tr w:rsidR="00482D55" w:rsidRPr="00DE058F" w14:paraId="35FB5427" w14:textId="77777777" w:rsidTr="00482D55">
        <w:trPr>
          <w:trHeight w:hRule="exact" w:val="245"/>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3D90FC5F"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2022</w:t>
            </w:r>
          </w:p>
        </w:tc>
        <w:tc>
          <w:tcPr>
            <w:tcW w:w="578" w:type="pct"/>
            <w:tcBorders>
              <w:top w:val="nil"/>
              <w:bottom w:val="nil"/>
            </w:tcBorders>
            <w:shd w:val="clear" w:color="auto" w:fill="FFFFFF" w:themeFill="background1"/>
          </w:tcPr>
          <w:p w14:paraId="7E2EA4E5"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0,3</w:t>
            </w:r>
          </w:p>
        </w:tc>
        <w:tc>
          <w:tcPr>
            <w:tcW w:w="578" w:type="pct"/>
            <w:tcBorders>
              <w:top w:val="nil"/>
              <w:bottom w:val="nil"/>
            </w:tcBorders>
            <w:shd w:val="clear" w:color="auto" w:fill="FFFFFF" w:themeFill="background1"/>
          </w:tcPr>
          <w:p w14:paraId="5E78E3F8"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-3,0</w:t>
            </w:r>
          </w:p>
        </w:tc>
        <w:tc>
          <w:tcPr>
            <w:tcW w:w="578" w:type="pct"/>
            <w:tcBorders>
              <w:top w:val="nil"/>
              <w:bottom w:val="nil"/>
            </w:tcBorders>
            <w:shd w:val="clear" w:color="auto" w:fill="FFFFFF" w:themeFill="background1"/>
          </w:tcPr>
          <w:p w14:paraId="5ECE87D2"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-1,3</w:t>
            </w:r>
          </w:p>
        </w:tc>
        <w:tc>
          <w:tcPr>
            <w:tcW w:w="578" w:type="pct"/>
            <w:tcBorders>
              <w:top w:val="nil"/>
              <w:bottom w:val="nil"/>
            </w:tcBorders>
            <w:shd w:val="clear" w:color="auto" w:fill="FFFFFF" w:themeFill="background1"/>
          </w:tcPr>
          <w:p w14:paraId="343D5E41"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-3,1</w:t>
            </w:r>
          </w:p>
        </w:tc>
        <w:tc>
          <w:tcPr>
            <w:tcW w:w="578" w:type="pct"/>
            <w:tcBorders>
              <w:top w:val="nil"/>
              <w:bottom w:val="nil"/>
            </w:tcBorders>
            <w:shd w:val="clear" w:color="auto" w:fill="FFFFFF" w:themeFill="background1"/>
          </w:tcPr>
          <w:p w14:paraId="3155AAB9"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-1,4</w:t>
            </w:r>
          </w:p>
        </w:tc>
        <w:tc>
          <w:tcPr>
            <w:tcW w:w="578" w:type="pct"/>
            <w:tcBorders>
              <w:top w:val="nil"/>
              <w:bottom w:val="nil"/>
            </w:tcBorders>
            <w:shd w:val="clear" w:color="auto" w:fill="FFFFFF" w:themeFill="background1"/>
          </w:tcPr>
          <w:p w14:paraId="3E833D25"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-2,1</w:t>
            </w:r>
          </w:p>
        </w:tc>
        <w:tc>
          <w:tcPr>
            <w:tcW w:w="578" w:type="pct"/>
            <w:tcBorders>
              <w:top w:val="nil"/>
              <w:bottom w:val="nil"/>
            </w:tcBorders>
            <w:shd w:val="clear" w:color="auto" w:fill="FFFFFF" w:themeFill="background1"/>
            <w:noWrap/>
          </w:tcPr>
          <w:p w14:paraId="4BCD8849"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-0,4</w:t>
            </w:r>
          </w:p>
        </w:tc>
        <w:tc>
          <w:tcPr>
            <w:tcW w:w="578" w:type="pct"/>
            <w:tcBorders>
              <w:top w:val="nil"/>
              <w:bottom w:val="nil"/>
            </w:tcBorders>
            <w:shd w:val="clear" w:color="auto" w:fill="FFFFFF" w:themeFill="background1"/>
            <w:noWrap/>
          </w:tcPr>
          <w:p w14:paraId="26F23C2D"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-1,3</w:t>
            </w:r>
          </w:p>
        </w:tc>
      </w:tr>
      <w:tr w:rsidR="00482D55" w:rsidRPr="00DE058F" w14:paraId="286C8B36" w14:textId="77777777" w:rsidTr="00482D55">
        <w:trPr>
          <w:cnfStyle w:val="000000100000" w:firstRow="0" w:lastRow="0" w:firstColumn="0" w:lastColumn="0" w:oddVBand="0" w:evenVBand="0" w:oddHBand="1" w:evenHBand="0" w:firstRowFirstColumn="0" w:firstRowLastColumn="0" w:lastRowFirstColumn="0" w:lastRowLastColumn="0"/>
          <w:trHeight w:hRule="exact" w:val="245"/>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05D832CA"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2023</w:t>
            </w:r>
          </w:p>
        </w:tc>
        <w:tc>
          <w:tcPr>
            <w:tcW w:w="578" w:type="pct"/>
            <w:tcBorders>
              <w:top w:val="nil"/>
              <w:bottom w:val="nil"/>
            </w:tcBorders>
            <w:shd w:val="clear" w:color="auto" w:fill="FFFFFF" w:themeFill="background1"/>
          </w:tcPr>
          <w:p w14:paraId="522121F5"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0,1</w:t>
            </w:r>
          </w:p>
        </w:tc>
        <w:tc>
          <w:tcPr>
            <w:tcW w:w="578" w:type="pct"/>
            <w:tcBorders>
              <w:top w:val="nil"/>
              <w:bottom w:val="nil"/>
            </w:tcBorders>
            <w:shd w:val="clear" w:color="auto" w:fill="FFFFFF" w:themeFill="background1"/>
          </w:tcPr>
          <w:p w14:paraId="5C20A525"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-1,5</w:t>
            </w:r>
          </w:p>
        </w:tc>
        <w:tc>
          <w:tcPr>
            <w:tcW w:w="578" w:type="pct"/>
            <w:tcBorders>
              <w:top w:val="nil"/>
              <w:bottom w:val="nil"/>
            </w:tcBorders>
            <w:shd w:val="clear" w:color="auto" w:fill="FFFFFF" w:themeFill="background1"/>
          </w:tcPr>
          <w:p w14:paraId="6B6C60EB"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0,1</w:t>
            </w:r>
          </w:p>
        </w:tc>
        <w:tc>
          <w:tcPr>
            <w:tcW w:w="578" w:type="pct"/>
            <w:tcBorders>
              <w:top w:val="nil"/>
              <w:bottom w:val="nil"/>
            </w:tcBorders>
            <w:shd w:val="clear" w:color="auto" w:fill="FFFFFF" w:themeFill="background1"/>
          </w:tcPr>
          <w:p w14:paraId="37CF0777"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-1,5</w:t>
            </w:r>
          </w:p>
        </w:tc>
        <w:tc>
          <w:tcPr>
            <w:tcW w:w="578" w:type="pct"/>
            <w:tcBorders>
              <w:top w:val="nil"/>
              <w:bottom w:val="nil"/>
            </w:tcBorders>
            <w:shd w:val="clear" w:color="auto" w:fill="FFFFFF" w:themeFill="background1"/>
          </w:tcPr>
          <w:p w14:paraId="1C5E2FE2"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0,1</w:t>
            </w:r>
          </w:p>
        </w:tc>
        <w:tc>
          <w:tcPr>
            <w:tcW w:w="578" w:type="pct"/>
            <w:tcBorders>
              <w:top w:val="nil"/>
              <w:bottom w:val="nil"/>
            </w:tcBorders>
            <w:shd w:val="clear" w:color="auto" w:fill="FFFFFF" w:themeFill="background1"/>
          </w:tcPr>
          <w:p w14:paraId="645FA7CC"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-1,6</w:t>
            </w:r>
          </w:p>
        </w:tc>
        <w:tc>
          <w:tcPr>
            <w:tcW w:w="578" w:type="pct"/>
            <w:tcBorders>
              <w:top w:val="nil"/>
              <w:bottom w:val="nil"/>
            </w:tcBorders>
            <w:shd w:val="clear" w:color="auto" w:fill="FFFFFF" w:themeFill="background1"/>
            <w:noWrap/>
          </w:tcPr>
          <w:p w14:paraId="44B52DE0"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0,0</w:t>
            </w:r>
          </w:p>
        </w:tc>
        <w:tc>
          <w:tcPr>
            <w:tcW w:w="578" w:type="pct"/>
            <w:tcBorders>
              <w:top w:val="nil"/>
              <w:bottom w:val="nil"/>
            </w:tcBorders>
            <w:shd w:val="clear" w:color="auto" w:fill="FFFFFF" w:themeFill="background1"/>
            <w:noWrap/>
          </w:tcPr>
          <w:p w14:paraId="75ADD25F"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-1,4</w:t>
            </w:r>
          </w:p>
        </w:tc>
      </w:tr>
      <w:tr w:rsidR="00482D55" w:rsidRPr="00DE058F" w14:paraId="5503E652" w14:textId="77777777" w:rsidTr="00482D55">
        <w:trPr>
          <w:trHeight w:hRule="exact" w:val="245"/>
        </w:trPr>
        <w:tc>
          <w:tcPr>
            <w:cnfStyle w:val="001000000000" w:firstRow="0" w:lastRow="0" w:firstColumn="1" w:lastColumn="0" w:oddVBand="0" w:evenVBand="0" w:oddHBand="0" w:evenHBand="0" w:firstRowFirstColumn="0" w:firstRowLastColumn="0" w:lastRowFirstColumn="0" w:lastRowLastColumn="0"/>
            <w:tcW w:w="376" w:type="pct"/>
            <w:tcBorders>
              <w:top w:val="nil"/>
              <w:bottom w:val="nil"/>
            </w:tcBorders>
            <w:shd w:val="clear" w:color="auto" w:fill="FFFFFF" w:themeFill="background1"/>
            <w:noWrap/>
          </w:tcPr>
          <w:p w14:paraId="67256477" w14:textId="77777777" w:rsidR="00E124CF" w:rsidRPr="00DE058F" w:rsidRDefault="00E124CF" w:rsidP="00E124CF">
            <w:pPr>
              <w:shd w:val="clear" w:color="auto" w:fill="FFFFFF" w:themeFill="background1"/>
              <w:spacing w:line="276" w:lineRule="auto"/>
              <w:jc w:val="left"/>
              <w:rPr>
                <w:rFonts w:ascii="Calibri" w:hAnsi="Calibri" w:cs="Calibri"/>
                <w:color w:val="002060"/>
                <w:sz w:val="16"/>
                <w:szCs w:val="16"/>
                <w:lang w:val="sr-Cyrl-CS"/>
              </w:rPr>
            </w:pPr>
            <w:r w:rsidRPr="00DE058F">
              <w:rPr>
                <w:rFonts w:ascii="Calibri" w:hAnsi="Calibri" w:cs="Calibri"/>
                <w:b w:val="0"/>
                <w:color w:val="002060"/>
                <w:sz w:val="16"/>
                <w:szCs w:val="16"/>
                <w:lang w:val="sr-Cyrl-CS"/>
              </w:rPr>
              <w:t>2024</w:t>
            </w:r>
          </w:p>
        </w:tc>
        <w:tc>
          <w:tcPr>
            <w:tcW w:w="578" w:type="pct"/>
            <w:tcBorders>
              <w:top w:val="nil"/>
              <w:bottom w:val="nil"/>
            </w:tcBorders>
            <w:shd w:val="clear" w:color="auto" w:fill="FFFFFF" w:themeFill="background1"/>
          </w:tcPr>
          <w:p w14:paraId="208C1EDF"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-0,1</w:t>
            </w:r>
          </w:p>
        </w:tc>
        <w:tc>
          <w:tcPr>
            <w:tcW w:w="578" w:type="pct"/>
            <w:tcBorders>
              <w:top w:val="nil"/>
              <w:bottom w:val="nil"/>
            </w:tcBorders>
            <w:shd w:val="clear" w:color="auto" w:fill="FFFFFF" w:themeFill="background1"/>
          </w:tcPr>
          <w:p w14:paraId="3A890B3B"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-1,0</w:t>
            </w:r>
          </w:p>
        </w:tc>
        <w:tc>
          <w:tcPr>
            <w:tcW w:w="578" w:type="pct"/>
            <w:tcBorders>
              <w:top w:val="nil"/>
              <w:bottom w:val="nil"/>
            </w:tcBorders>
            <w:shd w:val="clear" w:color="auto" w:fill="FFFFFF" w:themeFill="background1"/>
          </w:tcPr>
          <w:p w14:paraId="3680B572"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0,6</w:t>
            </w:r>
          </w:p>
        </w:tc>
        <w:tc>
          <w:tcPr>
            <w:tcW w:w="578" w:type="pct"/>
            <w:tcBorders>
              <w:top w:val="nil"/>
              <w:bottom w:val="nil"/>
            </w:tcBorders>
            <w:shd w:val="clear" w:color="auto" w:fill="FFFFFF" w:themeFill="background1"/>
          </w:tcPr>
          <w:p w14:paraId="02BD962F"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-0,9</w:t>
            </w:r>
          </w:p>
        </w:tc>
        <w:tc>
          <w:tcPr>
            <w:tcW w:w="578" w:type="pct"/>
            <w:tcBorders>
              <w:top w:val="nil"/>
              <w:bottom w:val="nil"/>
            </w:tcBorders>
            <w:shd w:val="clear" w:color="auto" w:fill="FFFFFF" w:themeFill="background1"/>
          </w:tcPr>
          <w:p w14:paraId="3E372C4A"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0,7</w:t>
            </w:r>
          </w:p>
        </w:tc>
        <w:tc>
          <w:tcPr>
            <w:tcW w:w="578" w:type="pct"/>
            <w:tcBorders>
              <w:top w:val="nil"/>
              <w:bottom w:val="nil"/>
            </w:tcBorders>
            <w:shd w:val="clear" w:color="auto" w:fill="FFFFFF" w:themeFill="background1"/>
          </w:tcPr>
          <w:p w14:paraId="65AAFAF5"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-0,9</w:t>
            </w:r>
          </w:p>
        </w:tc>
        <w:tc>
          <w:tcPr>
            <w:tcW w:w="578" w:type="pct"/>
            <w:tcBorders>
              <w:top w:val="nil"/>
              <w:bottom w:val="nil"/>
            </w:tcBorders>
            <w:shd w:val="clear" w:color="auto" w:fill="FFFFFF" w:themeFill="background1"/>
            <w:noWrap/>
          </w:tcPr>
          <w:p w14:paraId="6B6A854F"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0,7</w:t>
            </w:r>
          </w:p>
        </w:tc>
        <w:tc>
          <w:tcPr>
            <w:tcW w:w="578" w:type="pct"/>
            <w:tcBorders>
              <w:top w:val="nil"/>
              <w:bottom w:val="nil"/>
            </w:tcBorders>
            <w:shd w:val="clear" w:color="auto" w:fill="FFFFFF" w:themeFill="background1"/>
            <w:noWrap/>
          </w:tcPr>
          <w:p w14:paraId="70890EA6" w14:textId="77777777" w:rsidR="00E124CF" w:rsidRPr="00DE058F" w:rsidRDefault="00E124CF" w:rsidP="00E124CF">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-0,6</w:t>
            </w:r>
          </w:p>
        </w:tc>
      </w:tr>
      <w:tr w:rsidR="00482D55" w:rsidRPr="00DE058F" w14:paraId="7E894E8D" w14:textId="77777777" w:rsidTr="00482D55">
        <w:trPr>
          <w:cnfStyle w:val="000000100000" w:firstRow="0" w:lastRow="0" w:firstColumn="0" w:lastColumn="0" w:oddVBand="0" w:evenVBand="0" w:oddHBand="1" w:evenHBand="0" w:firstRowFirstColumn="0" w:firstRowLastColumn="0" w:lastRowFirstColumn="0" w:lastRowLastColumn="0"/>
          <w:trHeight w:hRule="exact" w:val="245"/>
        </w:trPr>
        <w:tc>
          <w:tcPr>
            <w:cnfStyle w:val="001000000000" w:firstRow="0" w:lastRow="0" w:firstColumn="1" w:lastColumn="0" w:oddVBand="0" w:evenVBand="0" w:oddHBand="0" w:evenHBand="0" w:firstRowFirstColumn="0" w:firstRowLastColumn="0" w:lastRowFirstColumn="0" w:lastRowLastColumn="0"/>
            <w:tcW w:w="376" w:type="pct"/>
            <w:tcBorders>
              <w:top w:val="nil"/>
              <w:bottom w:val="single" w:sz="4" w:space="0" w:color="002060"/>
            </w:tcBorders>
            <w:shd w:val="clear" w:color="auto" w:fill="FFFFFF" w:themeFill="background1"/>
            <w:noWrap/>
          </w:tcPr>
          <w:p w14:paraId="11A7C6E9" w14:textId="77777777" w:rsidR="00E124CF" w:rsidRPr="00DE058F" w:rsidRDefault="00E124CF" w:rsidP="00E124CF">
            <w:pPr>
              <w:shd w:val="clear" w:color="auto" w:fill="FFFFFF" w:themeFill="background1"/>
              <w:spacing w:line="276" w:lineRule="auto"/>
              <w:jc w:val="left"/>
              <w:rPr>
                <w:rFonts w:ascii="Calibri" w:hAnsi="Calibri" w:cs="Calibri"/>
                <w:b w:val="0"/>
                <w:color w:val="002060"/>
                <w:sz w:val="16"/>
                <w:szCs w:val="16"/>
                <w:lang w:val="sr-Cyrl-CS"/>
              </w:rPr>
            </w:pPr>
            <w:r w:rsidRPr="00DE058F">
              <w:rPr>
                <w:rFonts w:ascii="Calibri" w:hAnsi="Calibri" w:cs="Calibri"/>
                <w:b w:val="0"/>
                <w:color w:val="002060"/>
                <w:sz w:val="16"/>
                <w:szCs w:val="16"/>
                <w:lang w:val="sr-Cyrl-CS"/>
              </w:rPr>
              <w:t>2025</w:t>
            </w:r>
          </w:p>
          <w:p w14:paraId="6C869A6E" w14:textId="77777777" w:rsidR="00E124CF" w:rsidRPr="00DE058F" w:rsidRDefault="00E124CF" w:rsidP="00E124CF">
            <w:pPr>
              <w:shd w:val="clear" w:color="auto" w:fill="FFFFFF" w:themeFill="background1"/>
              <w:spacing w:line="276" w:lineRule="auto"/>
              <w:jc w:val="left"/>
              <w:rPr>
                <w:rFonts w:ascii="Calibri" w:hAnsi="Calibri" w:cs="Calibri"/>
                <w:color w:val="002060"/>
                <w:sz w:val="16"/>
                <w:szCs w:val="16"/>
                <w:lang w:val="sr-Cyrl-CS"/>
              </w:rPr>
            </w:pPr>
          </w:p>
        </w:tc>
        <w:tc>
          <w:tcPr>
            <w:tcW w:w="578" w:type="pct"/>
            <w:tcBorders>
              <w:top w:val="nil"/>
              <w:bottom w:val="single" w:sz="4" w:space="0" w:color="002060"/>
            </w:tcBorders>
            <w:shd w:val="clear" w:color="auto" w:fill="FFFFFF" w:themeFill="background1"/>
          </w:tcPr>
          <w:p w14:paraId="02DF5A3D"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0,0</w:t>
            </w:r>
          </w:p>
        </w:tc>
        <w:tc>
          <w:tcPr>
            <w:tcW w:w="578" w:type="pct"/>
            <w:tcBorders>
              <w:top w:val="nil"/>
              <w:bottom w:val="single" w:sz="4" w:space="0" w:color="002060"/>
            </w:tcBorders>
            <w:shd w:val="clear" w:color="auto" w:fill="FFFFFF" w:themeFill="background1"/>
          </w:tcPr>
          <w:p w14:paraId="4D957568"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-0,5</w:t>
            </w:r>
          </w:p>
        </w:tc>
        <w:tc>
          <w:tcPr>
            <w:tcW w:w="578" w:type="pct"/>
            <w:tcBorders>
              <w:top w:val="nil"/>
              <w:bottom w:val="single" w:sz="4" w:space="0" w:color="002060"/>
            </w:tcBorders>
            <w:shd w:val="clear" w:color="auto" w:fill="FFFFFF" w:themeFill="background1"/>
          </w:tcPr>
          <w:p w14:paraId="79C5E6CE"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1,1</w:t>
            </w:r>
          </w:p>
        </w:tc>
        <w:tc>
          <w:tcPr>
            <w:tcW w:w="578" w:type="pct"/>
            <w:tcBorders>
              <w:top w:val="nil"/>
              <w:bottom w:val="single" w:sz="4" w:space="0" w:color="002060"/>
            </w:tcBorders>
            <w:shd w:val="clear" w:color="auto" w:fill="FFFFFF" w:themeFill="background1"/>
          </w:tcPr>
          <w:p w14:paraId="38345D61"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-0,5</w:t>
            </w:r>
          </w:p>
        </w:tc>
        <w:tc>
          <w:tcPr>
            <w:tcW w:w="578" w:type="pct"/>
            <w:tcBorders>
              <w:top w:val="nil"/>
              <w:bottom w:val="single" w:sz="4" w:space="0" w:color="002060"/>
            </w:tcBorders>
            <w:shd w:val="clear" w:color="auto" w:fill="FFFFFF" w:themeFill="background1"/>
          </w:tcPr>
          <w:p w14:paraId="4BEF257C"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1,1</w:t>
            </w:r>
          </w:p>
        </w:tc>
        <w:tc>
          <w:tcPr>
            <w:tcW w:w="578" w:type="pct"/>
            <w:tcBorders>
              <w:top w:val="nil"/>
              <w:bottom w:val="single" w:sz="4" w:space="0" w:color="002060"/>
            </w:tcBorders>
            <w:shd w:val="clear" w:color="auto" w:fill="FFFFFF" w:themeFill="background1"/>
          </w:tcPr>
          <w:p w14:paraId="307DD852"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-0,5</w:t>
            </w:r>
          </w:p>
        </w:tc>
        <w:tc>
          <w:tcPr>
            <w:tcW w:w="578" w:type="pct"/>
            <w:tcBorders>
              <w:top w:val="nil"/>
              <w:bottom w:val="single" w:sz="4" w:space="0" w:color="002060"/>
            </w:tcBorders>
            <w:shd w:val="clear" w:color="auto" w:fill="FFFFFF" w:themeFill="background1"/>
            <w:noWrap/>
          </w:tcPr>
          <w:p w14:paraId="66E08632"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1,1</w:t>
            </w:r>
          </w:p>
        </w:tc>
        <w:tc>
          <w:tcPr>
            <w:tcW w:w="578" w:type="pct"/>
            <w:tcBorders>
              <w:top w:val="nil"/>
              <w:bottom w:val="single" w:sz="4" w:space="0" w:color="002060"/>
            </w:tcBorders>
            <w:shd w:val="clear" w:color="auto" w:fill="FFFFFF" w:themeFill="background1"/>
            <w:noWrap/>
          </w:tcPr>
          <w:p w14:paraId="4E892626" w14:textId="77777777" w:rsidR="00E124CF" w:rsidRPr="00DE058F" w:rsidRDefault="00E124CF" w:rsidP="00E124CF">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6"/>
                <w:szCs w:val="16"/>
                <w:lang w:val="sr-Cyrl-CS"/>
              </w:rPr>
            </w:pPr>
            <w:r w:rsidRPr="00DE058F">
              <w:rPr>
                <w:rFonts w:ascii="Calibri" w:hAnsi="Calibri" w:cs="Calibri"/>
                <w:color w:val="002060"/>
                <w:sz w:val="16"/>
                <w:szCs w:val="16"/>
                <w:lang w:val="sr-Cyrl-CS"/>
              </w:rPr>
              <w:t>-0,4</w:t>
            </w:r>
          </w:p>
        </w:tc>
      </w:tr>
    </w:tbl>
    <w:p w14:paraId="749773C0" w14:textId="7E081607" w:rsidR="00E124CF" w:rsidRPr="00DE058F" w:rsidRDefault="00E124CF" w:rsidP="00E124CF">
      <w:pPr>
        <w:shd w:val="clear" w:color="auto" w:fill="FFFFFF" w:themeFill="background1"/>
        <w:spacing w:before="40" w:after="0" w:line="276" w:lineRule="auto"/>
        <w:rPr>
          <w:rFonts w:ascii="Calibri" w:eastAsia="MS PGothic" w:hAnsi="Calibri" w:cs="Calibri"/>
          <w:sz w:val="16"/>
          <w:szCs w:val="16"/>
          <w:lang w:val="sr-Cyrl-CS" w:eastAsia="ja-JP"/>
        </w:rPr>
      </w:pPr>
      <w:r w:rsidRPr="00DE058F">
        <w:rPr>
          <w:rFonts w:ascii="Calibri" w:eastAsia="MS PGothic" w:hAnsi="Calibri" w:cs="Calibri"/>
          <w:bCs/>
          <w:sz w:val="16"/>
          <w:szCs w:val="16"/>
          <w:lang w:val="sr-Cyrl-CS" w:eastAsia="ja-JP"/>
        </w:rPr>
        <w:t xml:space="preserve">* </w:t>
      </w:r>
      <w:r w:rsidRPr="00DE058F">
        <w:rPr>
          <w:rFonts w:ascii="Calibri" w:eastAsia="MS PGothic" w:hAnsi="Calibri" w:cs="Calibri"/>
          <w:sz w:val="16"/>
          <w:szCs w:val="16"/>
          <w:lang w:val="sr-Cyrl-CS" w:eastAsia="ja-JP"/>
        </w:rPr>
        <w:t xml:space="preserve">За период </w:t>
      </w:r>
      <w:r w:rsidR="004B1180" w:rsidRPr="00DE058F">
        <w:rPr>
          <w:rFonts w:ascii="Calibri" w:eastAsia="MS PGothic" w:hAnsi="Calibri" w:cs="Calibri"/>
          <w:sz w:val="16"/>
          <w:szCs w:val="16"/>
          <w:lang w:val="sr-Cyrl-CS" w:eastAsia="ja-JP"/>
        </w:rPr>
        <w:t>2022</w:t>
      </w:r>
      <w:r w:rsidRPr="00DE058F">
        <w:rPr>
          <w:rFonts w:ascii="Calibri" w:eastAsia="MS PGothic" w:hAnsi="Calibri" w:cs="Calibri"/>
          <w:sz w:val="16"/>
          <w:szCs w:val="16"/>
          <w:lang w:val="sr-Cyrl-CS" w:eastAsia="ja-JP"/>
        </w:rPr>
        <w:t>–2025. године приказане су пројектоване вредности.</w:t>
      </w:r>
    </w:p>
    <w:p w14:paraId="714088C1" w14:textId="77777777" w:rsidR="00E124CF" w:rsidRPr="00DE058F" w:rsidRDefault="00E124CF" w:rsidP="00E124CF">
      <w:pPr>
        <w:shd w:val="clear" w:color="auto" w:fill="FFFFFF" w:themeFill="background1"/>
        <w:spacing w:after="0" w:line="276" w:lineRule="auto"/>
        <w:rPr>
          <w:rFonts w:ascii="Calibri" w:eastAsia="MS PGothic" w:hAnsi="Calibri" w:cs="Calibri"/>
          <w:sz w:val="16"/>
          <w:szCs w:val="16"/>
          <w:lang w:val="sr-Cyrl-CS" w:eastAsia="ja-JP"/>
        </w:rPr>
      </w:pPr>
      <w:r w:rsidRPr="00DE058F">
        <w:rPr>
          <w:rFonts w:ascii="Calibri" w:eastAsia="MS PGothic" w:hAnsi="Calibri" w:cs="Calibri"/>
          <w:bCs/>
          <w:sz w:val="16"/>
          <w:szCs w:val="16"/>
          <w:lang w:val="sr-Cyrl-CS" w:eastAsia="ja-JP"/>
        </w:rPr>
        <w:t>** Структурни примарни биланс добијен је искључивањем процењених једнократних прихода и расхода</w:t>
      </w:r>
      <w:r w:rsidRPr="00DE058F">
        <w:rPr>
          <w:rFonts w:ascii="Calibri" w:eastAsia="MS PGothic" w:hAnsi="Calibri" w:cs="Calibri"/>
          <w:sz w:val="16"/>
          <w:szCs w:val="16"/>
          <w:lang w:val="sr-Cyrl-CS" w:eastAsia="ja-JP"/>
        </w:rPr>
        <w:t>. Резултати који приказују промену структурног примарног дефицита не искључују експлицитно ефекте повећања ефикасности наплате прихода, па се оцена структурног прилагођавања у 2015. и 2016. години делимично разликује од претходно приказаних ефеката.</w:t>
      </w:r>
    </w:p>
    <w:p w14:paraId="53CB45A1" w14:textId="77777777" w:rsidR="00E124CF" w:rsidRPr="00DE058F" w:rsidRDefault="00E124CF" w:rsidP="00E124CF">
      <w:pPr>
        <w:spacing w:after="120" w:line="276" w:lineRule="auto"/>
        <w:rPr>
          <w:rFonts w:ascii="Calibri" w:eastAsia="Calibri" w:hAnsi="Calibri" w:cs="Calibri"/>
          <w:sz w:val="16"/>
          <w:szCs w:val="16"/>
          <w:lang w:val="sr-Cyrl-CS"/>
        </w:rPr>
      </w:pPr>
      <w:r w:rsidRPr="00DE058F">
        <w:rPr>
          <w:rFonts w:ascii="Calibri" w:eastAsia="Calibri" w:hAnsi="Calibri" w:cs="Calibri"/>
          <w:sz w:val="16"/>
          <w:szCs w:val="16"/>
          <w:lang w:val="sr-Cyrl-CS"/>
        </w:rPr>
        <w:t xml:space="preserve">Извор: </w:t>
      </w:r>
      <w:r w:rsidRPr="00DE058F">
        <w:rPr>
          <w:rFonts w:ascii="Calibri" w:eastAsia="Calibri" w:hAnsi="Calibri" w:cs="Calibri"/>
          <w:sz w:val="16"/>
          <w:szCs w:val="20"/>
          <w:lang w:val="sr-Cyrl-CS"/>
        </w:rPr>
        <w:t>Министарство финансија</w:t>
      </w:r>
    </w:p>
    <w:p w14:paraId="383B1285" w14:textId="77777777" w:rsidR="00E124CF" w:rsidRPr="00DE058F" w:rsidRDefault="00E124CF" w:rsidP="00E124CF">
      <w:pPr>
        <w:spacing w:after="0" w:line="276" w:lineRule="auto"/>
        <w:rPr>
          <w:rFonts w:ascii="Calibri" w:eastAsia="MS PGothic" w:hAnsi="Calibri" w:cs="Calibri"/>
          <w:b/>
          <w:szCs w:val="20"/>
          <w:lang w:val="sr-Cyrl-CS" w:eastAsia="ja-JP"/>
        </w:rPr>
        <w:sectPr w:rsidR="00E124CF" w:rsidRPr="00DE058F" w:rsidSect="00AE40EB">
          <w:type w:val="continuous"/>
          <w:pgSz w:w="12240" w:h="15840" w:code="1"/>
          <w:pgMar w:top="1417" w:right="1417" w:bottom="1417" w:left="1417" w:header="720" w:footer="720" w:gutter="0"/>
          <w:cols w:space="720"/>
        </w:sectPr>
      </w:pPr>
    </w:p>
    <w:p w14:paraId="4D425AC6" w14:textId="77777777" w:rsidR="00E124CF" w:rsidRPr="00DE058F" w:rsidRDefault="00E124CF" w:rsidP="00E124CF">
      <w:pPr>
        <w:spacing w:after="120"/>
        <w:rPr>
          <w:rFonts w:ascii="Calibri" w:eastAsia="Calibri" w:hAnsi="Calibri" w:cs="Calibri"/>
          <w:spacing w:val="-2"/>
          <w:szCs w:val="20"/>
          <w:lang w:val="sr-Cyrl-CS"/>
        </w:rPr>
      </w:pPr>
      <w:r w:rsidRPr="00DE058F">
        <w:rPr>
          <w:rFonts w:ascii="Calibri" w:eastAsia="Calibri" w:hAnsi="Calibri" w:cs="Calibri"/>
          <w:spacing w:val="-2"/>
          <w:szCs w:val="20"/>
          <w:lang w:val="sr-Cyrl-CS"/>
        </w:rPr>
        <w:t>Одговор фискалне политике на сложену економску ситуацију узроковану пандемијом коронавируса у 2020. години, представљен је опсежним пакетом мера помоћи привреди. Оцењено је да је директан утицај овог економског пакета на цикличну позицију земље износио преко 7% БДП, при чему</w:t>
      </w:r>
      <w:r w:rsidRPr="00DE058F">
        <w:rPr>
          <w:rFonts w:ascii="Calibri" w:eastAsia="Calibri" w:hAnsi="Calibri" w:cs="Calibri"/>
          <w:color w:val="FF0000"/>
          <w:spacing w:val="-2"/>
          <w:szCs w:val="20"/>
          <w:lang w:val="sr-Cyrl-CS"/>
        </w:rPr>
        <w:t xml:space="preserve"> </w:t>
      </w:r>
      <w:r w:rsidRPr="00DE058F">
        <w:rPr>
          <w:rFonts w:ascii="Calibri" w:eastAsia="Calibri" w:hAnsi="Calibri" w:cs="Calibri"/>
          <w:spacing w:val="-2"/>
          <w:szCs w:val="20"/>
          <w:lang w:val="sr-Cyrl-CS"/>
        </w:rPr>
        <w:t xml:space="preserve">негативан производни јаз достиже 2,5% БДП. У случају одсуства мера подршке привреди и становништву пад БДП у 2020. години био би знатно већи, а већа контракција привреде би утицала на знатно спорији опоравак у наредном средњорочном периоду. Оцењена негативна циклична компонента фискалног резултата у 2020. години износила је само 0,9% БДП. Иако циклична анализа фискалног резултата наговештава да би уштеде настале неспровођењем пакета мера надмашиле фискалне губитке услед већег пада </w:t>
      </w:r>
      <w:r w:rsidRPr="00DE058F">
        <w:rPr>
          <w:rFonts w:ascii="Calibri" w:eastAsia="Calibri" w:hAnsi="Calibri" w:cs="Calibri"/>
          <w:spacing w:val="-2"/>
          <w:szCs w:val="20"/>
          <w:lang w:val="sr-Cyrl-CS"/>
        </w:rPr>
        <w:t>БДП, дугорочни негативни ефекти губитка производних потенцијала и људских ресурса би били немерљиво већи.</w:t>
      </w:r>
    </w:p>
    <w:p w14:paraId="05A12B56" w14:textId="1FF6FE95" w:rsidR="00E124CF" w:rsidRPr="00DE058F" w:rsidRDefault="00E124CF" w:rsidP="00E124CF">
      <w:pPr>
        <w:spacing w:after="120"/>
        <w:rPr>
          <w:rFonts w:ascii="Calibri" w:eastAsia="Calibri" w:hAnsi="Calibri" w:cs="Calibri"/>
          <w:szCs w:val="20"/>
          <w:lang w:val="sr-Cyrl-CS"/>
        </w:rPr>
      </w:pPr>
      <w:r w:rsidRPr="00DE058F">
        <w:rPr>
          <w:rFonts w:ascii="Calibri" w:eastAsia="Calibri" w:hAnsi="Calibri" w:cs="Calibri"/>
          <w:szCs w:val="20"/>
          <w:lang w:val="sr-Cyrl-CS"/>
        </w:rPr>
        <w:t>Услед продуженог епидемиолошког и ек</w:t>
      </w:r>
      <w:r w:rsidR="003213AE" w:rsidRPr="00DE058F">
        <w:rPr>
          <w:rFonts w:ascii="Calibri" w:eastAsia="Calibri" w:hAnsi="Calibri" w:cs="Calibri"/>
          <w:szCs w:val="20"/>
          <w:lang w:val="sr-Cyrl-CS"/>
        </w:rPr>
        <w:t>ономског дејства пандемије COVID</w:t>
      </w:r>
      <w:r w:rsidRPr="00DE058F">
        <w:rPr>
          <w:rFonts w:ascii="Calibri" w:eastAsia="Calibri" w:hAnsi="Calibri" w:cs="Calibri"/>
          <w:szCs w:val="20"/>
          <w:lang w:val="sr-Cyrl-CS"/>
        </w:rPr>
        <w:t>-19 и током 2021. године, било је неопходно донети додатни пакет мера економске подршке привреди и становништву. Реализована су средства у висини од 2,8% БДП, као вид подршке привреди и грађанима за лакше превазилажење економских последица пандемије. Акценат је стављен на секторе који су посебно погођени мерама епидемиолошке заштите становништва. Као и у претходном пакету мера, предвиђена су средства подршке становништву, која ће дати додатни стимуланс агрегатној тражњи.</w:t>
      </w:r>
    </w:p>
    <w:p w14:paraId="130827B6" w14:textId="77777777" w:rsidR="00E124CF" w:rsidRPr="00DE058F" w:rsidRDefault="00E124CF" w:rsidP="00E124CF">
      <w:pPr>
        <w:rPr>
          <w:rFonts w:ascii="Calibri" w:eastAsia="Calibri" w:hAnsi="Calibri" w:cs="Calibri"/>
          <w:szCs w:val="20"/>
          <w:lang w:val="sr-Cyrl-CS"/>
        </w:rPr>
        <w:sectPr w:rsidR="00E124CF" w:rsidRPr="00DE058F" w:rsidSect="00AE40EB">
          <w:type w:val="continuous"/>
          <w:pgSz w:w="12240" w:h="15840" w:code="1"/>
          <w:pgMar w:top="1417" w:right="1417" w:bottom="1417" w:left="1417" w:header="720" w:footer="720" w:gutter="0"/>
          <w:cols w:num="2" w:space="720"/>
        </w:sectPr>
      </w:pPr>
    </w:p>
    <w:p w14:paraId="3AE81DB3" w14:textId="77777777" w:rsidR="00E124CF" w:rsidRPr="00DE058F" w:rsidRDefault="00E124CF" w:rsidP="00E124CF">
      <w:pPr>
        <w:spacing w:after="0" w:line="240" w:lineRule="auto"/>
        <w:rPr>
          <w:rFonts w:cstheme="minorHAnsi"/>
          <w:b/>
          <w:color w:val="002060"/>
          <w:lang w:val="sr-Cyrl-CS"/>
        </w:rPr>
        <w:sectPr w:rsidR="00E124CF" w:rsidRPr="00DE058F" w:rsidSect="00AE40EB">
          <w:type w:val="continuous"/>
          <w:pgSz w:w="12240" w:h="15840" w:code="1"/>
          <w:pgMar w:top="1417" w:right="1417" w:bottom="1417" w:left="1417" w:header="720" w:footer="720" w:gutter="0"/>
          <w:cols w:space="720"/>
        </w:sectPr>
      </w:pPr>
    </w:p>
    <w:p w14:paraId="75C838C9" w14:textId="77777777" w:rsidR="00E124CF" w:rsidRPr="00DE058F" w:rsidRDefault="00E124CF" w:rsidP="00E124CF">
      <w:pPr>
        <w:spacing w:after="0"/>
        <w:jc w:val="center"/>
        <w:rPr>
          <w:lang w:val="sr-Cyrl-CS" w:eastAsia="sr-Cyrl-RS"/>
        </w:rPr>
      </w:pPr>
      <w:r w:rsidRPr="00DE058F">
        <w:rPr>
          <w:rFonts w:cstheme="minorHAnsi"/>
          <w:b/>
          <w:color w:val="002060"/>
          <w:lang w:val="sr-Cyrl-CS"/>
        </w:rPr>
        <w:lastRenderedPageBreak/>
        <w:t>Производни јаз, циклично прилаг. и структурни фиск. биланс у периоду 2005–2025. год, % БДП*</w:t>
      </w:r>
    </w:p>
    <w:p w14:paraId="1D377247" w14:textId="77777777" w:rsidR="00E124CF" w:rsidRPr="00DE058F" w:rsidRDefault="00E124CF" w:rsidP="00E124CF">
      <w:pPr>
        <w:spacing w:after="0"/>
        <w:jc w:val="left"/>
        <w:rPr>
          <w:lang w:val="sr-Cyrl-CS" w:eastAsia="sr-Cyrl-RS"/>
        </w:rPr>
      </w:pPr>
      <w:r w:rsidRPr="00DE058F">
        <w:rPr>
          <w:noProof/>
        </w:rPr>
        <w:drawing>
          <wp:inline distT="0" distB="0" distL="0" distR="0" wp14:anchorId="79D25F54" wp14:editId="59ED1004">
            <wp:extent cx="2757805" cy="2695575"/>
            <wp:effectExtent l="0" t="0" r="4445" b="0"/>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7327DFFD" w14:textId="48EA620B" w:rsidR="00E124CF" w:rsidRPr="00DE058F" w:rsidRDefault="00E124CF" w:rsidP="002F6B52">
      <w:pPr>
        <w:jc w:val="left"/>
        <w:rPr>
          <w:rFonts w:ascii="Calibri" w:eastAsia="MS PGothic" w:hAnsi="Calibri" w:cs="Calibri"/>
          <w:sz w:val="16"/>
          <w:szCs w:val="20"/>
          <w:lang w:val="sr-Cyrl-CS" w:eastAsia="ja-JP"/>
        </w:rPr>
      </w:pPr>
      <w:r w:rsidRPr="00DE058F">
        <w:rPr>
          <w:rFonts w:ascii="Calibri" w:eastAsia="MS PGothic" w:hAnsi="Calibri" w:cs="Calibri"/>
          <w:sz w:val="16"/>
          <w:szCs w:val="20"/>
          <w:lang w:val="sr-Cyrl-CS" w:eastAsia="ja-JP"/>
        </w:rPr>
        <w:t>*</w:t>
      </w:r>
      <w:r w:rsidR="00730036" w:rsidRPr="00DE058F">
        <w:rPr>
          <w:rFonts w:ascii="Calibri" w:eastAsia="MS PGothic" w:hAnsi="Calibri" w:cs="Calibri"/>
          <w:sz w:val="16"/>
          <w:szCs w:val="20"/>
          <w:lang w:val="sr-Cyrl-CS" w:eastAsia="ja-JP"/>
        </w:rPr>
        <w:t xml:space="preserve"> </w:t>
      </w:r>
      <w:r w:rsidRPr="00DE058F">
        <w:rPr>
          <w:rFonts w:ascii="Calibri" w:eastAsia="MS PGothic" w:hAnsi="Calibri" w:cs="Calibri"/>
          <w:sz w:val="16"/>
          <w:szCs w:val="20"/>
          <w:lang w:val="sr-Cyrl-CS" w:eastAsia="ja-JP"/>
        </w:rPr>
        <w:t>За период 2022–2025. године приказане су пројектоване вредности</w:t>
      </w:r>
      <w:r w:rsidR="00F14084" w:rsidRPr="00DE058F">
        <w:rPr>
          <w:rFonts w:ascii="Calibri" w:eastAsia="MS PGothic" w:hAnsi="Calibri" w:cs="Calibri"/>
          <w:sz w:val="16"/>
          <w:szCs w:val="20"/>
          <w:lang w:val="sr-Cyrl-CS" w:eastAsia="ja-JP"/>
        </w:rPr>
        <w:t>.</w:t>
      </w:r>
    </w:p>
    <w:p w14:paraId="5BC8D0B7" w14:textId="75E4BEC8" w:rsidR="00E124CF" w:rsidRPr="00DE058F" w:rsidRDefault="00E124CF" w:rsidP="00730036">
      <w:pPr>
        <w:spacing w:after="0"/>
        <w:jc w:val="center"/>
        <w:rPr>
          <w:lang w:val="sr-Cyrl-CS" w:eastAsia="sr-Cyrl-RS"/>
        </w:rPr>
      </w:pPr>
      <w:r w:rsidRPr="00DE058F">
        <w:rPr>
          <w:rFonts w:cstheme="minorHAnsi"/>
          <w:b/>
          <w:color w:val="002060"/>
          <w:lang w:val="sr-Cyrl-CS"/>
        </w:rPr>
        <w:t>Карактер и ефекти фискалне политике у периоду 2006–2025. године, % БДП*</w:t>
      </w:r>
    </w:p>
    <w:p w14:paraId="75095D14" w14:textId="7AF17EC8" w:rsidR="00E124CF" w:rsidRPr="00DE058F" w:rsidRDefault="00822F4C" w:rsidP="002F6B52">
      <w:pPr>
        <w:jc w:val="left"/>
        <w:rPr>
          <w:rFonts w:ascii="Calibri" w:eastAsia="MS PGothic" w:hAnsi="Calibri" w:cs="Calibri"/>
          <w:sz w:val="16"/>
          <w:szCs w:val="20"/>
          <w:lang w:val="sr-Cyrl-CS" w:eastAsia="ja-JP"/>
        </w:rPr>
        <w:sectPr w:rsidR="00E124CF" w:rsidRPr="00DE058F" w:rsidSect="00AE40EB">
          <w:type w:val="continuous"/>
          <w:pgSz w:w="12240" w:h="15840" w:code="1"/>
          <w:pgMar w:top="1417" w:right="1417" w:bottom="1417" w:left="1417" w:header="720" w:footer="720" w:gutter="0"/>
          <w:cols w:num="2" w:space="720"/>
        </w:sectPr>
      </w:pPr>
      <w:r w:rsidRPr="00DE058F">
        <w:rPr>
          <w:noProof/>
        </w:rPr>
        <w:drawing>
          <wp:inline distT="0" distB="0" distL="0" distR="0" wp14:anchorId="4403EB38" wp14:editId="3ED8B562">
            <wp:extent cx="2757600" cy="2685600"/>
            <wp:effectExtent l="0" t="0" r="5080" b="635"/>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r w:rsidR="00E124CF" w:rsidRPr="00DE058F">
        <w:rPr>
          <w:rFonts w:ascii="Calibri" w:eastAsia="MS PGothic" w:hAnsi="Calibri" w:cs="Calibri"/>
          <w:sz w:val="16"/>
          <w:szCs w:val="20"/>
          <w:lang w:val="sr-Cyrl-CS" w:eastAsia="ja-JP"/>
        </w:rPr>
        <w:t>*</w:t>
      </w:r>
      <w:r w:rsidR="00730036" w:rsidRPr="00DE058F">
        <w:rPr>
          <w:rFonts w:ascii="Calibri" w:eastAsia="MS PGothic" w:hAnsi="Calibri" w:cs="Calibri"/>
          <w:sz w:val="16"/>
          <w:szCs w:val="20"/>
          <w:lang w:val="sr-Cyrl-CS" w:eastAsia="ja-JP"/>
        </w:rPr>
        <w:t xml:space="preserve"> </w:t>
      </w:r>
      <w:r w:rsidR="00E124CF" w:rsidRPr="00DE058F">
        <w:rPr>
          <w:rFonts w:ascii="Calibri" w:eastAsia="MS PGothic" w:hAnsi="Calibri" w:cs="Calibri"/>
          <w:sz w:val="16"/>
          <w:szCs w:val="20"/>
          <w:lang w:val="sr-Cyrl-CS" w:eastAsia="ja-JP"/>
        </w:rPr>
        <w:t>За период 2022–2025. године приказане су пројектоване вредности.</w:t>
      </w:r>
    </w:p>
    <w:p w14:paraId="00C5B59A" w14:textId="77777777" w:rsidR="00E124CF" w:rsidRPr="00DE058F" w:rsidRDefault="00E124CF" w:rsidP="00E124CF">
      <w:pPr>
        <w:spacing w:after="120"/>
        <w:rPr>
          <w:rFonts w:ascii="Calibri" w:eastAsia="Calibri" w:hAnsi="Calibri" w:cs="Calibri"/>
          <w:szCs w:val="20"/>
          <w:lang w:val="sr-Cyrl-CS"/>
        </w:rPr>
      </w:pPr>
      <w:r w:rsidRPr="00DE058F">
        <w:rPr>
          <w:rFonts w:ascii="Calibri" w:eastAsia="Calibri" w:hAnsi="Calibri" w:cs="Calibri"/>
          <w:szCs w:val="20"/>
          <w:lang w:val="sr-Cyrl-CS"/>
        </w:rPr>
        <w:t>Процењени ефекат трећег пакета мера на фискалну позицију земље је 2,2% БДП.</w:t>
      </w:r>
    </w:p>
    <w:p w14:paraId="3BD4972F" w14:textId="77777777" w:rsidR="00E124CF" w:rsidRPr="00DE058F" w:rsidRDefault="00E124CF" w:rsidP="00E124CF">
      <w:pPr>
        <w:spacing w:after="120"/>
        <w:rPr>
          <w:lang w:val="sr-Cyrl-CS" w:eastAsia="ja-JP"/>
        </w:rPr>
      </w:pPr>
      <w:r w:rsidRPr="00DE058F">
        <w:rPr>
          <w:rFonts w:ascii="Calibri" w:eastAsia="Calibri" w:hAnsi="Calibri" w:cs="Calibri"/>
          <w:szCs w:val="20"/>
          <w:lang w:val="sr-Cyrl-CS"/>
        </w:rPr>
        <w:t xml:space="preserve">И током 2022. години предвиђен је одређени износ средстава као вид помоћи становништву у висини од 0,9% БДП. Настале околности на међународном енергетском тржишту условиле су и повећане расходе за ове сврхе. Као вид једнократне помоћи становништву и привреди, у сврху смањење негативног утицаја раста цена, може се посматрати привремено смањење акциза на </w:t>
      </w:r>
      <w:r w:rsidRPr="00DE058F">
        <w:rPr>
          <w:lang w:val="sr-Cyrl-CS" w:eastAsia="ja-JP"/>
        </w:rPr>
        <w:t>нафтне деривате и одлагање редовног усклађивања акцизних стопа. У овом тренутку укупан износ ових мера достиже 1,7% БДП.</w:t>
      </w:r>
    </w:p>
    <w:p w14:paraId="5F0BAEBE" w14:textId="056F6588" w:rsidR="00E124CF" w:rsidRPr="00DE058F" w:rsidRDefault="00E124CF" w:rsidP="00E124CF">
      <w:pPr>
        <w:spacing w:after="120"/>
        <w:rPr>
          <w:lang w:val="sr-Cyrl-CS" w:eastAsia="ja-JP"/>
        </w:rPr>
        <w:sectPr w:rsidR="00E124CF" w:rsidRPr="00DE058F" w:rsidSect="00AE40EB">
          <w:type w:val="continuous"/>
          <w:pgSz w:w="12240" w:h="15840" w:code="1"/>
          <w:pgMar w:top="1417" w:right="1417" w:bottom="1417" w:left="1417" w:header="720" w:footer="720" w:gutter="0"/>
          <w:cols w:num="2" w:space="720"/>
        </w:sectPr>
      </w:pPr>
      <w:r w:rsidRPr="00DE058F">
        <w:rPr>
          <w:lang w:val="sr-Cyrl-CS" w:eastAsia="ja-JP"/>
        </w:rPr>
        <w:t>Структурна фискална позиција земље није значајно нарушена у периоду између 2020</w:t>
      </w:r>
      <w:r w:rsidR="008B7387" w:rsidRPr="00DE058F">
        <w:rPr>
          <w:lang w:val="sr-Cyrl-CS" w:eastAsia="ja-JP"/>
        </w:rPr>
        <w:t>.</w:t>
      </w:r>
      <w:r w:rsidRPr="00DE058F">
        <w:rPr>
          <w:lang w:val="sr-Cyrl-CS" w:eastAsia="ja-JP"/>
        </w:rPr>
        <w:t xml:space="preserve"> и 2022. године, због тога што су спроведене мере помоћи привреди из домена фискалне политике временски ограниченог карактера. Ипак, у наредном средњорочном периоду на кретање </w:t>
      </w:r>
      <w:r w:rsidRPr="00DE058F">
        <w:rPr>
          <w:lang w:val="sr-Cyrl-CS" w:eastAsia="ja-JP"/>
        </w:rPr>
        <w:t>структурног фискалног резултата ће утицати пр</w:t>
      </w:r>
      <w:r w:rsidR="00395E09" w:rsidRPr="00DE058F">
        <w:rPr>
          <w:lang w:val="sr-Cyrl-CS" w:eastAsia="ja-JP"/>
        </w:rPr>
        <w:t>е</w:t>
      </w:r>
      <w:r w:rsidRPr="00DE058F">
        <w:rPr>
          <w:lang w:val="sr-Cyrl-CS" w:eastAsia="ja-JP"/>
        </w:rPr>
        <w:t>н</w:t>
      </w:r>
      <w:r w:rsidR="00395E09" w:rsidRPr="00DE058F">
        <w:rPr>
          <w:lang w:val="sr-Cyrl-CS" w:eastAsia="ja-JP"/>
        </w:rPr>
        <w:t>е</w:t>
      </w:r>
      <w:r w:rsidRPr="00DE058F">
        <w:rPr>
          <w:lang w:val="sr-Cyrl-CS" w:eastAsia="ja-JP"/>
        </w:rPr>
        <w:t>те пореске обавезе из 2020. године у 2021. и 2022. годину. Уплата прихода по основу одлагања пореза и доприноса у 2020. години има привремени (неструктурни) ефекат на фискални биланс у 2021. и 2022. години. Такође , почетком 2022. године ступиле су на снагу нове мере популационе политике, које представљају структ</w:t>
      </w:r>
      <w:r w:rsidR="00395E09" w:rsidRPr="00DE058F">
        <w:rPr>
          <w:lang w:val="sr-Cyrl-CS" w:eastAsia="ja-JP"/>
        </w:rPr>
        <w:t>у</w:t>
      </w:r>
      <w:r w:rsidRPr="00DE058F">
        <w:rPr>
          <w:lang w:val="sr-Cyrl-CS" w:eastAsia="ja-JP"/>
        </w:rPr>
        <w:t>рни вид расхода. Услед наведеног, као и по основу значајног повећања расхода за инфраструктуру током 2021. и 2022. године и касније, долази до привременог, али одрживог, погоршања структурне фискалне позиције. Смањењем обима кризних мера постепено се ствара простор за умерено повећање редовних структурних расхода. Са друге стране, повећање удела јавних инвестиција у БДП имаће и директан и индиректан утицај на убрзање привредног раста у наредном периоду.</w:t>
      </w:r>
    </w:p>
    <w:p w14:paraId="65B8C66D" w14:textId="3329A0D4" w:rsidR="00E124CF" w:rsidRPr="00DE058F" w:rsidRDefault="00E124CF" w:rsidP="00E124CF">
      <w:pPr>
        <w:spacing w:after="120"/>
        <w:rPr>
          <w:lang w:val="sr-Cyrl-CS" w:eastAsia="ja-JP"/>
        </w:rPr>
      </w:pPr>
    </w:p>
    <w:p w14:paraId="1D0801D7" w14:textId="77777777" w:rsidR="00E124CF" w:rsidRPr="00DE058F" w:rsidRDefault="00E124CF">
      <w:pPr>
        <w:jc w:val="left"/>
        <w:rPr>
          <w:lang w:val="sr-Cyrl-CS" w:eastAsia="ja-JP"/>
        </w:rPr>
      </w:pPr>
      <w:r w:rsidRPr="00DE058F">
        <w:rPr>
          <w:lang w:val="sr-Cyrl-CS" w:eastAsia="ja-JP"/>
        </w:rPr>
        <w:br w:type="page"/>
      </w:r>
    </w:p>
    <w:p w14:paraId="7CA120F4" w14:textId="6353B307" w:rsidR="00E124CF" w:rsidRPr="00DE058F" w:rsidRDefault="00E124CF" w:rsidP="00E124CF">
      <w:pPr>
        <w:spacing w:after="120"/>
        <w:rPr>
          <w:lang w:val="sr-Cyrl-CS" w:eastAsia="ja-JP"/>
        </w:rPr>
      </w:pPr>
      <w:r w:rsidRPr="00DE058F">
        <w:rPr>
          <w:lang w:val="sr-Cyrl-CS" w:eastAsia="ja-JP"/>
        </w:rPr>
        <w:lastRenderedPageBreak/>
        <w:t xml:space="preserve">Како је фискални импулс дефинисан као разлика два узастопна циклично прилагођена (примарна) резултата, оцењује се да је фискална политика током 2018. и 2019. године, у условима позитивног производног јаза, имала проциклични карактер. Са друге стране, фискална политика током 2020. године је изразито експанзивно-контрациклична, усмерена на ублажавање негативног економског циклуса. Услед нешто мањег обима пакета мера економске подршке у 2021. години, фискална политика је рестриктивнија него претходне године, а по карактеру неутрална. У периоду од 2022. до 2025. године рестриктивност и даље постоји услед напуштања кризних мера и смањења примарног фискалног дефицита. </w:t>
      </w:r>
      <w:r w:rsidRPr="00DE058F">
        <w:rPr>
          <w:rFonts w:eastAsia="MS PGothic" w:cs="Calibri"/>
          <w:szCs w:val="20"/>
          <w:lang w:val="sr-Cyrl-CS" w:eastAsia="ja-JP"/>
        </w:rPr>
        <w:t xml:space="preserve">И даље је присутан одређени </w:t>
      </w:r>
      <w:r w:rsidRPr="00DE058F">
        <w:rPr>
          <w:lang w:val="sr-Cyrl-CS" w:eastAsia="ja-JP"/>
        </w:rPr>
        <w:t>контрациклични карактер</w:t>
      </w:r>
      <w:r w:rsidRPr="00DE058F">
        <w:rPr>
          <w:rFonts w:eastAsia="MS PGothic" w:cs="Calibri"/>
          <w:szCs w:val="20"/>
          <w:lang w:val="sr-Cyrl-CS" w:eastAsia="ja-JP"/>
        </w:rPr>
        <w:t>, услед постављених циљева уравнотежења и стабилизације јавних финансија, у условима позитивног производног јаза.</w:t>
      </w:r>
    </w:p>
    <w:p w14:paraId="3EF3EADD" w14:textId="4E023F6E" w:rsidR="00E124CF" w:rsidRPr="00DE058F" w:rsidRDefault="00E124CF" w:rsidP="00E124CF">
      <w:pPr>
        <w:spacing w:after="0"/>
        <w:jc w:val="center"/>
        <w:rPr>
          <w:vanish/>
          <w:color w:val="002060"/>
          <w:lang w:val="sr-Cyrl-CS" w:eastAsia="sr-Cyrl-RS"/>
        </w:rPr>
      </w:pPr>
      <w:r w:rsidRPr="00DE058F">
        <w:rPr>
          <w:rFonts w:cstheme="minorHAnsi"/>
          <w:b/>
          <w:color w:val="002060"/>
          <w:lang w:val="sr-Cyrl-CS"/>
        </w:rPr>
        <w:t>Карактер и ефекти фискалне политике у п</w:t>
      </w:r>
      <w:r w:rsidR="00E051E5" w:rsidRPr="00DE058F">
        <w:rPr>
          <w:rFonts w:cstheme="minorHAnsi"/>
          <w:b/>
          <w:color w:val="002060"/>
          <w:lang w:val="sr-Cyrl-CS"/>
        </w:rPr>
        <w:t>ериоду 2006–2022. године, % БДП</w:t>
      </w:r>
    </w:p>
    <w:p w14:paraId="2E85ED50" w14:textId="77777777" w:rsidR="00E124CF" w:rsidRPr="00DE058F" w:rsidRDefault="00E124CF" w:rsidP="00E124CF">
      <w:pPr>
        <w:spacing w:after="120"/>
        <w:rPr>
          <w:rFonts w:ascii="Calibri" w:eastAsia="MS PGothic" w:hAnsi="Calibri" w:cs="Calibri"/>
          <w:szCs w:val="20"/>
          <w:lang w:val="sr-Cyrl-CS" w:eastAsia="ja-JP"/>
        </w:rPr>
        <w:sectPr w:rsidR="00E124CF" w:rsidRPr="00DE058F" w:rsidSect="00AE40EB">
          <w:type w:val="continuous"/>
          <w:pgSz w:w="12240" w:h="15840" w:code="1"/>
          <w:pgMar w:top="1417" w:right="1417" w:bottom="1417" w:left="1417" w:header="720" w:footer="720" w:gutter="0"/>
          <w:cols w:num="2" w:space="720"/>
        </w:sectPr>
      </w:pPr>
      <w:r w:rsidRPr="00DE058F">
        <w:rPr>
          <w:noProof/>
        </w:rPr>
        <w:drawing>
          <wp:inline distT="0" distB="0" distL="0" distR="0" wp14:anchorId="15BB45AF" wp14:editId="2C0B5A69">
            <wp:extent cx="2757805" cy="2381250"/>
            <wp:effectExtent l="0" t="0" r="4445" b="0"/>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14:paraId="62EDE569" w14:textId="77777777" w:rsidR="00E124CF" w:rsidRPr="00DE058F" w:rsidRDefault="00E124CF" w:rsidP="00E124CF">
      <w:pPr>
        <w:rPr>
          <w:lang w:val="sr-Cyrl-CS" w:eastAsia="ja-JP"/>
        </w:rPr>
        <w:sectPr w:rsidR="00E124CF" w:rsidRPr="00DE058F" w:rsidSect="00AE40EB">
          <w:type w:val="continuous"/>
          <w:pgSz w:w="12240" w:h="15840" w:code="1"/>
          <w:pgMar w:top="1417" w:right="1417" w:bottom="1417" w:left="1417" w:header="720" w:footer="720" w:gutter="0"/>
          <w:cols w:space="720"/>
        </w:sectPr>
      </w:pPr>
    </w:p>
    <w:p w14:paraId="1822C8C4" w14:textId="3A999116" w:rsidR="00E124CF" w:rsidRPr="00DE058F" w:rsidRDefault="00E124CF" w:rsidP="00E124CF">
      <w:pPr>
        <w:rPr>
          <w:color w:val="2F5496" w:themeColor="accent1" w:themeShade="BF"/>
          <w:szCs w:val="26"/>
          <w:lang w:val="sr-Cyrl-CS" w:eastAsia="ja-JP"/>
        </w:rPr>
      </w:pPr>
      <w:bookmarkStart w:id="50" w:name="_Toc56667081"/>
      <w:bookmarkStart w:id="51" w:name="_Toc73364973"/>
      <w:r w:rsidRPr="00DE058F">
        <w:rPr>
          <w:lang w:val="sr-Cyrl-CS" w:eastAsia="ja-JP"/>
        </w:rPr>
        <w:br w:type="page"/>
      </w:r>
    </w:p>
    <w:p w14:paraId="5B86D4B2" w14:textId="6FB544F1" w:rsidR="00E124CF" w:rsidRPr="00DE058F" w:rsidRDefault="00E124CF" w:rsidP="00FE1A26">
      <w:pPr>
        <w:pStyle w:val="Heading2"/>
        <w:spacing w:before="0" w:after="240"/>
        <w:jc w:val="center"/>
        <w:rPr>
          <w:rFonts w:asciiTheme="minorHAnsi" w:eastAsia="MS PGothic" w:hAnsiTheme="minorHAnsi" w:cstheme="minorHAnsi"/>
          <w:b/>
          <w:lang w:val="sr-Cyrl-CS" w:eastAsia="ja-JP"/>
        </w:rPr>
        <w:sectPr w:rsidR="00E124CF" w:rsidRPr="00DE058F" w:rsidSect="00AE40EB">
          <w:type w:val="continuous"/>
          <w:pgSz w:w="12240" w:h="15840" w:code="1"/>
          <w:pgMar w:top="1417" w:right="1417" w:bottom="1417" w:left="1417" w:header="720" w:footer="720" w:gutter="0"/>
          <w:cols w:space="720"/>
        </w:sectPr>
      </w:pPr>
      <w:bookmarkStart w:id="52" w:name="_Toc104899611"/>
      <w:r w:rsidRPr="00DE058F">
        <w:rPr>
          <w:rFonts w:asciiTheme="minorHAnsi" w:eastAsia="MS PGothic" w:hAnsiTheme="minorHAnsi" w:cstheme="minorHAnsi"/>
          <w:b/>
          <w:sz w:val="24"/>
          <w:lang w:val="sr-Cyrl-CS" w:eastAsia="ja-JP"/>
        </w:rPr>
        <w:lastRenderedPageBreak/>
        <w:t>7. Програм за смањење дуга</w:t>
      </w:r>
      <w:bookmarkEnd w:id="47"/>
      <w:bookmarkEnd w:id="48"/>
      <w:bookmarkEnd w:id="49"/>
      <w:bookmarkEnd w:id="50"/>
      <w:bookmarkEnd w:id="51"/>
      <w:bookmarkEnd w:id="52"/>
    </w:p>
    <w:p w14:paraId="5E9A8B8D" w14:textId="77777777" w:rsidR="00E124CF" w:rsidRPr="00DE058F" w:rsidRDefault="00E124CF" w:rsidP="00E124CF">
      <w:pPr>
        <w:rPr>
          <w:rFonts w:ascii="Calibri" w:eastAsia="Calibri" w:hAnsi="Calibri" w:cs="Calibri"/>
          <w:szCs w:val="20"/>
          <w:lang w:val="sr-Cyrl-CS"/>
        </w:rPr>
      </w:pPr>
      <w:r w:rsidRPr="00DE058F">
        <w:rPr>
          <w:rFonts w:ascii="Calibri" w:eastAsia="MS PGothic" w:hAnsi="Calibri" w:cs="Calibri"/>
          <w:szCs w:val="20"/>
          <w:lang w:val="sr-Cyrl-CS" w:eastAsia="ja-JP"/>
        </w:rPr>
        <w:t>У складу са принципом фискалне одговорности, уколико дуг опште државе пређе 45% БДП, Влада је дужна да предложи мере којима ће се дуг приближити циљаном нивоу и вратити у одрживе оквире</w:t>
      </w:r>
      <w:r w:rsidRPr="00DE058F">
        <w:rPr>
          <w:rFonts w:ascii="Calibri" w:eastAsia="Calibri" w:hAnsi="Calibri" w:cs="Calibri"/>
          <w:szCs w:val="20"/>
          <w:vertAlign w:val="superscript"/>
          <w:lang w:val="sr-Cyrl-CS"/>
        </w:rPr>
        <w:footnoteReference w:id="13"/>
      </w:r>
      <w:r w:rsidRPr="00DE058F">
        <w:rPr>
          <w:rFonts w:ascii="Calibri" w:eastAsia="Calibri" w:hAnsi="Calibri" w:cs="Calibri"/>
          <w:szCs w:val="20"/>
          <w:lang w:val="sr-Cyrl-CS"/>
        </w:rPr>
        <w:t>.</w:t>
      </w:r>
      <w:r w:rsidRPr="00DE058F">
        <w:rPr>
          <w:rFonts w:ascii="Calibri" w:eastAsia="Calibri" w:hAnsi="Calibri" w:cs="Calibri"/>
          <w:color w:val="2F5496" w:themeColor="accent1" w:themeShade="BF"/>
          <w:szCs w:val="20"/>
          <w:lang w:val="sr-Cyrl-CS"/>
        </w:rPr>
        <w:t xml:space="preserve"> </w:t>
      </w:r>
      <w:r w:rsidRPr="00DE058F">
        <w:rPr>
          <w:rFonts w:ascii="Calibri" w:eastAsia="Calibri" w:hAnsi="Calibri" w:cs="Calibri"/>
          <w:szCs w:val="20"/>
          <w:lang w:val="sr-Cyrl-CS"/>
        </w:rPr>
        <w:t>Истовремено, Пактом за стабилност и раст је прописана горња граница учешћа јавног дуга у БДП од 60%, као и обавеза за земље чланице ЕУ да званичним документом представе кредибилан план достизања прописаног нивоа задовољавајућом брзином, уколико је ова граница прекорачена.</w:t>
      </w:r>
    </w:p>
    <w:p w14:paraId="69E886B9" w14:textId="77777777" w:rsidR="00E124CF" w:rsidRPr="00DE058F" w:rsidRDefault="00E124CF" w:rsidP="00E124CF">
      <w:pPr>
        <w:rPr>
          <w:rFonts w:ascii="Calibri" w:eastAsia="Calibri" w:hAnsi="Calibri" w:cs="Calibri"/>
          <w:szCs w:val="20"/>
          <w:lang w:val="sr-Cyrl-CS"/>
        </w:rPr>
      </w:pPr>
      <w:r w:rsidRPr="00DE058F">
        <w:rPr>
          <w:rFonts w:ascii="Calibri" w:eastAsia="Calibri" w:hAnsi="Calibri" w:cs="Calibri"/>
          <w:szCs w:val="20"/>
          <w:lang w:val="sr-Cyrl-CS"/>
        </w:rPr>
        <w:t>У периоду од 2008. до 2014. године дефицит опште државе је значајно повећан уз истовремено експлозивну путању раста јавног дуга, при чему је однос дуга и БДП више него удвостручен. Мере фискалне консолидације усвојене крајем 2012. и током 2013. године делимично су ублажиле овај тренд, али је ниво јавног дуга и даље значајно растао. Смањивање примарног дефицита у периоду 2012–2014. године није било довољно да стабилизује учешће нивоа јавног дуга у БДП. Ефекти првог таласа фискалне консолидације, која се односила углавном на приходну страну, изостали су, услед повећаног обима сиве економије, карактеристичног у периоду након подизања пореских стопа. На расходној страни, високе камате и одређени једнократни расходи су додатно погоршавали фискалну позицију.</w:t>
      </w:r>
    </w:p>
    <w:p w14:paraId="188553A2" w14:textId="1BEFD8B7" w:rsidR="00E124CF" w:rsidRPr="00DE058F" w:rsidRDefault="00E124CF" w:rsidP="00E124CF">
      <w:pPr>
        <w:spacing w:after="40"/>
        <w:jc w:val="center"/>
        <w:rPr>
          <w:rFonts w:ascii="Calibri" w:eastAsia="Calibri" w:hAnsi="Calibri" w:cs="Calibri"/>
          <w:szCs w:val="20"/>
          <w:lang w:val="sr-Cyrl-CS"/>
        </w:rPr>
      </w:pPr>
      <w:r w:rsidRPr="00DE058F">
        <w:rPr>
          <w:rFonts w:cstheme="minorHAnsi"/>
          <w:b/>
          <w:color w:val="002060"/>
          <w:lang w:val="sr-Cyrl-CS"/>
        </w:rPr>
        <w:t xml:space="preserve">Јавни дуг опште државе у периоду </w:t>
      </w:r>
      <w:r w:rsidR="001D5B47" w:rsidRPr="00DE058F">
        <w:rPr>
          <w:rFonts w:cstheme="minorHAnsi"/>
          <w:b/>
          <w:color w:val="002060"/>
          <w:lang w:val="sr-Cyrl-CS"/>
        </w:rPr>
        <w:br w:type="textWrapping" w:clear="all"/>
      </w:r>
      <w:r w:rsidRPr="00DE058F">
        <w:rPr>
          <w:rFonts w:cstheme="minorHAnsi"/>
          <w:b/>
          <w:color w:val="002060"/>
          <w:lang w:val="sr-Cyrl-CS"/>
        </w:rPr>
        <w:t>2008–2022. године, % БДП</w:t>
      </w:r>
    </w:p>
    <w:p w14:paraId="4DE61AF5" w14:textId="77777777" w:rsidR="00E124CF" w:rsidRPr="00DE058F" w:rsidRDefault="00E124CF" w:rsidP="00E124CF">
      <w:pPr>
        <w:spacing w:after="0"/>
        <w:jc w:val="center"/>
        <w:rPr>
          <w:rFonts w:cstheme="minorHAnsi"/>
          <w:b/>
          <w:color w:val="002060"/>
          <w:lang w:val="sr-Cyrl-CS"/>
        </w:rPr>
      </w:pPr>
      <w:r w:rsidRPr="00DE058F">
        <w:rPr>
          <w:noProof/>
        </w:rPr>
        <w:drawing>
          <wp:inline distT="0" distB="0" distL="0" distR="0" wp14:anchorId="0B5B35E8" wp14:editId="43F1DF93">
            <wp:extent cx="2757805" cy="2070340"/>
            <wp:effectExtent l="0" t="0" r="4445" b="635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14:paraId="0FA5102F" w14:textId="77777777" w:rsidR="00E124CF" w:rsidRPr="00DE058F" w:rsidRDefault="00E124CF" w:rsidP="00E124CF">
      <w:pPr>
        <w:spacing w:after="0" w:line="240" w:lineRule="auto"/>
        <w:rPr>
          <w:rFonts w:cstheme="minorHAnsi"/>
          <w:bCs/>
          <w:sz w:val="16"/>
          <w:szCs w:val="72"/>
          <w:lang w:val="sr-Cyrl-CS"/>
        </w:rPr>
      </w:pPr>
      <w:r w:rsidRPr="00DE058F">
        <w:rPr>
          <w:rFonts w:ascii="Calibri" w:eastAsia="Calibri" w:hAnsi="Calibri" w:cs="Calibri"/>
          <w:sz w:val="16"/>
          <w:szCs w:val="16"/>
          <w:lang w:val="sr-Cyrl-CS"/>
        </w:rPr>
        <w:t xml:space="preserve">* </w:t>
      </w:r>
      <w:r w:rsidRPr="00DE058F">
        <w:rPr>
          <w:rFonts w:cstheme="minorHAnsi"/>
          <w:bCs/>
          <w:sz w:val="16"/>
          <w:szCs w:val="72"/>
          <w:lang w:val="sr-Cyrl-CS"/>
        </w:rPr>
        <w:t>апроксимација локалног дуга</w:t>
      </w:r>
    </w:p>
    <w:p w14:paraId="4A6A931F" w14:textId="77777777" w:rsidR="00E124CF" w:rsidRPr="00DE058F" w:rsidRDefault="00E124CF" w:rsidP="00E124CF">
      <w:pPr>
        <w:spacing w:after="0" w:line="276" w:lineRule="auto"/>
        <w:rPr>
          <w:rFonts w:cstheme="minorHAnsi"/>
          <w:bCs/>
          <w:sz w:val="16"/>
          <w:szCs w:val="72"/>
          <w:lang w:val="sr-Cyrl-CS"/>
        </w:rPr>
      </w:pPr>
      <w:r w:rsidRPr="00DE058F">
        <w:rPr>
          <w:rFonts w:cstheme="minorHAnsi"/>
          <w:bCs/>
          <w:sz w:val="16"/>
          <w:szCs w:val="72"/>
          <w:lang w:val="sr-Cyrl-CS"/>
        </w:rPr>
        <w:t>** процена за 2022. годину</w:t>
      </w:r>
    </w:p>
    <w:p w14:paraId="759AE101" w14:textId="77777777" w:rsidR="00E124CF" w:rsidRPr="00DE058F" w:rsidRDefault="00E124CF" w:rsidP="00E124CF">
      <w:pPr>
        <w:rPr>
          <w:rFonts w:ascii="Calibri" w:eastAsia="Calibri" w:hAnsi="Calibri" w:cs="Calibri"/>
          <w:szCs w:val="20"/>
          <w:lang w:val="sr-Cyrl-CS"/>
        </w:rPr>
      </w:pPr>
      <w:r w:rsidRPr="00DE058F">
        <w:rPr>
          <w:rFonts w:ascii="Calibri" w:eastAsia="Calibri" w:hAnsi="Calibri" w:cs="Calibri"/>
          <w:szCs w:val="20"/>
          <w:lang w:val="sr-Cyrl-CS"/>
        </w:rPr>
        <w:t>Мере фискалне консолидације донете крајем 2014. године спустиле су примарни дефицит и успориле раст јавног дуга већ током 2015. године. До смањења јавног дуга у БДП дошло је у 2016. години, годину дана раније него што је било предвиђено аранжманом са ММФ. У 2016. години остварен је примарни суфицит од 1,7% БДП, чиме су се коначно стекли услови за пад учешћа јавног дуга у БДП. Након тога, у 2017. години, остварени примарни фискални суфицит од 3,6% БДП доводи до још значајнијег пада учешћа дуга, за више од 10 п.п. БДП, на 58,6% БДП.</w:t>
      </w:r>
      <w:r w:rsidRPr="00DE058F">
        <w:rPr>
          <w:lang w:val="sr-Cyrl-CS"/>
        </w:rPr>
        <w:t xml:space="preserve"> </w:t>
      </w:r>
      <w:r w:rsidRPr="00DE058F">
        <w:rPr>
          <w:rFonts w:ascii="Calibri" w:eastAsia="Calibri" w:hAnsi="Calibri" w:cs="Calibri"/>
          <w:szCs w:val="20"/>
          <w:lang w:val="sr-Cyrl-CS"/>
        </w:rPr>
        <w:t>Током 2018. године настављен је тренд смањења учешћа јавног дуга у БДП на 54,4% БДП. Фискална релаксација током 2019. године није угрозила опадајућу путању јавног дуга. Позитиван примарни фискални резултат у 2019. години од 1,8% БДП утицао je на даље смањење јавног дуга за још 1,6 п.п. БДП.</w:t>
      </w:r>
    </w:p>
    <w:p w14:paraId="51B6CDE9" w14:textId="36F40029" w:rsidR="00E124CF" w:rsidRPr="00DE058F" w:rsidRDefault="00E124CF" w:rsidP="00E124CF">
      <w:pPr>
        <w:spacing w:after="120"/>
        <w:rPr>
          <w:rFonts w:ascii="Calibri" w:eastAsia="Calibri" w:hAnsi="Calibri" w:cs="Calibri"/>
          <w:spacing w:val="-2"/>
          <w:szCs w:val="20"/>
          <w:lang w:val="sr-Cyrl-CS"/>
        </w:rPr>
      </w:pPr>
      <w:r w:rsidRPr="00DE058F">
        <w:rPr>
          <w:rFonts w:ascii="Calibri" w:eastAsia="Calibri" w:hAnsi="Calibri" w:cs="Calibri"/>
          <w:spacing w:val="-2"/>
          <w:szCs w:val="20"/>
          <w:lang w:val="sr-Cyrl-CS"/>
        </w:rPr>
        <w:t>Период од 2020. године обележила је једна од највећих здравствених и последично економских криза у последњих неколико деценија, изазвана пандемијом COVID-19. Најважнији фактори који су утицали на кретања дуга током поменутог периода су ниво укупног и примарног фискалног дефицита, додатне потребе за финансирањем и отплата доспелог дела дуга. Остварени фискални дефицит од 8% БДП (примарни дефицит од 6% БДП) у 2020. години и дефицит од 4,1% БДП у 2021</w:t>
      </w:r>
      <w:r w:rsidR="00525A10" w:rsidRPr="00DE058F">
        <w:rPr>
          <w:rFonts w:ascii="Calibri" w:eastAsia="Calibri" w:hAnsi="Calibri" w:cs="Calibri"/>
          <w:spacing w:val="-2"/>
          <w:szCs w:val="20"/>
          <w:lang w:val="sr-Cyrl-CS"/>
        </w:rPr>
        <w:t>.</w:t>
      </w:r>
      <w:r w:rsidRPr="00DE058F">
        <w:rPr>
          <w:rFonts w:ascii="Calibri" w:eastAsia="Calibri" w:hAnsi="Calibri" w:cs="Calibri"/>
          <w:spacing w:val="-2"/>
          <w:szCs w:val="20"/>
          <w:lang w:val="sr-Cyrl-CS"/>
        </w:rPr>
        <w:t xml:space="preserve"> години, утицали су на то да се, до сада, опадајућа путања учешћа јавног дуга привремено преокрене. И поред тога учешће јавног дуга опште државе у БДП у 2021. години благо опада и достиже 57,1%. Услед пројектованог нивоа примарног фискалног резултата (примарни дефицит 1,3% БДП) испод нивоа који смањује учешће јавног дуга, за 2022. годину предвиђен је нешто снажнији пад овог показатеља на 54,6%. Фискалном стратегијом за наредни средњорочни период предвиђена је стабилизација јавних финансија и значајно мањи нивои дефицита који ће јавни дуг вратити у зону опадајућег тренда. Процес стабилизације јавних финансија ће бити постепен и одмерен како се сувише рестриктивним политикама на би нарушиле претпоставке убрзаног привредног раста.</w:t>
      </w:r>
    </w:p>
    <w:p w14:paraId="144600FE" w14:textId="0BE57A5B" w:rsidR="00E124CF" w:rsidRPr="00DE058F" w:rsidRDefault="00E124CF" w:rsidP="00E124CF">
      <w:pPr>
        <w:spacing w:after="0"/>
        <w:jc w:val="center"/>
        <w:rPr>
          <w:rFonts w:cstheme="minorHAnsi"/>
          <w:b/>
          <w:color w:val="002060"/>
          <w:spacing w:val="-2"/>
          <w:lang w:val="sr-Cyrl-CS"/>
        </w:rPr>
      </w:pPr>
      <w:r w:rsidRPr="00DE058F">
        <w:rPr>
          <w:rFonts w:cstheme="minorHAnsi"/>
          <w:b/>
          <w:color w:val="002060"/>
          <w:spacing w:val="-2"/>
          <w:lang w:val="sr-Cyrl-CS"/>
        </w:rPr>
        <w:lastRenderedPageBreak/>
        <w:t>Примарни резултат који стабилизује учешће дуга у БДП и остварени/пројектовани резултат*, % БДП</w:t>
      </w:r>
    </w:p>
    <w:p w14:paraId="5CA0BC68" w14:textId="77777777" w:rsidR="00E124CF" w:rsidRPr="00DE058F" w:rsidRDefault="00E124CF" w:rsidP="00E124CF">
      <w:pPr>
        <w:spacing w:after="0" w:line="276" w:lineRule="auto"/>
        <w:rPr>
          <w:rFonts w:cstheme="minorHAnsi"/>
          <w:b/>
          <w:color w:val="002060"/>
          <w:lang w:val="sr-Cyrl-CS"/>
        </w:rPr>
      </w:pPr>
      <w:r w:rsidRPr="00DE058F">
        <w:rPr>
          <w:noProof/>
        </w:rPr>
        <w:drawing>
          <wp:inline distT="0" distB="0" distL="0" distR="0" wp14:anchorId="55F777CF" wp14:editId="722C6EA6">
            <wp:extent cx="2757805" cy="2047875"/>
            <wp:effectExtent l="0" t="0" r="4445" b="0"/>
            <wp:docPr id="79" name="Chart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1D68BB19" w14:textId="381F2255" w:rsidR="00E124CF" w:rsidRPr="00DE058F" w:rsidRDefault="00E124CF" w:rsidP="00E124CF">
      <w:pPr>
        <w:spacing w:after="40" w:line="240" w:lineRule="auto"/>
        <w:rPr>
          <w:rFonts w:cstheme="minorHAnsi"/>
          <w:bCs/>
          <w:sz w:val="16"/>
          <w:szCs w:val="72"/>
          <w:lang w:val="sr-Cyrl-CS"/>
        </w:rPr>
      </w:pPr>
      <w:r w:rsidRPr="00DE058F">
        <w:rPr>
          <w:rFonts w:ascii="Calibri" w:eastAsia="Calibri" w:hAnsi="Calibri" w:cs="Calibri"/>
          <w:sz w:val="16"/>
          <w:szCs w:val="16"/>
          <w:lang w:val="sr-Cyrl-CS"/>
        </w:rPr>
        <w:t xml:space="preserve">* </w:t>
      </w:r>
      <w:r w:rsidR="002F6B52" w:rsidRPr="00DE058F">
        <w:rPr>
          <w:rFonts w:cstheme="minorHAnsi"/>
          <w:bCs/>
          <w:sz w:val="16"/>
          <w:szCs w:val="72"/>
          <w:lang w:val="sr-Cyrl-CS"/>
        </w:rPr>
        <w:t>З</w:t>
      </w:r>
      <w:r w:rsidRPr="00DE058F">
        <w:rPr>
          <w:rFonts w:cstheme="minorHAnsi"/>
          <w:bCs/>
          <w:sz w:val="16"/>
          <w:szCs w:val="72"/>
          <w:lang w:val="sr-Cyrl-CS"/>
        </w:rPr>
        <w:t>а период 2022. до 2025. дате су пројектоване вредности</w:t>
      </w:r>
      <w:r w:rsidR="002F6B52" w:rsidRPr="00DE058F">
        <w:rPr>
          <w:rFonts w:cstheme="minorHAnsi"/>
          <w:bCs/>
          <w:sz w:val="16"/>
          <w:szCs w:val="72"/>
          <w:lang w:val="sr-Cyrl-CS"/>
        </w:rPr>
        <w:t>.</w:t>
      </w:r>
    </w:p>
    <w:p w14:paraId="55DE7556" w14:textId="77777777" w:rsidR="00E124CF" w:rsidRPr="00DE058F" w:rsidRDefault="00E124CF" w:rsidP="00E124CF">
      <w:pPr>
        <w:spacing w:after="120" w:line="276" w:lineRule="auto"/>
        <w:rPr>
          <w:rFonts w:ascii="Calibri" w:eastAsia="MS PGothic" w:hAnsi="Calibri" w:cs="Calibri"/>
          <w:b/>
          <w:szCs w:val="20"/>
          <w:lang w:val="sr-Cyrl-CS" w:eastAsia="ja-JP"/>
        </w:rPr>
      </w:pPr>
      <w:r w:rsidRPr="00DE058F">
        <w:rPr>
          <w:rFonts w:cstheme="minorHAnsi"/>
          <w:bCs/>
          <w:sz w:val="16"/>
          <w:szCs w:val="72"/>
          <w:lang w:val="sr-Cyrl-CS"/>
        </w:rPr>
        <w:t>Извор: Министарство финансија</w:t>
      </w:r>
    </w:p>
    <w:p w14:paraId="52485A7A" w14:textId="77777777" w:rsidR="00E124CF" w:rsidRPr="00DE058F" w:rsidRDefault="00E124CF" w:rsidP="00E124CF">
      <w:pPr>
        <w:rPr>
          <w:rFonts w:ascii="Calibri" w:eastAsia="Calibri" w:hAnsi="Calibri" w:cs="Calibri"/>
          <w:spacing w:val="-2"/>
          <w:szCs w:val="20"/>
          <w:lang w:val="sr-Cyrl-CS"/>
        </w:rPr>
      </w:pPr>
      <w:r w:rsidRPr="00DE058F">
        <w:rPr>
          <w:rFonts w:ascii="Calibri" w:eastAsia="Calibri" w:hAnsi="Calibri" w:cs="Calibri"/>
          <w:spacing w:val="-2"/>
          <w:szCs w:val="20"/>
          <w:lang w:val="sr-Cyrl-CS"/>
        </w:rPr>
        <w:t>Анализом примарног стабилизационог јаза који је дефинисан као разлика између оствареног примарног резултата и примарног резултата који је неопходан да би се стабилизовало учешће јавног дуга у текућој години могуће је оценити постављене квантитативне фискалне лимите. Од 2016. године присутан је позитиван примарни стабилизациони јаз, а путања дуга преокренута. Током 2017. и 2018. године позитиван јаз се повећава и у том периоду је остварено највеће смањење учешћа дуга у БДП. Супротан тренд бележи се током 2020. године кад се достиже највећа негативна вредност овог показатеља. У периоду од 2021–2025. године, у складу са фискалним оквиром датим у овом документу, пројектоване су позитивне вредности овог параметра.</w:t>
      </w:r>
    </w:p>
    <w:p w14:paraId="3CC3EC49" w14:textId="77777777" w:rsidR="00E124CF" w:rsidRPr="00DE058F" w:rsidRDefault="00E124CF" w:rsidP="00E124CF">
      <w:pPr>
        <w:rPr>
          <w:rFonts w:ascii="Calibri" w:eastAsia="Calibri" w:hAnsi="Calibri" w:cs="Calibri"/>
          <w:szCs w:val="20"/>
          <w:lang w:val="sr-Cyrl-CS"/>
        </w:rPr>
      </w:pPr>
      <w:r w:rsidRPr="00DE058F">
        <w:rPr>
          <w:rFonts w:ascii="Calibri" w:eastAsia="Calibri" w:hAnsi="Calibri" w:cs="Calibri"/>
          <w:szCs w:val="20"/>
          <w:lang w:val="sr-Cyrl-CS"/>
        </w:rPr>
        <w:t>Пројектована је динамика спуштања нивоа јавног дуга на 45% БДП, у складу са важећим фискалним правилима, а основни сценарио представљен овим фискалним оквиром предвиђа постепено смањивање фискалног дефицита на 0,5% БДП на крају 2025. године.</w:t>
      </w:r>
    </w:p>
    <w:p w14:paraId="434C90EC" w14:textId="77777777" w:rsidR="00E124CF" w:rsidRPr="00DE058F" w:rsidRDefault="00E124CF" w:rsidP="00C43FA1">
      <w:pPr>
        <w:spacing w:after="60"/>
        <w:rPr>
          <w:rFonts w:ascii="Calibri" w:eastAsia="Calibri" w:hAnsi="Calibri" w:cs="Calibri"/>
          <w:szCs w:val="20"/>
          <w:lang w:val="sr-Cyrl-CS"/>
        </w:rPr>
      </w:pPr>
      <w:r w:rsidRPr="00DE058F">
        <w:rPr>
          <w:rFonts w:ascii="Calibri" w:eastAsia="Calibri" w:hAnsi="Calibri" w:cs="Calibri"/>
          <w:szCs w:val="20"/>
          <w:lang w:val="sr-Cyrl-CS"/>
        </w:rPr>
        <w:t>Управљање и одрживост јавног дуга ће се додатно обезбедити:</w:t>
      </w:r>
    </w:p>
    <w:p w14:paraId="6B6096DB" w14:textId="77777777" w:rsidR="00E124CF" w:rsidRPr="00DE058F" w:rsidRDefault="00E124CF" w:rsidP="00DB0157">
      <w:pPr>
        <w:numPr>
          <w:ilvl w:val="0"/>
          <w:numId w:val="2"/>
        </w:numPr>
        <w:spacing w:after="60"/>
        <w:ind w:left="180" w:hanging="180"/>
        <w:rPr>
          <w:rFonts w:ascii="Calibri" w:eastAsia="Calibri" w:hAnsi="Calibri" w:cs="Calibri"/>
          <w:szCs w:val="20"/>
          <w:lang w:val="sr-Cyrl-CS"/>
        </w:rPr>
      </w:pPr>
      <w:r w:rsidRPr="00DE058F">
        <w:rPr>
          <w:rFonts w:ascii="Calibri" w:eastAsia="Calibri" w:hAnsi="Calibri" w:cs="Calibri"/>
          <w:szCs w:val="20"/>
          <w:lang w:val="sr-Cyrl-CS"/>
        </w:rPr>
        <w:t>ограничењем издавања нових гаранција;</w:t>
      </w:r>
    </w:p>
    <w:p w14:paraId="738849B0" w14:textId="77777777" w:rsidR="00E124CF" w:rsidRPr="00DE058F" w:rsidRDefault="00E124CF" w:rsidP="00DB0157">
      <w:pPr>
        <w:numPr>
          <w:ilvl w:val="0"/>
          <w:numId w:val="2"/>
        </w:numPr>
        <w:spacing w:after="60"/>
        <w:ind w:left="180" w:hanging="180"/>
        <w:rPr>
          <w:rFonts w:ascii="Calibri" w:eastAsia="Calibri" w:hAnsi="Calibri" w:cs="Calibri"/>
          <w:szCs w:val="20"/>
          <w:lang w:val="sr-Cyrl-CS"/>
        </w:rPr>
      </w:pPr>
      <w:r w:rsidRPr="00DE058F">
        <w:rPr>
          <w:rFonts w:ascii="Calibri" w:eastAsia="Calibri" w:hAnsi="Calibri" w:cs="Calibri"/>
          <w:szCs w:val="20"/>
          <w:lang w:val="sr-Cyrl-CS"/>
        </w:rPr>
        <w:t>ограничењем закључивања нових пројектних зајмова у случајевима да претходно одобрени зајмови нису ефикасно коришћени;</w:t>
      </w:r>
    </w:p>
    <w:p w14:paraId="4E7FE823" w14:textId="77777777" w:rsidR="00E124CF" w:rsidRPr="00DE058F" w:rsidRDefault="00E124CF" w:rsidP="00DB0157">
      <w:pPr>
        <w:numPr>
          <w:ilvl w:val="0"/>
          <w:numId w:val="2"/>
        </w:numPr>
        <w:spacing w:after="60"/>
        <w:ind w:left="180" w:hanging="180"/>
        <w:rPr>
          <w:rFonts w:ascii="Calibri" w:eastAsia="Calibri" w:hAnsi="Calibri" w:cs="Calibri"/>
          <w:szCs w:val="20"/>
          <w:lang w:val="sr-Cyrl-CS"/>
        </w:rPr>
      </w:pPr>
      <w:r w:rsidRPr="00DE058F">
        <w:rPr>
          <w:rFonts w:ascii="Calibri" w:eastAsia="Calibri" w:hAnsi="Calibri" w:cs="Calibri"/>
          <w:szCs w:val="20"/>
          <w:lang w:val="sr-Cyrl-CS"/>
        </w:rPr>
        <w:t xml:space="preserve">откупом једног дела скупог дуга коришћењем средстава из повољнијих зајмова или </w:t>
      </w:r>
      <w:r w:rsidRPr="00DE058F">
        <w:rPr>
          <w:rFonts w:ascii="Calibri" w:eastAsia="Calibri" w:hAnsi="Calibri" w:cs="Calibri"/>
          <w:szCs w:val="20"/>
          <w:lang w:val="sr-Cyrl-CS"/>
        </w:rPr>
        <w:t>приватизационих прихода уколико за то постоје могућности;</w:t>
      </w:r>
    </w:p>
    <w:p w14:paraId="1BF962A8" w14:textId="77777777" w:rsidR="00E124CF" w:rsidRPr="00DE058F" w:rsidRDefault="00E124CF" w:rsidP="00DB0157">
      <w:pPr>
        <w:numPr>
          <w:ilvl w:val="0"/>
          <w:numId w:val="2"/>
        </w:numPr>
        <w:spacing w:after="60"/>
        <w:ind w:left="181" w:hanging="181"/>
        <w:rPr>
          <w:rFonts w:ascii="Calibri" w:eastAsia="Calibri" w:hAnsi="Calibri" w:cs="Calibri"/>
          <w:szCs w:val="20"/>
          <w:lang w:val="sr-Cyrl-CS"/>
        </w:rPr>
      </w:pPr>
      <w:r w:rsidRPr="00DE058F">
        <w:rPr>
          <w:rFonts w:ascii="Calibri" w:eastAsia="Calibri" w:hAnsi="Calibri" w:cs="Calibri"/>
          <w:szCs w:val="20"/>
          <w:lang w:val="sr-Cyrl-CS"/>
        </w:rPr>
        <w:t>идентификацијом и бољим управљањем фискалним ризицима.</w:t>
      </w:r>
    </w:p>
    <w:p w14:paraId="494A75A3" w14:textId="3DED5E3A" w:rsidR="00E124CF" w:rsidRPr="00DE058F" w:rsidRDefault="00E124CF" w:rsidP="00E124CF">
      <w:pPr>
        <w:rPr>
          <w:rFonts w:ascii="Calibri" w:eastAsia="Calibri" w:hAnsi="Calibri" w:cs="Calibri"/>
          <w:szCs w:val="20"/>
          <w:lang w:val="sr-Cyrl-CS"/>
        </w:rPr>
      </w:pPr>
      <w:r w:rsidRPr="00DE058F">
        <w:rPr>
          <w:rFonts w:ascii="Calibri" w:eastAsia="Calibri" w:hAnsi="Calibri" w:cs="Calibri"/>
          <w:szCs w:val="20"/>
          <w:lang w:val="sr-Cyrl-CS"/>
        </w:rPr>
        <w:t>Законски предвиђено учешће јавног дуга у БДП од 45% биће достигнуто током 2028. године. Успех претходног програма структурног фискалног прилагођавања омогућио је смањење учешћа дуга од 2015. до 2019. године за 18,4 п.п. БДП. Овакве околности утицале су на могућност Републике Србије да без тешкоће обезбеди неопходно финансирање фискалног дефицита током трајања пандемије COVID-19, као и несметану отплату доспелог дуга. Неизвесност у погледу тока и трајања пандемије на светском нивоу, предузетих здравствених мера</w:t>
      </w:r>
      <w:r w:rsidR="005B7570" w:rsidRPr="00DE058F">
        <w:rPr>
          <w:rFonts w:ascii="Calibri" w:eastAsia="Calibri" w:hAnsi="Calibri" w:cs="Calibri"/>
          <w:szCs w:val="20"/>
          <w:lang w:val="sr-Cyrl-CS"/>
        </w:rPr>
        <w:t>,</w:t>
      </w:r>
      <w:r w:rsidRPr="00DE058F">
        <w:rPr>
          <w:rFonts w:ascii="Calibri" w:eastAsia="Calibri" w:hAnsi="Calibri" w:cs="Calibri"/>
          <w:szCs w:val="20"/>
          <w:lang w:val="sr-Cyrl-CS"/>
        </w:rPr>
        <w:t xml:space="preserve"> као и присутне глобалне економске кризе, захтева опрезно вођење фискалне политике у наредном периоду.</w:t>
      </w:r>
    </w:p>
    <w:p w14:paraId="488FC74E" w14:textId="77777777" w:rsidR="00E124CF" w:rsidRPr="00DE058F" w:rsidRDefault="00E124CF" w:rsidP="00E124CF">
      <w:pPr>
        <w:rPr>
          <w:rFonts w:ascii="Calibri" w:eastAsia="Calibri" w:hAnsi="Calibri" w:cs="Calibri"/>
          <w:szCs w:val="20"/>
          <w:lang w:val="sr-Cyrl-CS"/>
        </w:rPr>
      </w:pPr>
      <w:r w:rsidRPr="00DE058F">
        <w:rPr>
          <w:rFonts w:ascii="Calibri" w:eastAsia="Calibri" w:hAnsi="Calibri" w:cs="Calibri"/>
          <w:szCs w:val="20"/>
          <w:lang w:val="sr-Cyrl-CS"/>
        </w:rPr>
        <w:t>Како је фискалним правилима предвиђена граница дуга од 45% БДП која се достиже током 2028. године, урађена је симулација кретања учешћа у случају варијације фактора који утичу на динамику дуга.</w:t>
      </w:r>
    </w:p>
    <w:p w14:paraId="4EDDD40D" w14:textId="77777777" w:rsidR="00E124CF" w:rsidRPr="00DE058F" w:rsidRDefault="00E124CF" w:rsidP="00E124CF">
      <w:pPr>
        <w:spacing w:after="60"/>
        <w:rPr>
          <w:rFonts w:ascii="Calibri" w:eastAsia="Calibri" w:hAnsi="Calibri" w:cs="Calibri"/>
          <w:szCs w:val="20"/>
          <w:lang w:val="sr-Cyrl-CS"/>
        </w:rPr>
      </w:pPr>
      <w:r w:rsidRPr="00DE058F">
        <w:rPr>
          <w:rFonts w:ascii="Calibri" w:eastAsia="Calibri" w:hAnsi="Calibri" w:cs="Calibri"/>
          <w:szCs w:val="20"/>
          <w:lang w:val="sr-Cyrl-CS"/>
        </w:rPr>
        <w:t>Претпоставке у основном сценарију су:</w:t>
      </w:r>
    </w:p>
    <w:p w14:paraId="2F1CD2F6" w14:textId="77777777" w:rsidR="00E124CF" w:rsidRPr="00DE058F" w:rsidRDefault="00E124CF" w:rsidP="00DB0157">
      <w:pPr>
        <w:numPr>
          <w:ilvl w:val="0"/>
          <w:numId w:val="3"/>
        </w:numPr>
        <w:ind w:left="90" w:hanging="180"/>
        <w:contextualSpacing/>
        <w:rPr>
          <w:rFonts w:cs="Calibri"/>
          <w:bCs/>
          <w:spacing w:val="-6"/>
          <w:szCs w:val="20"/>
          <w:lang w:val="sr-Cyrl-CS" w:eastAsia="ja-JP"/>
        </w:rPr>
      </w:pPr>
      <w:r w:rsidRPr="00DE058F">
        <w:rPr>
          <w:rFonts w:cs="Calibri"/>
          <w:bCs/>
          <w:spacing w:val="-6"/>
          <w:szCs w:val="20"/>
          <w:lang w:val="sr-Cyrl-CS" w:eastAsia="ja-JP"/>
        </w:rPr>
        <w:t>након оствареног високог нивоа фискалног дефицита у 2020. и 2021. години, у периоду од 2022. до 2025. године ниво општег и примарног фискалног резултата омогућава постепено смањење учешћа јавног дуга у БДП. Након тога, фискални дефицит се задржава на нивоу од 0,5% БДП;</w:t>
      </w:r>
    </w:p>
    <w:p w14:paraId="7FD5F1D8" w14:textId="77777777" w:rsidR="00E124CF" w:rsidRPr="00DE058F" w:rsidRDefault="00E124CF" w:rsidP="00DB0157">
      <w:pPr>
        <w:numPr>
          <w:ilvl w:val="0"/>
          <w:numId w:val="3"/>
        </w:numPr>
        <w:ind w:left="90" w:hanging="180"/>
        <w:contextualSpacing/>
        <w:rPr>
          <w:rFonts w:cs="Calibri"/>
          <w:bCs/>
          <w:szCs w:val="20"/>
          <w:lang w:val="sr-Cyrl-CS" w:eastAsia="ja-JP"/>
        </w:rPr>
      </w:pPr>
      <w:r w:rsidRPr="00DE058F">
        <w:rPr>
          <w:rFonts w:cs="Calibri"/>
          <w:bCs/>
          <w:szCs w:val="20"/>
          <w:lang w:val="sr-Cyrl-CS" w:eastAsia="ja-JP"/>
        </w:rPr>
        <w:t>спорији раст фискалних прихода у односу на номинални раст БДП услед промене структуре привреде, јачања инвестиционе активности и раста извоза. Не предвиђају се значајније промене у пореској политици, уз задржавање високог нивоа капиталних расхода;</w:t>
      </w:r>
    </w:p>
    <w:p w14:paraId="4DABDA70" w14:textId="77777777" w:rsidR="00E124CF" w:rsidRPr="00DE058F" w:rsidRDefault="00E124CF" w:rsidP="00DB0157">
      <w:pPr>
        <w:numPr>
          <w:ilvl w:val="0"/>
          <w:numId w:val="3"/>
        </w:numPr>
        <w:ind w:left="90" w:hanging="180"/>
        <w:contextualSpacing/>
        <w:rPr>
          <w:rFonts w:cs="Calibri"/>
          <w:bCs/>
          <w:szCs w:val="20"/>
          <w:lang w:val="sr-Cyrl-CS" w:eastAsia="ja-JP"/>
        </w:rPr>
      </w:pPr>
      <w:r w:rsidRPr="00DE058F">
        <w:rPr>
          <w:rFonts w:cs="Calibri"/>
          <w:bCs/>
          <w:szCs w:val="20"/>
          <w:lang w:val="sr-Cyrl-CS" w:eastAsia="ja-JP"/>
        </w:rPr>
        <w:t>изостанак нето прираста издатих гаранција након 2025. године;</w:t>
      </w:r>
    </w:p>
    <w:p w14:paraId="54E7D4FA" w14:textId="77777777" w:rsidR="00E124CF" w:rsidRPr="00DE058F" w:rsidRDefault="00E124CF" w:rsidP="00DB0157">
      <w:pPr>
        <w:numPr>
          <w:ilvl w:val="0"/>
          <w:numId w:val="3"/>
        </w:numPr>
        <w:ind w:left="90" w:hanging="180"/>
        <w:contextualSpacing/>
        <w:rPr>
          <w:rFonts w:cs="Calibri"/>
          <w:szCs w:val="20"/>
          <w:lang w:val="sr-Cyrl-CS" w:eastAsia="ja-JP"/>
        </w:rPr>
      </w:pPr>
      <w:r w:rsidRPr="00DE058F">
        <w:rPr>
          <w:rFonts w:cs="Calibri"/>
          <w:bCs/>
          <w:szCs w:val="20"/>
          <w:lang w:val="sr-Cyrl-CS" w:eastAsia="ja-JP"/>
        </w:rPr>
        <w:t>просечна стопа реалног раста БДП од 4% у дугом року</w:t>
      </w:r>
      <w:r w:rsidRPr="00DE058F">
        <w:rPr>
          <w:rFonts w:cs="Calibri"/>
          <w:szCs w:val="20"/>
          <w:lang w:val="sr-Cyrl-CS" w:eastAsia="ja-JP"/>
        </w:rPr>
        <w:t>;</w:t>
      </w:r>
    </w:p>
    <w:p w14:paraId="5CE24FF0" w14:textId="77777777" w:rsidR="00E124CF" w:rsidRPr="00DE058F" w:rsidRDefault="00E124CF" w:rsidP="00DB0157">
      <w:pPr>
        <w:numPr>
          <w:ilvl w:val="0"/>
          <w:numId w:val="3"/>
        </w:numPr>
        <w:ind w:left="90" w:hanging="180"/>
        <w:contextualSpacing/>
        <w:rPr>
          <w:rFonts w:cs="Calibri"/>
          <w:szCs w:val="20"/>
          <w:lang w:val="sr-Cyrl-CS" w:eastAsia="ja-JP"/>
        </w:rPr>
      </w:pPr>
      <w:r w:rsidRPr="00DE058F">
        <w:rPr>
          <w:rFonts w:cs="Calibri"/>
          <w:bCs/>
          <w:szCs w:val="20"/>
          <w:lang w:val="sr-Cyrl-CS" w:eastAsia="ja-JP"/>
        </w:rPr>
        <w:t>успоравање инфлације и након тога задржавање на нивоу од 3% просечно у дугом року</w:t>
      </w:r>
      <w:r w:rsidRPr="00DE058F">
        <w:rPr>
          <w:rFonts w:cs="Calibri"/>
          <w:szCs w:val="20"/>
          <w:lang w:val="sr-Cyrl-CS" w:eastAsia="ja-JP"/>
        </w:rPr>
        <w:t>;</w:t>
      </w:r>
    </w:p>
    <w:p w14:paraId="71219136" w14:textId="77777777" w:rsidR="00E124CF" w:rsidRPr="00DE058F" w:rsidRDefault="00E124CF" w:rsidP="00DB0157">
      <w:pPr>
        <w:numPr>
          <w:ilvl w:val="0"/>
          <w:numId w:val="3"/>
        </w:numPr>
        <w:ind w:left="90" w:hanging="181"/>
        <w:rPr>
          <w:rFonts w:cs="Calibri"/>
          <w:szCs w:val="20"/>
          <w:lang w:val="sr-Cyrl-CS" w:eastAsia="ja-JP"/>
        </w:rPr>
      </w:pPr>
      <w:r w:rsidRPr="00DE058F">
        <w:rPr>
          <w:rFonts w:cs="Calibri"/>
          <w:bCs/>
          <w:szCs w:val="20"/>
          <w:lang w:val="sr-Cyrl-CS" w:eastAsia="ja-JP"/>
        </w:rPr>
        <w:t>изостанак значајних прилива од приватизације у посматраном периоду 2026–2028. године</w:t>
      </w:r>
      <w:r w:rsidRPr="00DE058F">
        <w:rPr>
          <w:rFonts w:cs="Calibri"/>
          <w:szCs w:val="20"/>
          <w:lang w:val="sr-Cyrl-CS" w:eastAsia="ja-JP"/>
        </w:rPr>
        <w:t>. Евентуални већи приватизациони приходи смањују потребу за финансирањем и додатно смањују учешће јавног дуга.</w:t>
      </w:r>
    </w:p>
    <w:p w14:paraId="2FCCBB74" w14:textId="77777777" w:rsidR="00E124CF" w:rsidRPr="00DE058F" w:rsidRDefault="00E124CF" w:rsidP="00DB0157">
      <w:pPr>
        <w:numPr>
          <w:ilvl w:val="0"/>
          <w:numId w:val="3"/>
        </w:numPr>
        <w:ind w:left="90" w:hanging="181"/>
        <w:rPr>
          <w:rFonts w:cs="Calibri"/>
          <w:szCs w:val="20"/>
          <w:lang w:val="sr-Cyrl-CS" w:eastAsia="ja-JP"/>
        </w:rPr>
        <w:sectPr w:rsidR="00E124CF" w:rsidRPr="00DE058F" w:rsidSect="00E124CF">
          <w:type w:val="continuous"/>
          <w:pgSz w:w="12240" w:h="15840" w:code="1"/>
          <w:pgMar w:top="1417" w:right="1417" w:bottom="1417" w:left="1417" w:header="720" w:footer="720" w:gutter="0"/>
          <w:cols w:num="2" w:space="720"/>
          <w15:footnoteColumns w:val="1"/>
        </w:sectPr>
      </w:pPr>
    </w:p>
    <w:p w14:paraId="253C2B2B" w14:textId="208A4F83" w:rsidR="00E124CF" w:rsidRPr="00DE058F" w:rsidRDefault="00E124CF" w:rsidP="00E124CF">
      <w:pPr>
        <w:spacing w:after="0"/>
        <w:jc w:val="center"/>
        <w:rPr>
          <w:rFonts w:cstheme="minorHAnsi"/>
          <w:b/>
          <w:color w:val="002060"/>
          <w:lang w:val="sr-Cyrl-CS"/>
        </w:rPr>
      </w:pPr>
      <w:r w:rsidRPr="00DE058F">
        <w:rPr>
          <w:rFonts w:cstheme="minorHAnsi"/>
          <w:b/>
          <w:color w:val="002060"/>
          <w:lang w:val="sr-Cyrl-CS"/>
        </w:rPr>
        <w:lastRenderedPageBreak/>
        <w:t>Табела 2</w:t>
      </w:r>
      <w:r w:rsidR="00623E62" w:rsidRPr="00DE058F">
        <w:rPr>
          <w:rFonts w:cstheme="minorHAnsi"/>
          <w:b/>
          <w:color w:val="002060"/>
          <w:lang w:val="sr-Cyrl-CS"/>
        </w:rPr>
        <w:t>1</w:t>
      </w:r>
      <w:r w:rsidRPr="00DE058F">
        <w:rPr>
          <w:rFonts w:cstheme="minorHAnsi"/>
          <w:b/>
          <w:color w:val="002060"/>
          <w:lang w:val="sr-Cyrl-CS"/>
        </w:rPr>
        <w:t>. Симулација нивоа укупног дуга у основном сценарију до 2028. године, % БДП</w:t>
      </w:r>
    </w:p>
    <w:tbl>
      <w:tblPr>
        <w:tblStyle w:val="LightShading-Accent3382"/>
        <w:tblW w:w="5000" w:type="pct"/>
        <w:jc w:val="center"/>
        <w:tblLook w:val="04A0" w:firstRow="1" w:lastRow="0" w:firstColumn="1" w:lastColumn="0" w:noHBand="0" w:noVBand="1"/>
      </w:tblPr>
      <w:tblGrid>
        <w:gridCol w:w="2510"/>
        <w:gridCol w:w="862"/>
        <w:gridCol w:w="862"/>
        <w:gridCol w:w="862"/>
        <w:gridCol w:w="862"/>
        <w:gridCol w:w="862"/>
        <w:gridCol w:w="862"/>
        <w:gridCol w:w="862"/>
        <w:gridCol w:w="862"/>
      </w:tblGrid>
      <w:tr w:rsidR="00E124CF" w:rsidRPr="00DE058F" w14:paraId="6FDCF4A9" w14:textId="77777777" w:rsidTr="00482D55">
        <w:trPr>
          <w:cnfStyle w:val="100000000000" w:firstRow="1" w:lastRow="0" w:firstColumn="0" w:lastColumn="0" w:oddVBand="0" w:evenVBand="0" w:oddHBand="0"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335" w:type="pct"/>
            <w:tcBorders>
              <w:top w:val="single" w:sz="4" w:space="0" w:color="002060"/>
              <w:bottom w:val="single" w:sz="4" w:space="0" w:color="002060"/>
            </w:tcBorders>
            <w:shd w:val="clear" w:color="auto" w:fill="auto"/>
            <w:vAlign w:val="center"/>
            <w:hideMark/>
          </w:tcPr>
          <w:p w14:paraId="1050CE24" w14:textId="77777777" w:rsidR="00E124CF" w:rsidRPr="00DE058F" w:rsidRDefault="00E124CF" w:rsidP="00C43FA1">
            <w:pPr>
              <w:ind w:right="-427"/>
              <w:jc w:val="left"/>
              <w:rPr>
                <w:rFonts w:ascii="Calibri" w:eastAsia="Times New Roman" w:hAnsi="Calibri" w:cs="Calibri"/>
                <w:bCs w:val="0"/>
                <w:color w:val="002060"/>
                <w:sz w:val="18"/>
                <w:szCs w:val="18"/>
                <w:lang w:val="sr-Cyrl-CS"/>
              </w:rPr>
            </w:pPr>
            <w:r w:rsidRPr="00DE058F">
              <w:rPr>
                <w:rFonts w:ascii="Calibri" w:eastAsia="Times New Roman" w:hAnsi="Calibri" w:cs="Calibri"/>
                <w:b w:val="0"/>
                <w:bCs w:val="0"/>
                <w:color w:val="002060"/>
                <w:sz w:val="18"/>
                <w:szCs w:val="18"/>
                <w:lang w:val="sr-Cyrl-CS"/>
              </w:rPr>
              <w:t>Основни сценарио</w:t>
            </w:r>
          </w:p>
        </w:tc>
        <w:tc>
          <w:tcPr>
            <w:tcW w:w="458" w:type="pct"/>
            <w:tcBorders>
              <w:top w:val="single" w:sz="4" w:space="0" w:color="002060"/>
              <w:bottom w:val="single" w:sz="4" w:space="0" w:color="002060"/>
            </w:tcBorders>
            <w:shd w:val="clear" w:color="auto" w:fill="auto"/>
            <w:noWrap/>
            <w:vAlign w:val="center"/>
            <w:hideMark/>
          </w:tcPr>
          <w:p w14:paraId="0700F36E" w14:textId="77777777" w:rsidR="00E124CF" w:rsidRPr="00DE058F" w:rsidRDefault="00E124CF" w:rsidP="00C43FA1">
            <w:pPr>
              <w:jc w:val="right"/>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2060"/>
                <w:sz w:val="18"/>
                <w:szCs w:val="18"/>
                <w:lang w:val="sr-Cyrl-CS"/>
              </w:rPr>
            </w:pPr>
            <w:r w:rsidRPr="00DE058F">
              <w:rPr>
                <w:rFonts w:ascii="Calibri" w:hAnsi="Calibri" w:cs="Calibri"/>
                <w:b w:val="0"/>
                <w:bCs w:val="0"/>
                <w:color w:val="002060"/>
                <w:sz w:val="18"/>
                <w:szCs w:val="18"/>
                <w:lang w:val="sr-Cyrl-CS"/>
              </w:rPr>
              <w:t>2021</w:t>
            </w:r>
          </w:p>
        </w:tc>
        <w:tc>
          <w:tcPr>
            <w:tcW w:w="458" w:type="pct"/>
            <w:tcBorders>
              <w:top w:val="single" w:sz="4" w:space="0" w:color="002060"/>
              <w:bottom w:val="single" w:sz="4" w:space="0" w:color="002060"/>
            </w:tcBorders>
            <w:shd w:val="clear" w:color="auto" w:fill="auto"/>
            <w:noWrap/>
            <w:vAlign w:val="center"/>
            <w:hideMark/>
          </w:tcPr>
          <w:p w14:paraId="4A8766DA" w14:textId="77777777" w:rsidR="00E124CF" w:rsidRPr="00DE058F" w:rsidRDefault="00E124CF" w:rsidP="00C43FA1">
            <w:pPr>
              <w:jc w:val="right"/>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2060"/>
                <w:sz w:val="18"/>
                <w:szCs w:val="18"/>
                <w:lang w:val="sr-Cyrl-CS"/>
              </w:rPr>
            </w:pPr>
            <w:r w:rsidRPr="00DE058F">
              <w:rPr>
                <w:rFonts w:ascii="Calibri" w:hAnsi="Calibri" w:cs="Calibri"/>
                <w:b w:val="0"/>
                <w:bCs w:val="0"/>
                <w:color w:val="002060"/>
                <w:sz w:val="18"/>
                <w:szCs w:val="18"/>
                <w:lang w:val="sr-Cyrl-CS"/>
              </w:rPr>
              <w:t>2022</w:t>
            </w:r>
          </w:p>
        </w:tc>
        <w:tc>
          <w:tcPr>
            <w:tcW w:w="458" w:type="pct"/>
            <w:tcBorders>
              <w:top w:val="single" w:sz="4" w:space="0" w:color="002060"/>
              <w:bottom w:val="single" w:sz="4" w:space="0" w:color="002060"/>
            </w:tcBorders>
            <w:shd w:val="clear" w:color="auto" w:fill="auto"/>
            <w:noWrap/>
            <w:vAlign w:val="center"/>
            <w:hideMark/>
          </w:tcPr>
          <w:p w14:paraId="47819342" w14:textId="77777777" w:rsidR="00E124CF" w:rsidRPr="00DE058F" w:rsidRDefault="00E124CF" w:rsidP="00C43FA1">
            <w:pPr>
              <w:jc w:val="right"/>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2060"/>
                <w:sz w:val="18"/>
                <w:szCs w:val="18"/>
                <w:lang w:val="sr-Cyrl-CS"/>
              </w:rPr>
            </w:pPr>
            <w:r w:rsidRPr="00DE058F">
              <w:rPr>
                <w:rFonts w:ascii="Calibri" w:hAnsi="Calibri" w:cs="Calibri"/>
                <w:b w:val="0"/>
                <w:bCs w:val="0"/>
                <w:color w:val="002060"/>
                <w:sz w:val="18"/>
                <w:szCs w:val="18"/>
                <w:lang w:val="sr-Cyrl-CS"/>
              </w:rPr>
              <w:t>2023</w:t>
            </w:r>
          </w:p>
        </w:tc>
        <w:tc>
          <w:tcPr>
            <w:tcW w:w="458" w:type="pct"/>
            <w:tcBorders>
              <w:top w:val="single" w:sz="4" w:space="0" w:color="002060"/>
              <w:bottom w:val="single" w:sz="4" w:space="0" w:color="002060"/>
            </w:tcBorders>
            <w:shd w:val="clear" w:color="auto" w:fill="auto"/>
            <w:noWrap/>
            <w:vAlign w:val="center"/>
            <w:hideMark/>
          </w:tcPr>
          <w:p w14:paraId="50FB318D" w14:textId="77777777" w:rsidR="00E124CF" w:rsidRPr="00DE058F" w:rsidRDefault="00E124CF" w:rsidP="00C43FA1">
            <w:pPr>
              <w:jc w:val="right"/>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2060"/>
                <w:sz w:val="18"/>
                <w:szCs w:val="18"/>
                <w:lang w:val="sr-Cyrl-CS"/>
              </w:rPr>
            </w:pPr>
            <w:r w:rsidRPr="00DE058F">
              <w:rPr>
                <w:rFonts w:ascii="Calibri" w:hAnsi="Calibri" w:cs="Calibri"/>
                <w:b w:val="0"/>
                <w:bCs w:val="0"/>
                <w:color w:val="002060"/>
                <w:sz w:val="18"/>
                <w:szCs w:val="18"/>
                <w:lang w:val="sr-Cyrl-CS"/>
              </w:rPr>
              <w:t>2024</w:t>
            </w:r>
          </w:p>
        </w:tc>
        <w:tc>
          <w:tcPr>
            <w:tcW w:w="458" w:type="pct"/>
            <w:tcBorders>
              <w:top w:val="single" w:sz="4" w:space="0" w:color="002060"/>
              <w:bottom w:val="single" w:sz="4" w:space="0" w:color="002060"/>
            </w:tcBorders>
            <w:shd w:val="clear" w:color="auto" w:fill="auto"/>
            <w:noWrap/>
            <w:vAlign w:val="center"/>
            <w:hideMark/>
          </w:tcPr>
          <w:p w14:paraId="4FA8E19D" w14:textId="77777777" w:rsidR="00E124CF" w:rsidRPr="00DE058F" w:rsidRDefault="00E124CF" w:rsidP="00C43FA1">
            <w:pPr>
              <w:jc w:val="right"/>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2060"/>
                <w:sz w:val="18"/>
                <w:szCs w:val="18"/>
                <w:lang w:val="sr-Cyrl-CS"/>
              </w:rPr>
            </w:pPr>
            <w:r w:rsidRPr="00DE058F">
              <w:rPr>
                <w:rFonts w:ascii="Calibri" w:hAnsi="Calibri" w:cs="Calibri"/>
                <w:b w:val="0"/>
                <w:bCs w:val="0"/>
                <w:color w:val="002060"/>
                <w:sz w:val="18"/>
                <w:szCs w:val="18"/>
                <w:lang w:val="sr-Cyrl-CS"/>
              </w:rPr>
              <w:t>2025</w:t>
            </w:r>
          </w:p>
        </w:tc>
        <w:tc>
          <w:tcPr>
            <w:tcW w:w="458" w:type="pct"/>
            <w:tcBorders>
              <w:top w:val="single" w:sz="4" w:space="0" w:color="002060"/>
              <w:bottom w:val="single" w:sz="4" w:space="0" w:color="002060"/>
            </w:tcBorders>
            <w:shd w:val="clear" w:color="auto" w:fill="auto"/>
            <w:noWrap/>
            <w:vAlign w:val="center"/>
            <w:hideMark/>
          </w:tcPr>
          <w:p w14:paraId="1CE41363" w14:textId="77777777" w:rsidR="00E124CF" w:rsidRPr="00DE058F" w:rsidRDefault="00E124CF" w:rsidP="00C43FA1">
            <w:pPr>
              <w:jc w:val="right"/>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2060"/>
                <w:sz w:val="18"/>
                <w:szCs w:val="18"/>
                <w:lang w:val="sr-Cyrl-CS"/>
              </w:rPr>
            </w:pPr>
            <w:r w:rsidRPr="00DE058F">
              <w:rPr>
                <w:rFonts w:ascii="Calibri" w:hAnsi="Calibri" w:cs="Calibri"/>
                <w:b w:val="0"/>
                <w:bCs w:val="0"/>
                <w:color w:val="002060"/>
                <w:sz w:val="18"/>
                <w:szCs w:val="18"/>
                <w:lang w:val="sr-Cyrl-CS"/>
              </w:rPr>
              <w:t>2026</w:t>
            </w:r>
          </w:p>
        </w:tc>
        <w:tc>
          <w:tcPr>
            <w:tcW w:w="458" w:type="pct"/>
            <w:tcBorders>
              <w:top w:val="single" w:sz="4" w:space="0" w:color="002060"/>
              <w:bottom w:val="single" w:sz="4" w:space="0" w:color="002060"/>
            </w:tcBorders>
            <w:shd w:val="clear" w:color="auto" w:fill="auto"/>
            <w:noWrap/>
            <w:vAlign w:val="center"/>
            <w:hideMark/>
          </w:tcPr>
          <w:p w14:paraId="74C87E26" w14:textId="77777777" w:rsidR="00E124CF" w:rsidRPr="00DE058F" w:rsidRDefault="00E124CF" w:rsidP="00C43FA1">
            <w:pPr>
              <w:jc w:val="right"/>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2060"/>
                <w:sz w:val="18"/>
                <w:szCs w:val="18"/>
                <w:lang w:val="sr-Cyrl-CS"/>
              </w:rPr>
            </w:pPr>
            <w:r w:rsidRPr="00DE058F">
              <w:rPr>
                <w:rFonts w:ascii="Calibri" w:hAnsi="Calibri" w:cs="Calibri"/>
                <w:b w:val="0"/>
                <w:bCs w:val="0"/>
                <w:color w:val="002060"/>
                <w:sz w:val="18"/>
                <w:szCs w:val="18"/>
                <w:lang w:val="sr-Cyrl-CS"/>
              </w:rPr>
              <w:t>2027</w:t>
            </w:r>
          </w:p>
        </w:tc>
        <w:tc>
          <w:tcPr>
            <w:tcW w:w="458" w:type="pct"/>
            <w:tcBorders>
              <w:top w:val="single" w:sz="4" w:space="0" w:color="002060"/>
              <w:bottom w:val="single" w:sz="4" w:space="0" w:color="002060"/>
            </w:tcBorders>
            <w:shd w:val="clear" w:color="auto" w:fill="auto"/>
            <w:noWrap/>
            <w:vAlign w:val="center"/>
            <w:hideMark/>
          </w:tcPr>
          <w:p w14:paraId="4A9C790E" w14:textId="77777777" w:rsidR="00E124CF" w:rsidRPr="00DE058F" w:rsidRDefault="00E124CF" w:rsidP="00C43FA1">
            <w:pPr>
              <w:jc w:val="right"/>
              <w:cnfStyle w:val="100000000000" w:firstRow="1" w:lastRow="0" w:firstColumn="0" w:lastColumn="0" w:oddVBand="0" w:evenVBand="0" w:oddHBand="0" w:evenHBand="0" w:firstRowFirstColumn="0" w:firstRowLastColumn="0" w:lastRowFirstColumn="0" w:lastRowLastColumn="0"/>
              <w:rPr>
                <w:rFonts w:ascii="Calibri" w:hAnsi="Calibri" w:cs="Calibri"/>
                <w:bCs w:val="0"/>
                <w:color w:val="002060"/>
                <w:sz w:val="18"/>
                <w:szCs w:val="18"/>
                <w:lang w:val="sr-Cyrl-CS"/>
              </w:rPr>
            </w:pPr>
            <w:r w:rsidRPr="00DE058F">
              <w:rPr>
                <w:rFonts w:ascii="Calibri" w:hAnsi="Calibri" w:cs="Calibri"/>
                <w:b w:val="0"/>
                <w:bCs w:val="0"/>
                <w:color w:val="002060"/>
                <w:sz w:val="18"/>
                <w:szCs w:val="18"/>
                <w:lang w:val="sr-Cyrl-CS"/>
              </w:rPr>
              <w:t>2028</w:t>
            </w:r>
          </w:p>
        </w:tc>
      </w:tr>
      <w:tr w:rsidR="00E124CF" w:rsidRPr="00DE058F" w14:paraId="16385CF6" w14:textId="77777777" w:rsidTr="00482D55">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335" w:type="pct"/>
            <w:tcBorders>
              <w:top w:val="single" w:sz="4" w:space="0" w:color="002060"/>
              <w:bottom w:val="nil"/>
            </w:tcBorders>
            <w:shd w:val="clear" w:color="auto" w:fill="auto"/>
            <w:noWrap/>
            <w:vAlign w:val="center"/>
            <w:hideMark/>
          </w:tcPr>
          <w:p w14:paraId="0AA2EACA" w14:textId="77777777" w:rsidR="00E124CF" w:rsidRPr="00DE058F" w:rsidRDefault="00E124CF" w:rsidP="00C43FA1">
            <w:pPr>
              <w:jc w:val="left"/>
              <w:rPr>
                <w:rFonts w:ascii="Calibri" w:eastAsia="Times New Roman" w:hAnsi="Calibri" w:cs="Calibri"/>
                <w:bCs w:val="0"/>
                <w:color w:val="002060"/>
                <w:sz w:val="18"/>
                <w:szCs w:val="18"/>
                <w:lang w:val="sr-Cyrl-CS"/>
              </w:rPr>
            </w:pPr>
            <w:r w:rsidRPr="00DE058F">
              <w:rPr>
                <w:rFonts w:ascii="Calibri" w:eastAsia="Times New Roman" w:hAnsi="Calibri" w:cs="Calibri"/>
                <w:b w:val="0"/>
                <w:bCs w:val="0"/>
                <w:color w:val="002060"/>
                <w:sz w:val="18"/>
                <w:szCs w:val="18"/>
                <w:lang w:val="sr-Cyrl-CS"/>
              </w:rPr>
              <w:t>Приходи</w:t>
            </w:r>
          </w:p>
        </w:tc>
        <w:tc>
          <w:tcPr>
            <w:tcW w:w="458" w:type="pct"/>
            <w:tcBorders>
              <w:top w:val="single" w:sz="4" w:space="0" w:color="002060"/>
              <w:bottom w:val="nil"/>
            </w:tcBorders>
            <w:shd w:val="clear" w:color="auto" w:fill="auto"/>
            <w:noWrap/>
            <w:vAlign w:val="center"/>
            <w:hideMark/>
          </w:tcPr>
          <w:p w14:paraId="2715F05F"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43,3</w:t>
            </w:r>
          </w:p>
        </w:tc>
        <w:tc>
          <w:tcPr>
            <w:tcW w:w="458" w:type="pct"/>
            <w:tcBorders>
              <w:top w:val="single" w:sz="4" w:space="0" w:color="002060"/>
              <w:bottom w:val="nil"/>
            </w:tcBorders>
            <w:shd w:val="clear" w:color="auto" w:fill="auto"/>
            <w:noWrap/>
            <w:vAlign w:val="center"/>
            <w:hideMark/>
          </w:tcPr>
          <w:p w14:paraId="0FB32DB4"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42,0</w:t>
            </w:r>
          </w:p>
        </w:tc>
        <w:tc>
          <w:tcPr>
            <w:tcW w:w="458" w:type="pct"/>
            <w:tcBorders>
              <w:top w:val="single" w:sz="4" w:space="0" w:color="002060"/>
              <w:bottom w:val="nil"/>
            </w:tcBorders>
            <w:shd w:val="clear" w:color="auto" w:fill="auto"/>
            <w:noWrap/>
            <w:vAlign w:val="center"/>
            <w:hideMark/>
          </w:tcPr>
          <w:p w14:paraId="67ED06EA"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41,2</w:t>
            </w:r>
          </w:p>
        </w:tc>
        <w:tc>
          <w:tcPr>
            <w:tcW w:w="458" w:type="pct"/>
            <w:tcBorders>
              <w:top w:val="single" w:sz="4" w:space="0" w:color="002060"/>
              <w:bottom w:val="nil"/>
            </w:tcBorders>
            <w:shd w:val="clear" w:color="auto" w:fill="auto"/>
            <w:noWrap/>
            <w:vAlign w:val="center"/>
            <w:hideMark/>
          </w:tcPr>
          <w:p w14:paraId="0B2F2583"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40,7</w:t>
            </w:r>
          </w:p>
        </w:tc>
        <w:tc>
          <w:tcPr>
            <w:tcW w:w="458" w:type="pct"/>
            <w:tcBorders>
              <w:top w:val="single" w:sz="4" w:space="0" w:color="002060"/>
              <w:bottom w:val="nil"/>
            </w:tcBorders>
            <w:shd w:val="clear" w:color="auto" w:fill="auto"/>
            <w:noWrap/>
            <w:vAlign w:val="center"/>
            <w:hideMark/>
          </w:tcPr>
          <w:p w14:paraId="2ABED8A6"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40,1</w:t>
            </w:r>
          </w:p>
        </w:tc>
        <w:tc>
          <w:tcPr>
            <w:tcW w:w="458" w:type="pct"/>
            <w:tcBorders>
              <w:top w:val="single" w:sz="4" w:space="0" w:color="002060"/>
              <w:bottom w:val="nil"/>
            </w:tcBorders>
            <w:shd w:val="clear" w:color="auto" w:fill="auto"/>
            <w:noWrap/>
            <w:vAlign w:val="center"/>
            <w:hideMark/>
          </w:tcPr>
          <w:p w14:paraId="768A2BC6"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39,9</w:t>
            </w:r>
          </w:p>
        </w:tc>
        <w:tc>
          <w:tcPr>
            <w:tcW w:w="458" w:type="pct"/>
            <w:tcBorders>
              <w:top w:val="single" w:sz="4" w:space="0" w:color="002060"/>
              <w:bottom w:val="nil"/>
            </w:tcBorders>
            <w:shd w:val="clear" w:color="auto" w:fill="auto"/>
            <w:noWrap/>
            <w:vAlign w:val="center"/>
            <w:hideMark/>
          </w:tcPr>
          <w:p w14:paraId="2DBE321B"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39,7</w:t>
            </w:r>
          </w:p>
        </w:tc>
        <w:tc>
          <w:tcPr>
            <w:tcW w:w="458" w:type="pct"/>
            <w:tcBorders>
              <w:top w:val="single" w:sz="4" w:space="0" w:color="002060"/>
              <w:bottom w:val="nil"/>
            </w:tcBorders>
            <w:shd w:val="clear" w:color="auto" w:fill="auto"/>
            <w:noWrap/>
            <w:vAlign w:val="center"/>
            <w:hideMark/>
          </w:tcPr>
          <w:p w14:paraId="7495144A"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39,5</w:t>
            </w:r>
          </w:p>
        </w:tc>
      </w:tr>
      <w:tr w:rsidR="00E124CF" w:rsidRPr="00DE058F" w14:paraId="1D04E61A" w14:textId="77777777" w:rsidTr="00482D55">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335" w:type="pct"/>
            <w:tcBorders>
              <w:top w:val="nil"/>
              <w:left w:val="nil"/>
              <w:bottom w:val="nil"/>
              <w:right w:val="nil"/>
            </w:tcBorders>
            <w:shd w:val="clear" w:color="auto" w:fill="auto"/>
            <w:noWrap/>
            <w:vAlign w:val="center"/>
            <w:hideMark/>
          </w:tcPr>
          <w:p w14:paraId="0B53096F" w14:textId="77777777" w:rsidR="00E124CF" w:rsidRPr="00DE058F" w:rsidRDefault="00E124CF" w:rsidP="00C43FA1">
            <w:pPr>
              <w:jc w:val="left"/>
              <w:rPr>
                <w:rFonts w:ascii="Calibri" w:eastAsia="Times New Roman" w:hAnsi="Calibri" w:cs="Calibri"/>
                <w:bCs w:val="0"/>
                <w:color w:val="002060"/>
                <w:sz w:val="18"/>
                <w:szCs w:val="18"/>
                <w:lang w:val="sr-Cyrl-CS"/>
              </w:rPr>
            </w:pPr>
            <w:r w:rsidRPr="00DE058F">
              <w:rPr>
                <w:rFonts w:ascii="Calibri" w:eastAsia="Times New Roman" w:hAnsi="Calibri" w:cs="Calibri"/>
                <w:b w:val="0"/>
                <w:bCs w:val="0"/>
                <w:color w:val="002060"/>
                <w:sz w:val="18"/>
                <w:szCs w:val="18"/>
                <w:lang w:val="sr-Cyrl-CS"/>
              </w:rPr>
              <w:t>Расходи</w:t>
            </w:r>
          </w:p>
        </w:tc>
        <w:tc>
          <w:tcPr>
            <w:tcW w:w="458" w:type="pct"/>
            <w:tcBorders>
              <w:top w:val="nil"/>
              <w:left w:val="nil"/>
              <w:bottom w:val="nil"/>
              <w:right w:val="nil"/>
            </w:tcBorders>
            <w:shd w:val="clear" w:color="auto" w:fill="auto"/>
            <w:noWrap/>
            <w:vAlign w:val="center"/>
            <w:hideMark/>
          </w:tcPr>
          <w:p w14:paraId="0B9DA66B"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47,4</w:t>
            </w:r>
          </w:p>
        </w:tc>
        <w:tc>
          <w:tcPr>
            <w:tcW w:w="458" w:type="pct"/>
            <w:tcBorders>
              <w:top w:val="nil"/>
              <w:left w:val="nil"/>
              <w:bottom w:val="nil"/>
              <w:right w:val="nil"/>
            </w:tcBorders>
            <w:shd w:val="clear" w:color="auto" w:fill="auto"/>
            <w:noWrap/>
            <w:vAlign w:val="center"/>
            <w:hideMark/>
          </w:tcPr>
          <w:p w14:paraId="3A06081A"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45,0</w:t>
            </w:r>
          </w:p>
        </w:tc>
        <w:tc>
          <w:tcPr>
            <w:tcW w:w="458" w:type="pct"/>
            <w:tcBorders>
              <w:top w:val="nil"/>
              <w:left w:val="nil"/>
              <w:bottom w:val="nil"/>
              <w:right w:val="nil"/>
            </w:tcBorders>
            <w:shd w:val="clear" w:color="auto" w:fill="auto"/>
            <w:noWrap/>
            <w:vAlign w:val="center"/>
            <w:hideMark/>
          </w:tcPr>
          <w:p w14:paraId="14718DE3"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42,7</w:t>
            </w:r>
          </w:p>
        </w:tc>
        <w:tc>
          <w:tcPr>
            <w:tcW w:w="458" w:type="pct"/>
            <w:tcBorders>
              <w:top w:val="nil"/>
              <w:left w:val="nil"/>
              <w:bottom w:val="nil"/>
              <w:right w:val="nil"/>
            </w:tcBorders>
            <w:shd w:val="clear" w:color="auto" w:fill="auto"/>
            <w:noWrap/>
            <w:vAlign w:val="center"/>
            <w:hideMark/>
          </w:tcPr>
          <w:p w14:paraId="635CF908"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41,7</w:t>
            </w:r>
          </w:p>
        </w:tc>
        <w:tc>
          <w:tcPr>
            <w:tcW w:w="458" w:type="pct"/>
            <w:tcBorders>
              <w:top w:val="nil"/>
              <w:left w:val="nil"/>
              <w:bottom w:val="nil"/>
              <w:right w:val="nil"/>
            </w:tcBorders>
            <w:shd w:val="clear" w:color="auto" w:fill="auto"/>
            <w:noWrap/>
            <w:vAlign w:val="center"/>
            <w:hideMark/>
          </w:tcPr>
          <w:p w14:paraId="00CA9142"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40,6</w:t>
            </w:r>
          </w:p>
        </w:tc>
        <w:tc>
          <w:tcPr>
            <w:tcW w:w="458" w:type="pct"/>
            <w:tcBorders>
              <w:top w:val="nil"/>
              <w:left w:val="nil"/>
              <w:bottom w:val="nil"/>
              <w:right w:val="nil"/>
            </w:tcBorders>
            <w:shd w:val="clear" w:color="auto" w:fill="auto"/>
            <w:noWrap/>
            <w:vAlign w:val="center"/>
            <w:hideMark/>
          </w:tcPr>
          <w:p w14:paraId="76335349"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40,4</w:t>
            </w:r>
          </w:p>
        </w:tc>
        <w:tc>
          <w:tcPr>
            <w:tcW w:w="458" w:type="pct"/>
            <w:tcBorders>
              <w:top w:val="nil"/>
              <w:left w:val="nil"/>
              <w:bottom w:val="nil"/>
              <w:right w:val="nil"/>
            </w:tcBorders>
            <w:shd w:val="clear" w:color="auto" w:fill="auto"/>
            <w:noWrap/>
            <w:vAlign w:val="center"/>
            <w:hideMark/>
          </w:tcPr>
          <w:p w14:paraId="2A0F0E35"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40,2</w:t>
            </w:r>
          </w:p>
        </w:tc>
        <w:tc>
          <w:tcPr>
            <w:tcW w:w="458" w:type="pct"/>
            <w:tcBorders>
              <w:top w:val="nil"/>
              <w:left w:val="nil"/>
              <w:bottom w:val="nil"/>
              <w:right w:val="nil"/>
            </w:tcBorders>
            <w:shd w:val="clear" w:color="auto" w:fill="auto"/>
            <w:noWrap/>
            <w:vAlign w:val="center"/>
            <w:hideMark/>
          </w:tcPr>
          <w:p w14:paraId="1EA0E1D8"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40,0</w:t>
            </w:r>
          </w:p>
        </w:tc>
      </w:tr>
      <w:tr w:rsidR="00E124CF" w:rsidRPr="00DE058F" w14:paraId="02B650FF" w14:textId="77777777" w:rsidTr="00482D55">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335" w:type="pct"/>
            <w:tcBorders>
              <w:top w:val="nil"/>
              <w:bottom w:val="nil"/>
            </w:tcBorders>
            <w:shd w:val="clear" w:color="auto" w:fill="auto"/>
            <w:noWrap/>
            <w:vAlign w:val="center"/>
            <w:hideMark/>
          </w:tcPr>
          <w:p w14:paraId="5FFC239F" w14:textId="77777777" w:rsidR="00E124CF" w:rsidRPr="00DE058F" w:rsidRDefault="00E124CF" w:rsidP="00C43FA1">
            <w:pPr>
              <w:jc w:val="left"/>
              <w:rPr>
                <w:rFonts w:ascii="Calibri" w:eastAsia="Times New Roman" w:hAnsi="Calibri" w:cs="Calibri"/>
                <w:bCs w:val="0"/>
                <w:iCs/>
                <w:color w:val="002060"/>
                <w:sz w:val="18"/>
                <w:szCs w:val="18"/>
                <w:lang w:val="sr-Cyrl-CS"/>
              </w:rPr>
            </w:pPr>
            <w:r w:rsidRPr="00DE058F">
              <w:rPr>
                <w:rFonts w:ascii="Calibri" w:eastAsia="Times New Roman" w:hAnsi="Calibri" w:cs="Calibri"/>
                <w:b w:val="0"/>
                <w:bCs w:val="0"/>
                <w:iCs/>
                <w:color w:val="002060"/>
                <w:sz w:val="18"/>
                <w:szCs w:val="18"/>
                <w:lang w:val="sr-Cyrl-CS"/>
              </w:rPr>
              <w:t>Пад учешћа расхода</w:t>
            </w:r>
          </w:p>
        </w:tc>
        <w:tc>
          <w:tcPr>
            <w:tcW w:w="458" w:type="pct"/>
            <w:tcBorders>
              <w:top w:val="nil"/>
              <w:bottom w:val="nil"/>
            </w:tcBorders>
            <w:shd w:val="clear" w:color="auto" w:fill="auto"/>
            <w:noWrap/>
            <w:vAlign w:val="center"/>
            <w:hideMark/>
          </w:tcPr>
          <w:p w14:paraId="66EF8318"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p>
        </w:tc>
        <w:tc>
          <w:tcPr>
            <w:tcW w:w="458" w:type="pct"/>
            <w:tcBorders>
              <w:top w:val="nil"/>
              <w:bottom w:val="nil"/>
            </w:tcBorders>
            <w:shd w:val="clear" w:color="auto" w:fill="auto"/>
            <w:noWrap/>
            <w:vAlign w:val="center"/>
            <w:hideMark/>
          </w:tcPr>
          <w:p w14:paraId="0D8524FC"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-2,4</w:t>
            </w:r>
          </w:p>
        </w:tc>
        <w:tc>
          <w:tcPr>
            <w:tcW w:w="458" w:type="pct"/>
            <w:tcBorders>
              <w:top w:val="nil"/>
              <w:bottom w:val="nil"/>
            </w:tcBorders>
            <w:shd w:val="clear" w:color="auto" w:fill="auto"/>
            <w:noWrap/>
            <w:vAlign w:val="center"/>
            <w:hideMark/>
          </w:tcPr>
          <w:p w14:paraId="47E8954A"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-2,3</w:t>
            </w:r>
          </w:p>
        </w:tc>
        <w:tc>
          <w:tcPr>
            <w:tcW w:w="458" w:type="pct"/>
            <w:tcBorders>
              <w:top w:val="nil"/>
              <w:bottom w:val="nil"/>
            </w:tcBorders>
            <w:shd w:val="clear" w:color="auto" w:fill="auto"/>
            <w:noWrap/>
            <w:vAlign w:val="center"/>
            <w:hideMark/>
          </w:tcPr>
          <w:p w14:paraId="40B40522"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-1,0</w:t>
            </w:r>
          </w:p>
        </w:tc>
        <w:tc>
          <w:tcPr>
            <w:tcW w:w="458" w:type="pct"/>
            <w:tcBorders>
              <w:top w:val="nil"/>
              <w:bottom w:val="nil"/>
            </w:tcBorders>
            <w:shd w:val="clear" w:color="auto" w:fill="auto"/>
            <w:noWrap/>
            <w:vAlign w:val="center"/>
            <w:hideMark/>
          </w:tcPr>
          <w:p w14:paraId="5535CD9B"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-1,1</w:t>
            </w:r>
          </w:p>
        </w:tc>
        <w:tc>
          <w:tcPr>
            <w:tcW w:w="458" w:type="pct"/>
            <w:tcBorders>
              <w:top w:val="nil"/>
              <w:bottom w:val="nil"/>
            </w:tcBorders>
            <w:shd w:val="clear" w:color="auto" w:fill="auto"/>
            <w:noWrap/>
            <w:vAlign w:val="center"/>
            <w:hideMark/>
          </w:tcPr>
          <w:p w14:paraId="0C1D8E80"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-0,3</w:t>
            </w:r>
          </w:p>
        </w:tc>
        <w:tc>
          <w:tcPr>
            <w:tcW w:w="458" w:type="pct"/>
            <w:tcBorders>
              <w:top w:val="nil"/>
              <w:bottom w:val="nil"/>
            </w:tcBorders>
            <w:shd w:val="clear" w:color="auto" w:fill="auto"/>
            <w:noWrap/>
            <w:vAlign w:val="center"/>
            <w:hideMark/>
          </w:tcPr>
          <w:p w14:paraId="64F07A26"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-0,2</w:t>
            </w:r>
          </w:p>
        </w:tc>
        <w:tc>
          <w:tcPr>
            <w:tcW w:w="458" w:type="pct"/>
            <w:tcBorders>
              <w:top w:val="nil"/>
              <w:bottom w:val="nil"/>
            </w:tcBorders>
            <w:shd w:val="clear" w:color="auto" w:fill="auto"/>
            <w:noWrap/>
            <w:vAlign w:val="center"/>
            <w:hideMark/>
          </w:tcPr>
          <w:p w14:paraId="788ADFBD"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-0,2</w:t>
            </w:r>
          </w:p>
        </w:tc>
      </w:tr>
      <w:tr w:rsidR="00E124CF" w:rsidRPr="00DE058F" w14:paraId="29A9A293" w14:textId="77777777" w:rsidTr="00482D55">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335" w:type="pct"/>
            <w:tcBorders>
              <w:top w:val="nil"/>
              <w:left w:val="nil"/>
              <w:bottom w:val="nil"/>
              <w:right w:val="nil"/>
            </w:tcBorders>
            <w:shd w:val="clear" w:color="auto" w:fill="auto"/>
            <w:noWrap/>
            <w:vAlign w:val="center"/>
            <w:hideMark/>
          </w:tcPr>
          <w:p w14:paraId="274DF984" w14:textId="77777777" w:rsidR="00E124CF" w:rsidRPr="00DE058F" w:rsidRDefault="00E124CF" w:rsidP="00C43FA1">
            <w:pPr>
              <w:jc w:val="left"/>
              <w:rPr>
                <w:rFonts w:ascii="Calibri" w:eastAsia="Times New Roman" w:hAnsi="Calibri" w:cs="Calibri"/>
                <w:bCs w:val="0"/>
                <w:color w:val="002060"/>
                <w:sz w:val="18"/>
                <w:szCs w:val="18"/>
                <w:lang w:val="sr-Cyrl-CS"/>
              </w:rPr>
            </w:pPr>
            <w:r w:rsidRPr="00DE058F">
              <w:rPr>
                <w:rFonts w:ascii="Calibri" w:eastAsia="Times New Roman" w:hAnsi="Calibri" w:cs="Calibri"/>
                <w:b w:val="0"/>
                <w:bCs w:val="0"/>
                <w:color w:val="002060"/>
                <w:sz w:val="18"/>
                <w:szCs w:val="18"/>
                <w:lang w:val="sr-Cyrl-CS"/>
              </w:rPr>
              <w:t xml:space="preserve">Фискални резултат </w:t>
            </w:r>
          </w:p>
        </w:tc>
        <w:tc>
          <w:tcPr>
            <w:tcW w:w="458" w:type="pct"/>
            <w:tcBorders>
              <w:top w:val="nil"/>
              <w:left w:val="nil"/>
              <w:bottom w:val="nil"/>
              <w:right w:val="nil"/>
            </w:tcBorders>
            <w:shd w:val="clear" w:color="auto" w:fill="auto"/>
            <w:noWrap/>
            <w:vAlign w:val="center"/>
            <w:hideMark/>
          </w:tcPr>
          <w:p w14:paraId="7569FD3E"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-4,1</w:t>
            </w:r>
          </w:p>
        </w:tc>
        <w:tc>
          <w:tcPr>
            <w:tcW w:w="458" w:type="pct"/>
            <w:tcBorders>
              <w:top w:val="nil"/>
              <w:left w:val="nil"/>
              <w:bottom w:val="nil"/>
              <w:right w:val="nil"/>
            </w:tcBorders>
            <w:shd w:val="clear" w:color="auto" w:fill="auto"/>
            <w:noWrap/>
            <w:vAlign w:val="center"/>
            <w:hideMark/>
          </w:tcPr>
          <w:p w14:paraId="7E251E84"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-3,0</w:t>
            </w:r>
          </w:p>
        </w:tc>
        <w:tc>
          <w:tcPr>
            <w:tcW w:w="458" w:type="pct"/>
            <w:tcBorders>
              <w:top w:val="nil"/>
              <w:left w:val="nil"/>
              <w:bottom w:val="nil"/>
              <w:right w:val="nil"/>
            </w:tcBorders>
            <w:shd w:val="clear" w:color="auto" w:fill="auto"/>
            <w:noWrap/>
            <w:vAlign w:val="center"/>
            <w:hideMark/>
          </w:tcPr>
          <w:p w14:paraId="7110BCD7"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-1,5</w:t>
            </w:r>
          </w:p>
        </w:tc>
        <w:tc>
          <w:tcPr>
            <w:tcW w:w="458" w:type="pct"/>
            <w:tcBorders>
              <w:top w:val="nil"/>
              <w:left w:val="nil"/>
              <w:bottom w:val="nil"/>
              <w:right w:val="nil"/>
            </w:tcBorders>
            <w:shd w:val="clear" w:color="auto" w:fill="auto"/>
            <w:noWrap/>
            <w:vAlign w:val="center"/>
            <w:hideMark/>
          </w:tcPr>
          <w:p w14:paraId="2A296CEF"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-1,0</w:t>
            </w:r>
          </w:p>
        </w:tc>
        <w:tc>
          <w:tcPr>
            <w:tcW w:w="458" w:type="pct"/>
            <w:tcBorders>
              <w:top w:val="nil"/>
              <w:left w:val="nil"/>
              <w:bottom w:val="nil"/>
              <w:right w:val="nil"/>
            </w:tcBorders>
            <w:shd w:val="clear" w:color="auto" w:fill="auto"/>
            <w:noWrap/>
            <w:vAlign w:val="center"/>
            <w:hideMark/>
          </w:tcPr>
          <w:p w14:paraId="1244C4CC"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-0,5</w:t>
            </w:r>
          </w:p>
        </w:tc>
        <w:tc>
          <w:tcPr>
            <w:tcW w:w="458" w:type="pct"/>
            <w:tcBorders>
              <w:top w:val="nil"/>
              <w:left w:val="nil"/>
              <w:bottom w:val="nil"/>
              <w:right w:val="nil"/>
            </w:tcBorders>
            <w:shd w:val="clear" w:color="auto" w:fill="auto"/>
            <w:noWrap/>
            <w:vAlign w:val="center"/>
            <w:hideMark/>
          </w:tcPr>
          <w:p w14:paraId="733E93E2"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-0,5</w:t>
            </w:r>
          </w:p>
        </w:tc>
        <w:tc>
          <w:tcPr>
            <w:tcW w:w="458" w:type="pct"/>
            <w:tcBorders>
              <w:top w:val="nil"/>
              <w:left w:val="nil"/>
              <w:bottom w:val="nil"/>
              <w:right w:val="nil"/>
            </w:tcBorders>
            <w:shd w:val="clear" w:color="auto" w:fill="auto"/>
            <w:noWrap/>
            <w:vAlign w:val="center"/>
            <w:hideMark/>
          </w:tcPr>
          <w:p w14:paraId="42BC33C5"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-0,5</w:t>
            </w:r>
          </w:p>
        </w:tc>
        <w:tc>
          <w:tcPr>
            <w:tcW w:w="458" w:type="pct"/>
            <w:tcBorders>
              <w:top w:val="nil"/>
              <w:left w:val="nil"/>
              <w:bottom w:val="nil"/>
              <w:right w:val="nil"/>
            </w:tcBorders>
            <w:shd w:val="clear" w:color="auto" w:fill="auto"/>
            <w:noWrap/>
            <w:vAlign w:val="center"/>
            <w:hideMark/>
          </w:tcPr>
          <w:p w14:paraId="491AF158"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-0,5</w:t>
            </w:r>
          </w:p>
        </w:tc>
      </w:tr>
      <w:tr w:rsidR="00E124CF" w:rsidRPr="00DE058F" w14:paraId="0CF252B5" w14:textId="77777777" w:rsidTr="00482D55">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335" w:type="pct"/>
            <w:tcBorders>
              <w:top w:val="nil"/>
              <w:bottom w:val="nil"/>
            </w:tcBorders>
            <w:shd w:val="clear" w:color="auto" w:fill="auto"/>
            <w:noWrap/>
            <w:vAlign w:val="center"/>
            <w:hideMark/>
          </w:tcPr>
          <w:p w14:paraId="6BCEA091" w14:textId="77777777" w:rsidR="00E124CF" w:rsidRPr="00DE058F" w:rsidRDefault="00E124CF" w:rsidP="00C43FA1">
            <w:pPr>
              <w:jc w:val="left"/>
              <w:rPr>
                <w:rFonts w:ascii="Calibri" w:eastAsia="Times New Roman" w:hAnsi="Calibri" w:cs="Calibri"/>
                <w:bCs w:val="0"/>
                <w:color w:val="002060"/>
                <w:sz w:val="18"/>
                <w:szCs w:val="18"/>
                <w:lang w:val="sr-Cyrl-CS"/>
              </w:rPr>
            </w:pPr>
            <w:r w:rsidRPr="00DE058F">
              <w:rPr>
                <w:rFonts w:ascii="Calibri" w:eastAsia="Times New Roman" w:hAnsi="Calibri" w:cs="Calibri"/>
                <w:b w:val="0"/>
                <w:bCs w:val="0"/>
                <w:color w:val="002060"/>
                <w:sz w:val="18"/>
                <w:szCs w:val="18"/>
                <w:lang w:val="sr-Cyrl-CS"/>
              </w:rPr>
              <w:t>Примарни фис. резултат</w:t>
            </w:r>
          </w:p>
        </w:tc>
        <w:tc>
          <w:tcPr>
            <w:tcW w:w="458" w:type="pct"/>
            <w:tcBorders>
              <w:top w:val="nil"/>
              <w:bottom w:val="nil"/>
            </w:tcBorders>
            <w:shd w:val="clear" w:color="auto" w:fill="auto"/>
            <w:noWrap/>
            <w:vAlign w:val="center"/>
            <w:hideMark/>
          </w:tcPr>
          <w:p w14:paraId="70F2B93C"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-2,4</w:t>
            </w:r>
          </w:p>
        </w:tc>
        <w:tc>
          <w:tcPr>
            <w:tcW w:w="458" w:type="pct"/>
            <w:tcBorders>
              <w:top w:val="nil"/>
              <w:bottom w:val="nil"/>
            </w:tcBorders>
            <w:shd w:val="clear" w:color="auto" w:fill="auto"/>
            <w:noWrap/>
            <w:vAlign w:val="center"/>
            <w:hideMark/>
          </w:tcPr>
          <w:p w14:paraId="2AB915A1"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-1,3</w:t>
            </w:r>
          </w:p>
        </w:tc>
        <w:tc>
          <w:tcPr>
            <w:tcW w:w="458" w:type="pct"/>
            <w:tcBorders>
              <w:top w:val="nil"/>
              <w:bottom w:val="nil"/>
            </w:tcBorders>
            <w:shd w:val="clear" w:color="auto" w:fill="auto"/>
            <w:noWrap/>
            <w:vAlign w:val="center"/>
            <w:hideMark/>
          </w:tcPr>
          <w:p w14:paraId="197F8B72"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0,1</w:t>
            </w:r>
          </w:p>
        </w:tc>
        <w:tc>
          <w:tcPr>
            <w:tcW w:w="458" w:type="pct"/>
            <w:tcBorders>
              <w:top w:val="nil"/>
              <w:bottom w:val="nil"/>
            </w:tcBorders>
            <w:shd w:val="clear" w:color="auto" w:fill="auto"/>
            <w:noWrap/>
            <w:vAlign w:val="center"/>
            <w:hideMark/>
          </w:tcPr>
          <w:p w14:paraId="4D15529B"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0,6</w:t>
            </w:r>
          </w:p>
        </w:tc>
        <w:tc>
          <w:tcPr>
            <w:tcW w:w="458" w:type="pct"/>
            <w:tcBorders>
              <w:top w:val="nil"/>
              <w:bottom w:val="nil"/>
            </w:tcBorders>
            <w:shd w:val="clear" w:color="auto" w:fill="auto"/>
            <w:noWrap/>
            <w:vAlign w:val="center"/>
            <w:hideMark/>
          </w:tcPr>
          <w:p w14:paraId="460ED502"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1,1</w:t>
            </w:r>
          </w:p>
        </w:tc>
        <w:tc>
          <w:tcPr>
            <w:tcW w:w="458" w:type="pct"/>
            <w:tcBorders>
              <w:top w:val="nil"/>
              <w:bottom w:val="nil"/>
            </w:tcBorders>
            <w:shd w:val="clear" w:color="auto" w:fill="auto"/>
            <w:noWrap/>
            <w:vAlign w:val="center"/>
            <w:hideMark/>
          </w:tcPr>
          <w:p w14:paraId="420E7941"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1,0</w:t>
            </w:r>
          </w:p>
        </w:tc>
        <w:tc>
          <w:tcPr>
            <w:tcW w:w="458" w:type="pct"/>
            <w:tcBorders>
              <w:top w:val="nil"/>
              <w:bottom w:val="nil"/>
            </w:tcBorders>
            <w:shd w:val="clear" w:color="auto" w:fill="auto"/>
            <w:noWrap/>
            <w:vAlign w:val="center"/>
            <w:hideMark/>
          </w:tcPr>
          <w:p w14:paraId="404E900D"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0,9</w:t>
            </w:r>
          </w:p>
        </w:tc>
        <w:tc>
          <w:tcPr>
            <w:tcW w:w="458" w:type="pct"/>
            <w:tcBorders>
              <w:top w:val="nil"/>
              <w:bottom w:val="nil"/>
            </w:tcBorders>
            <w:shd w:val="clear" w:color="auto" w:fill="auto"/>
            <w:noWrap/>
            <w:vAlign w:val="center"/>
            <w:hideMark/>
          </w:tcPr>
          <w:p w14:paraId="20F9099B"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0,8</w:t>
            </w:r>
          </w:p>
        </w:tc>
      </w:tr>
      <w:tr w:rsidR="00E124CF" w:rsidRPr="00DE058F" w14:paraId="23F906E5" w14:textId="77777777" w:rsidTr="00482D55">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335" w:type="pct"/>
            <w:tcBorders>
              <w:top w:val="nil"/>
              <w:left w:val="nil"/>
              <w:bottom w:val="nil"/>
              <w:right w:val="nil"/>
            </w:tcBorders>
            <w:shd w:val="clear" w:color="auto" w:fill="auto"/>
            <w:noWrap/>
            <w:vAlign w:val="center"/>
            <w:hideMark/>
          </w:tcPr>
          <w:p w14:paraId="475BA399" w14:textId="77777777" w:rsidR="00E124CF" w:rsidRPr="00DE058F" w:rsidRDefault="00E124CF" w:rsidP="00C43FA1">
            <w:pPr>
              <w:jc w:val="left"/>
              <w:rPr>
                <w:rFonts w:ascii="Calibri" w:eastAsia="Times New Roman" w:hAnsi="Calibri" w:cs="Calibri"/>
                <w:bCs w:val="0"/>
                <w:color w:val="002060"/>
                <w:sz w:val="18"/>
                <w:szCs w:val="18"/>
                <w:lang w:val="sr-Cyrl-CS"/>
              </w:rPr>
            </w:pPr>
            <w:r w:rsidRPr="00DE058F">
              <w:rPr>
                <w:rFonts w:ascii="Calibri" w:eastAsia="Times New Roman" w:hAnsi="Calibri" w:cs="Calibri"/>
                <w:b w:val="0"/>
                <w:bCs w:val="0"/>
                <w:color w:val="002060"/>
                <w:sz w:val="18"/>
                <w:szCs w:val="18"/>
                <w:lang w:val="sr-Cyrl-CS"/>
              </w:rPr>
              <w:t>Јавни дуг у БДП</w:t>
            </w:r>
          </w:p>
        </w:tc>
        <w:tc>
          <w:tcPr>
            <w:tcW w:w="458" w:type="pct"/>
            <w:tcBorders>
              <w:top w:val="nil"/>
              <w:left w:val="nil"/>
              <w:bottom w:val="nil"/>
              <w:right w:val="nil"/>
            </w:tcBorders>
            <w:shd w:val="clear" w:color="auto" w:fill="auto"/>
            <w:noWrap/>
            <w:vAlign w:val="center"/>
            <w:hideMark/>
          </w:tcPr>
          <w:p w14:paraId="21A0071D"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57,1</w:t>
            </w:r>
          </w:p>
        </w:tc>
        <w:tc>
          <w:tcPr>
            <w:tcW w:w="458" w:type="pct"/>
            <w:tcBorders>
              <w:top w:val="nil"/>
              <w:left w:val="nil"/>
              <w:bottom w:val="nil"/>
              <w:right w:val="nil"/>
            </w:tcBorders>
            <w:shd w:val="clear" w:color="auto" w:fill="auto"/>
            <w:noWrap/>
            <w:vAlign w:val="center"/>
            <w:hideMark/>
          </w:tcPr>
          <w:p w14:paraId="133DB7E8"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54,6</w:t>
            </w:r>
          </w:p>
        </w:tc>
        <w:tc>
          <w:tcPr>
            <w:tcW w:w="458" w:type="pct"/>
            <w:tcBorders>
              <w:top w:val="nil"/>
              <w:left w:val="nil"/>
              <w:bottom w:val="nil"/>
              <w:right w:val="nil"/>
            </w:tcBorders>
            <w:shd w:val="clear" w:color="auto" w:fill="auto"/>
            <w:noWrap/>
            <w:vAlign w:val="center"/>
            <w:hideMark/>
          </w:tcPr>
          <w:p w14:paraId="41C506FD"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53,1</w:t>
            </w:r>
          </w:p>
        </w:tc>
        <w:tc>
          <w:tcPr>
            <w:tcW w:w="458" w:type="pct"/>
            <w:tcBorders>
              <w:top w:val="nil"/>
              <w:left w:val="nil"/>
              <w:bottom w:val="nil"/>
              <w:right w:val="nil"/>
            </w:tcBorders>
            <w:shd w:val="clear" w:color="auto" w:fill="auto"/>
            <w:noWrap/>
            <w:vAlign w:val="center"/>
            <w:hideMark/>
          </w:tcPr>
          <w:p w14:paraId="3EA9EB3B"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52,0</w:t>
            </w:r>
          </w:p>
        </w:tc>
        <w:tc>
          <w:tcPr>
            <w:tcW w:w="458" w:type="pct"/>
            <w:tcBorders>
              <w:top w:val="nil"/>
              <w:left w:val="nil"/>
              <w:bottom w:val="nil"/>
              <w:right w:val="nil"/>
            </w:tcBorders>
            <w:shd w:val="clear" w:color="auto" w:fill="auto"/>
            <w:noWrap/>
            <w:vAlign w:val="center"/>
            <w:hideMark/>
          </w:tcPr>
          <w:p w14:paraId="17B20FAD"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50,7</w:t>
            </w:r>
          </w:p>
        </w:tc>
        <w:tc>
          <w:tcPr>
            <w:tcW w:w="458" w:type="pct"/>
            <w:tcBorders>
              <w:top w:val="nil"/>
              <w:left w:val="nil"/>
              <w:bottom w:val="nil"/>
              <w:right w:val="nil"/>
            </w:tcBorders>
            <w:shd w:val="clear" w:color="auto" w:fill="auto"/>
            <w:noWrap/>
            <w:vAlign w:val="center"/>
            <w:hideMark/>
          </w:tcPr>
          <w:p w14:paraId="25102023"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48,4</w:t>
            </w:r>
          </w:p>
        </w:tc>
        <w:tc>
          <w:tcPr>
            <w:tcW w:w="458" w:type="pct"/>
            <w:tcBorders>
              <w:top w:val="nil"/>
              <w:left w:val="nil"/>
              <w:bottom w:val="nil"/>
              <w:right w:val="nil"/>
            </w:tcBorders>
            <w:shd w:val="clear" w:color="auto" w:fill="auto"/>
            <w:noWrap/>
            <w:vAlign w:val="center"/>
            <w:hideMark/>
          </w:tcPr>
          <w:p w14:paraId="76ADB2B5"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46,3</w:t>
            </w:r>
          </w:p>
        </w:tc>
        <w:tc>
          <w:tcPr>
            <w:tcW w:w="458" w:type="pct"/>
            <w:tcBorders>
              <w:top w:val="nil"/>
              <w:left w:val="nil"/>
              <w:bottom w:val="nil"/>
              <w:right w:val="nil"/>
            </w:tcBorders>
            <w:shd w:val="clear" w:color="auto" w:fill="auto"/>
            <w:noWrap/>
            <w:vAlign w:val="center"/>
            <w:hideMark/>
          </w:tcPr>
          <w:p w14:paraId="00ADBB59" w14:textId="77777777" w:rsidR="00E124CF" w:rsidRPr="00DE058F" w:rsidRDefault="00E124CF" w:rsidP="00C43FA1">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44,2</w:t>
            </w:r>
          </w:p>
        </w:tc>
      </w:tr>
      <w:tr w:rsidR="00E124CF" w:rsidRPr="00DE058F" w14:paraId="2F74FD2F" w14:textId="77777777" w:rsidTr="00482D55">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335" w:type="pct"/>
            <w:tcBorders>
              <w:top w:val="nil"/>
              <w:bottom w:val="single" w:sz="4" w:space="0" w:color="002060"/>
            </w:tcBorders>
            <w:shd w:val="clear" w:color="auto" w:fill="auto"/>
            <w:noWrap/>
            <w:vAlign w:val="center"/>
            <w:hideMark/>
          </w:tcPr>
          <w:p w14:paraId="238A5690" w14:textId="77777777" w:rsidR="00E124CF" w:rsidRPr="00DE058F" w:rsidRDefault="00E124CF" w:rsidP="00C43FA1">
            <w:pPr>
              <w:jc w:val="left"/>
              <w:rPr>
                <w:rFonts w:ascii="Calibri" w:eastAsia="Times New Roman" w:hAnsi="Calibri" w:cs="Calibri"/>
                <w:bCs w:val="0"/>
                <w:color w:val="002060"/>
                <w:sz w:val="18"/>
                <w:szCs w:val="18"/>
                <w:lang w:val="sr-Cyrl-CS"/>
              </w:rPr>
            </w:pPr>
            <w:r w:rsidRPr="00DE058F">
              <w:rPr>
                <w:rFonts w:ascii="Calibri" w:eastAsia="Times New Roman" w:hAnsi="Calibri" w:cs="Calibri"/>
                <w:b w:val="0"/>
                <w:bCs w:val="0"/>
                <w:color w:val="002060"/>
                <w:sz w:val="18"/>
                <w:szCs w:val="18"/>
                <w:lang w:val="sr-Cyrl-CS"/>
              </w:rPr>
              <w:t>БДП реални раст, %</w:t>
            </w:r>
          </w:p>
        </w:tc>
        <w:tc>
          <w:tcPr>
            <w:tcW w:w="458" w:type="pct"/>
            <w:tcBorders>
              <w:top w:val="nil"/>
              <w:bottom w:val="single" w:sz="4" w:space="0" w:color="002060"/>
            </w:tcBorders>
            <w:shd w:val="clear" w:color="auto" w:fill="auto"/>
            <w:noWrap/>
            <w:vAlign w:val="center"/>
            <w:hideMark/>
          </w:tcPr>
          <w:p w14:paraId="0D27895A"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7,4</w:t>
            </w:r>
          </w:p>
        </w:tc>
        <w:tc>
          <w:tcPr>
            <w:tcW w:w="458" w:type="pct"/>
            <w:tcBorders>
              <w:top w:val="nil"/>
              <w:bottom w:val="single" w:sz="4" w:space="0" w:color="002060"/>
            </w:tcBorders>
            <w:shd w:val="clear" w:color="auto" w:fill="auto"/>
            <w:noWrap/>
            <w:vAlign w:val="center"/>
            <w:hideMark/>
          </w:tcPr>
          <w:p w14:paraId="40CCF1E9"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3,5</w:t>
            </w:r>
          </w:p>
        </w:tc>
        <w:tc>
          <w:tcPr>
            <w:tcW w:w="458" w:type="pct"/>
            <w:tcBorders>
              <w:top w:val="nil"/>
              <w:bottom w:val="single" w:sz="4" w:space="0" w:color="002060"/>
            </w:tcBorders>
            <w:shd w:val="clear" w:color="auto" w:fill="auto"/>
            <w:noWrap/>
            <w:vAlign w:val="center"/>
            <w:hideMark/>
          </w:tcPr>
          <w:p w14:paraId="11696049"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4,0</w:t>
            </w:r>
          </w:p>
        </w:tc>
        <w:tc>
          <w:tcPr>
            <w:tcW w:w="458" w:type="pct"/>
            <w:tcBorders>
              <w:top w:val="nil"/>
              <w:bottom w:val="single" w:sz="4" w:space="0" w:color="002060"/>
            </w:tcBorders>
            <w:shd w:val="clear" w:color="auto" w:fill="auto"/>
            <w:noWrap/>
            <w:vAlign w:val="center"/>
            <w:hideMark/>
          </w:tcPr>
          <w:p w14:paraId="129F8A38"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4,0</w:t>
            </w:r>
          </w:p>
        </w:tc>
        <w:tc>
          <w:tcPr>
            <w:tcW w:w="458" w:type="pct"/>
            <w:tcBorders>
              <w:top w:val="nil"/>
              <w:bottom w:val="single" w:sz="4" w:space="0" w:color="002060"/>
            </w:tcBorders>
            <w:shd w:val="clear" w:color="auto" w:fill="auto"/>
            <w:noWrap/>
            <w:vAlign w:val="center"/>
            <w:hideMark/>
          </w:tcPr>
          <w:p w14:paraId="0D863494"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4,5</w:t>
            </w:r>
          </w:p>
        </w:tc>
        <w:tc>
          <w:tcPr>
            <w:tcW w:w="458" w:type="pct"/>
            <w:tcBorders>
              <w:top w:val="nil"/>
              <w:bottom w:val="single" w:sz="4" w:space="0" w:color="002060"/>
            </w:tcBorders>
            <w:shd w:val="clear" w:color="auto" w:fill="auto"/>
            <w:noWrap/>
            <w:vAlign w:val="center"/>
            <w:hideMark/>
          </w:tcPr>
          <w:p w14:paraId="709BC803"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4,0</w:t>
            </w:r>
          </w:p>
        </w:tc>
        <w:tc>
          <w:tcPr>
            <w:tcW w:w="458" w:type="pct"/>
            <w:tcBorders>
              <w:top w:val="nil"/>
              <w:bottom w:val="single" w:sz="4" w:space="0" w:color="002060"/>
            </w:tcBorders>
            <w:shd w:val="clear" w:color="auto" w:fill="auto"/>
            <w:noWrap/>
            <w:vAlign w:val="center"/>
            <w:hideMark/>
          </w:tcPr>
          <w:p w14:paraId="2355086A"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4,0</w:t>
            </w:r>
          </w:p>
        </w:tc>
        <w:tc>
          <w:tcPr>
            <w:tcW w:w="458" w:type="pct"/>
            <w:tcBorders>
              <w:top w:val="nil"/>
              <w:bottom w:val="single" w:sz="4" w:space="0" w:color="002060"/>
            </w:tcBorders>
            <w:shd w:val="clear" w:color="auto" w:fill="auto"/>
            <w:noWrap/>
            <w:vAlign w:val="center"/>
            <w:hideMark/>
          </w:tcPr>
          <w:p w14:paraId="10307E96" w14:textId="77777777" w:rsidR="00E124CF" w:rsidRPr="00DE058F" w:rsidRDefault="00E124CF" w:rsidP="00C43FA1">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2060"/>
                <w:sz w:val="18"/>
                <w:szCs w:val="18"/>
                <w:lang w:val="sr-Cyrl-CS"/>
              </w:rPr>
            </w:pPr>
            <w:r w:rsidRPr="00DE058F">
              <w:rPr>
                <w:rFonts w:asciiTheme="minorHAnsi" w:hAnsiTheme="minorHAnsi" w:cstheme="minorHAnsi"/>
                <w:color w:val="002060"/>
                <w:sz w:val="18"/>
                <w:szCs w:val="18"/>
                <w:lang w:val="sr-Cyrl-CS"/>
              </w:rPr>
              <w:t>4,0</w:t>
            </w:r>
          </w:p>
        </w:tc>
      </w:tr>
    </w:tbl>
    <w:p w14:paraId="3621D2DC" w14:textId="77777777" w:rsidR="00E124CF" w:rsidRPr="00DE058F" w:rsidRDefault="00E124CF" w:rsidP="00E124CF">
      <w:pPr>
        <w:spacing w:after="80"/>
        <w:jc w:val="left"/>
        <w:rPr>
          <w:rFonts w:ascii="Calibri" w:eastAsia="MS PGothic" w:hAnsi="Calibri" w:cs="Calibri"/>
          <w:sz w:val="16"/>
          <w:szCs w:val="16"/>
          <w:lang w:val="sr-Cyrl-CS" w:eastAsia="ja-JP"/>
        </w:rPr>
      </w:pPr>
      <w:r w:rsidRPr="00DE058F">
        <w:rPr>
          <w:rFonts w:ascii="Calibri" w:eastAsia="MS PGothic" w:hAnsi="Calibri" w:cs="Calibri"/>
          <w:sz w:val="16"/>
          <w:szCs w:val="16"/>
          <w:lang w:val="sr-Cyrl-CS" w:eastAsia="ja-JP"/>
        </w:rPr>
        <w:t xml:space="preserve">Извор: </w:t>
      </w:r>
      <w:r w:rsidRPr="00DE058F">
        <w:rPr>
          <w:rFonts w:ascii="Calibri" w:eastAsia="Calibri" w:hAnsi="Calibri" w:cs="Calibri"/>
          <w:sz w:val="16"/>
          <w:szCs w:val="20"/>
          <w:lang w:val="sr-Cyrl-CS"/>
        </w:rPr>
        <w:t>Министарство финансија</w:t>
      </w:r>
    </w:p>
    <w:p w14:paraId="4AA31325" w14:textId="77777777" w:rsidR="00E124CF" w:rsidRPr="00DE058F" w:rsidRDefault="00E124CF" w:rsidP="00E124CF">
      <w:pPr>
        <w:spacing w:after="80"/>
        <w:rPr>
          <w:rFonts w:ascii="Calibri" w:eastAsia="Calibri" w:hAnsi="Calibri" w:cs="Calibri"/>
          <w:szCs w:val="20"/>
          <w:lang w:val="sr-Cyrl-CS" w:eastAsia="ja-JP"/>
        </w:rPr>
        <w:sectPr w:rsidR="00E124CF" w:rsidRPr="00DE058F" w:rsidSect="00AE40EB">
          <w:type w:val="continuous"/>
          <w:pgSz w:w="12240" w:h="15840" w:code="1"/>
          <w:pgMar w:top="1417" w:right="1417" w:bottom="1417" w:left="1417" w:header="720" w:footer="720" w:gutter="0"/>
          <w:cols w:space="720"/>
        </w:sectPr>
      </w:pPr>
    </w:p>
    <w:p w14:paraId="6D224862" w14:textId="77777777" w:rsidR="00E124CF" w:rsidRPr="00DE058F" w:rsidRDefault="00E124CF" w:rsidP="00E124CF">
      <w:pPr>
        <w:rPr>
          <w:rFonts w:ascii="Calibri" w:eastAsia="Calibri" w:hAnsi="Calibri" w:cs="Calibri"/>
          <w:szCs w:val="20"/>
          <w:lang w:val="sr-Cyrl-CS"/>
        </w:rPr>
      </w:pPr>
      <w:r w:rsidRPr="00DE058F">
        <w:rPr>
          <w:rFonts w:ascii="Calibri" w:eastAsia="Calibri" w:hAnsi="Calibri" w:cs="Calibri"/>
          <w:szCs w:val="20"/>
          <w:lang w:val="sr-Cyrl-CS"/>
        </w:rPr>
        <w:t xml:space="preserve">Основним сценаријем предвиђено је спуштање јавног дуга на око 45% БДП у 2028. години. </w:t>
      </w:r>
      <w:r w:rsidRPr="00DE058F">
        <w:rPr>
          <w:rFonts w:ascii="Calibri" w:eastAsia="Calibri" w:hAnsi="Calibri" w:cs="Calibri"/>
          <w:spacing w:val="-2"/>
          <w:szCs w:val="20"/>
          <w:lang w:val="sr-Cyrl-CS"/>
        </w:rPr>
        <w:t xml:space="preserve">На графикону су приказане симулације алтернативних сценарија кретања јавног дуга, у зависности од промена одређених претпоставки у основном сценарију. </w:t>
      </w:r>
      <w:r w:rsidRPr="00DE058F">
        <w:rPr>
          <w:rFonts w:ascii="Calibri" w:eastAsia="Calibri" w:hAnsi="Calibri" w:cs="Calibri"/>
          <w:szCs w:val="20"/>
          <w:lang w:val="sr-Cyrl-CS"/>
        </w:rPr>
        <w:t>Ради бољег поређења, извршена је варијација само једне варијабле, као фактора ризика који утиче на ниво дуга.</w:t>
      </w:r>
    </w:p>
    <w:p w14:paraId="573FBE8D" w14:textId="77777777" w:rsidR="00E124CF" w:rsidRPr="00DE058F" w:rsidRDefault="00E124CF" w:rsidP="00E124CF">
      <w:pPr>
        <w:rPr>
          <w:rFonts w:ascii="Calibri" w:eastAsia="Calibri" w:hAnsi="Calibri" w:cs="Calibri"/>
          <w:szCs w:val="20"/>
          <w:lang w:val="sr-Cyrl-CS"/>
        </w:rPr>
      </w:pPr>
      <w:r w:rsidRPr="00DE058F">
        <w:rPr>
          <w:rFonts w:ascii="Calibri" w:eastAsia="Calibri" w:hAnsi="Calibri" w:cs="Calibri"/>
          <w:szCs w:val="20"/>
          <w:lang w:val="sr-Cyrl-CS"/>
        </w:rPr>
        <w:t>Сценарио „успорени раст након 2025” подразумева просечан реални раст БДП од око 0,7% у посматраном периоду, уз исти ниво фискалног дефицита у односу на основни сценарио. Ово не подразумева и исти ниво фискалног прилагођавања, јер је потребна већа акомодација на расходној страни у ситуацијама када се бележи нижи привредни раст. На крају 2028. године, јавни дуг према овом сценарију достиже ниво од 48% БДП. Проблем сценарија продуженог успореног раста, лежи у томе што и поред одржавања нивоа фискалног дефицита на ниском нивоу, ниво јавног дуга не пада довољно брзо. Са друге стране, успорени раст, путем аутоматских стабилизатора, продукује више нивое фискалног дефицита, па су неопходна већа смањења расхода како би се задржала опадајућа путања учешћа јавног дуга. Присутан је ризик уласка у спиралу успореног раста и неопходност додатних мера штедње. И поред ових ризика, сценарио омогућава постепено смањење учешћа јавног дуга, али не и достизање нивоа од 45% у посматраном року, при осталим датим претпоставкама.</w:t>
      </w:r>
    </w:p>
    <w:p w14:paraId="437E173E" w14:textId="1789D6AA" w:rsidR="00E124CF" w:rsidRPr="00DE058F" w:rsidRDefault="00C43FA1" w:rsidP="00E124CF">
      <w:pPr>
        <w:spacing w:after="0"/>
        <w:jc w:val="center"/>
        <w:rPr>
          <w:rFonts w:cstheme="minorHAnsi"/>
          <w:b/>
          <w:color w:val="002060"/>
          <w:lang w:val="sr-Cyrl-CS"/>
        </w:rPr>
      </w:pPr>
      <w:r w:rsidRPr="00DE058F">
        <w:rPr>
          <w:rFonts w:cstheme="minorHAnsi"/>
          <w:b/>
          <w:color w:val="002060"/>
          <w:lang w:val="sr-Cyrl-CS"/>
        </w:rPr>
        <w:br w:type="column"/>
      </w:r>
      <w:r w:rsidR="00E124CF" w:rsidRPr="00DE058F">
        <w:rPr>
          <w:rFonts w:cstheme="minorHAnsi"/>
          <w:b/>
          <w:color w:val="002060"/>
          <w:lang w:val="sr-Cyrl-CS"/>
        </w:rPr>
        <w:t>Поређење различитих сценарија и утицај на висину јавног дуга, % БДП</w:t>
      </w:r>
    </w:p>
    <w:p w14:paraId="574E6E34" w14:textId="77777777" w:rsidR="00E124CF" w:rsidRPr="00DE058F" w:rsidRDefault="00E124CF" w:rsidP="00E124CF">
      <w:pPr>
        <w:spacing w:after="0" w:line="276" w:lineRule="auto"/>
        <w:rPr>
          <w:lang w:val="sr-Cyrl-CS"/>
        </w:rPr>
      </w:pPr>
      <w:r w:rsidRPr="00DE058F">
        <w:rPr>
          <w:noProof/>
        </w:rPr>
        <w:drawing>
          <wp:inline distT="0" distB="0" distL="0" distR="0" wp14:anchorId="771D705D" wp14:editId="35BDC1D7">
            <wp:extent cx="2743200" cy="2520000"/>
            <wp:effectExtent l="0" t="0" r="0" b="0"/>
            <wp:docPr id="80" name="Chart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14:paraId="76E6A212" w14:textId="77777777" w:rsidR="00E124CF" w:rsidRPr="00DE058F" w:rsidRDefault="00E124CF" w:rsidP="00E124CF">
      <w:pPr>
        <w:spacing w:after="120"/>
        <w:rPr>
          <w:rFonts w:ascii="Calibri" w:eastAsia="Calibri" w:hAnsi="Calibri" w:cs="Calibri"/>
          <w:szCs w:val="20"/>
          <w:lang w:val="sr-Cyrl-CS"/>
        </w:rPr>
      </w:pPr>
      <w:r w:rsidRPr="00DE058F">
        <w:rPr>
          <w:rFonts w:ascii="Calibri" w:eastAsia="Calibri" w:hAnsi="Calibri" w:cs="Calibri"/>
          <w:spacing w:val="-4"/>
          <w:szCs w:val="20"/>
          <w:lang w:val="sr-Cyrl-CS"/>
        </w:rPr>
        <w:t>С</w:t>
      </w:r>
      <w:r w:rsidRPr="00DE058F">
        <w:rPr>
          <w:rFonts w:ascii="Calibri" w:eastAsia="Calibri" w:hAnsi="Calibri" w:cs="Calibri"/>
          <w:szCs w:val="20"/>
          <w:lang w:val="sr-Cyrl-CS"/>
        </w:rPr>
        <w:t>ценарио „фискална експанзија након 2025. године” подразумева значајније одступање од садашњег средњорочно постављеног циља фискалне политике и достизање фискалног дефицита од 3%. У овом случају, учешће јавног дуга у БДП у највећој мери стагнира да би у 2028. години достигло 51% БДП. Јавни дуг не достиже законску границу од 45% БДП, а ниво испод 60% одржава се у целом посматраном периоду. И поред погоршања фискалних перформанси, овај сценарио подразумева и даље присутан примарни фискални резултат који омогућава релативну стабилност учешћа дуга при датим позитивним стопама раста БДП.</w:t>
      </w:r>
    </w:p>
    <w:p w14:paraId="533ECB54" w14:textId="6FCD9B21" w:rsidR="00BB2F03" w:rsidRPr="00DE058F" w:rsidRDefault="00E124CF" w:rsidP="00C43FA1">
      <w:pPr>
        <w:spacing w:after="120"/>
        <w:rPr>
          <w:lang w:val="sr-Cyrl-CS"/>
        </w:rPr>
      </w:pPr>
      <w:r w:rsidRPr="00DE058F">
        <w:rPr>
          <w:rFonts w:ascii="Calibri" w:eastAsia="Calibri" w:hAnsi="Calibri" w:cs="Calibri"/>
          <w:szCs w:val="20"/>
          <w:lang w:val="sr-Cyrl-CS"/>
        </w:rPr>
        <w:t>Сценарио који комбинује мањи реални раст БДП и подизање нивоа фискалног дефицита у просеку од 3% БДП има најнеповољнију путању јавног дуга. При томе једино у овом сценарију дуг има изразито растућу путању у периоду након 2025. године, а учешће јавног дуга достиже ниво од преко 55% на крају посматраног периода.</w:t>
      </w:r>
    </w:p>
    <w:p w14:paraId="2B0B404A" w14:textId="77777777" w:rsidR="00BB2F03" w:rsidRPr="00DE058F" w:rsidRDefault="00BB2F03" w:rsidP="00C91F83">
      <w:pPr>
        <w:spacing w:after="0"/>
        <w:rPr>
          <w:sz w:val="12"/>
          <w:lang w:val="sr-Cyrl-CS"/>
        </w:rPr>
        <w:sectPr w:rsidR="00BB2F03" w:rsidRPr="00DE058F" w:rsidSect="00C91F83">
          <w:headerReference w:type="even" r:id="rId158"/>
          <w:headerReference w:type="default" r:id="rId159"/>
          <w:footerReference w:type="even" r:id="rId160"/>
          <w:footerReference w:type="default" r:id="rId161"/>
          <w:headerReference w:type="first" r:id="rId162"/>
          <w:type w:val="continuous"/>
          <w:pgSz w:w="12240" w:h="15840" w:code="1"/>
          <w:pgMar w:top="1440" w:right="1440" w:bottom="1440" w:left="1440" w:header="720" w:footer="720" w:gutter="0"/>
          <w:cols w:num="2" w:space="720"/>
          <w:docGrid w:linePitch="360"/>
          <w15:footnoteColumns w:val="1"/>
        </w:sectPr>
      </w:pPr>
    </w:p>
    <w:p w14:paraId="69AE2A80" w14:textId="77777777" w:rsidR="00BB2F03" w:rsidRPr="00DE058F" w:rsidRDefault="00BB2F03" w:rsidP="00C91F83">
      <w:pPr>
        <w:pStyle w:val="Heading1"/>
        <w:spacing w:before="0" w:after="240"/>
        <w:jc w:val="center"/>
        <w:rPr>
          <w:rFonts w:asciiTheme="minorHAnsi" w:hAnsiTheme="minorHAnsi" w:cstheme="minorHAnsi"/>
          <w:b/>
          <w:sz w:val="26"/>
          <w:szCs w:val="26"/>
          <w:lang w:val="sr-Cyrl-CS"/>
        </w:rPr>
      </w:pPr>
      <w:bookmarkStart w:id="53" w:name="_Toc86923728"/>
      <w:bookmarkStart w:id="54" w:name="_Toc104899612"/>
      <w:r w:rsidRPr="00DE058F">
        <w:rPr>
          <w:rFonts w:asciiTheme="minorHAnsi" w:hAnsiTheme="minorHAnsi" w:cstheme="minorHAnsi"/>
          <w:b/>
          <w:sz w:val="26"/>
          <w:szCs w:val="26"/>
          <w:lang w:val="sr-Cyrl-CS"/>
        </w:rPr>
        <w:lastRenderedPageBreak/>
        <w:t>III. СТРАТЕГИЈА УПРАВЉАЊА ЈАВНИМ ДУГОМ ОД 2023. ДО 2025. ГОДИНЕ</w:t>
      </w:r>
      <w:bookmarkEnd w:id="53"/>
      <w:bookmarkEnd w:id="54"/>
    </w:p>
    <w:p w14:paraId="59A1659D" w14:textId="77777777" w:rsidR="00BB2F03" w:rsidRPr="00DE058F" w:rsidRDefault="00BB2F03" w:rsidP="00C91F83">
      <w:pPr>
        <w:spacing w:after="120" w:line="276" w:lineRule="auto"/>
        <w:jc w:val="center"/>
        <w:rPr>
          <w:rFonts w:ascii="Calibri" w:eastAsia="Calibri" w:hAnsi="Calibri" w:cs="Calibri"/>
          <w:color w:val="2F5496" w:themeColor="accent1" w:themeShade="BF"/>
          <w:szCs w:val="20"/>
          <w:lang w:val="sr-Cyrl-CS"/>
        </w:rPr>
        <w:sectPr w:rsidR="00BB2F03" w:rsidRPr="00DE058F" w:rsidSect="00C91F83">
          <w:type w:val="continuous"/>
          <w:pgSz w:w="12240" w:h="15840" w:code="1"/>
          <w:pgMar w:top="1440" w:right="1440" w:bottom="1440" w:left="1440" w:header="720" w:footer="720" w:gutter="0"/>
          <w:cols w:space="720"/>
          <w:docGrid w:linePitch="360"/>
        </w:sectPr>
      </w:pPr>
    </w:p>
    <w:p w14:paraId="1FC40E34"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 xml:space="preserve">Према Закону о јавном дугу, као правном основу задуживања Републике Србије, јавни дуг чине све директне обавезе Републике по основу задуживања, као и гаранције издате од Републике за задуживање јавних предузећа и јединица локалне самоуправе, као и других правних лица. </w:t>
      </w:r>
      <w:r w:rsidRPr="00DE058F">
        <w:rPr>
          <w:rFonts w:ascii="Calibri" w:eastAsia="Calibri" w:hAnsi="Calibri" w:cs="Calibri"/>
          <w:bCs/>
          <w:spacing w:val="-2"/>
          <w:szCs w:val="72"/>
          <w:lang w:val="sr-Cyrl-CS"/>
        </w:rPr>
        <w:t>Република се може задуживати у домаћој и страној валути, ради финансирања буџетског дефицита, дефицита текуће ликвидности, рефинансирања неизмиреног дуга, за финансирање инвестиционих пројеката, као и за извршавање обавеза по датим гаранцијама.</w:t>
      </w:r>
      <w:r w:rsidRPr="00DE058F">
        <w:rPr>
          <w:rFonts w:ascii="Calibri" w:eastAsia="Calibri" w:hAnsi="Calibri" w:cs="Calibri"/>
          <w:bCs/>
          <w:szCs w:val="72"/>
          <w:lang w:val="sr-Cyrl-CS"/>
        </w:rPr>
        <w:t xml:space="preserve"> Одредбама Закона о јавном дугу назначено је да јавни дуг представља безусловну и неопозиву обавезу Републике Србије у односу на отплату главнице, камате и осталих припадајућих трошкова.</w:t>
      </w:r>
    </w:p>
    <w:p w14:paraId="3F61B662"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За формулисање Стратегије за управљање јавним дугом коришћен је квантитативни приступ, идентификујући могућа ограничења кроз макро-економске показатеље, анализу трошкова и ризика и тржишних услова који утичу на управљање јавним дугом. У сврху анализе коришћени су инструменти финансирања доступни на домаћем и међународном финансијском тржишту. Стратегија управљања јавним дугом заснива се на принципима који дефинишу потребу за транспарентним и предвидивим процесом задуживања, уз перманентан развој тржишта државних хартија од вредности и прихватљив ниво изложености финансијским ризицима.</w:t>
      </w:r>
    </w:p>
    <w:p w14:paraId="229EB11C"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Ситуација на међународном и домаћем финансијском тржишту, успешна примена мера фискалне консолидације уз добру координацију фискалне и монетарне политике довела је до значајног пада трошкова задуживања на динарским и евро деноминованим хартијама од вредности у последњих неколико година и смањивања ризико премије за српске државне хартије од вредности на историјски минимум.</w:t>
      </w:r>
    </w:p>
    <w:p w14:paraId="3CFD3B0A"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 xml:space="preserve">Фискална стратегија предвиђа смањење јавног дуга општег нивоа државе до краја 2025. године на ниво од 50,7% БДП, при чему се у складу са смерницама управљања јавним дугом дефинисаним од стране Светске банке и ММФ, у </w:t>
      </w:r>
      <w:r w:rsidRPr="00DE058F">
        <w:rPr>
          <w:rFonts w:ascii="Calibri" w:eastAsia="Calibri" w:hAnsi="Calibri" w:cs="Calibri"/>
          <w:bCs/>
          <w:szCs w:val="72"/>
          <w:lang w:val="sr-Cyrl-CS"/>
        </w:rPr>
        <w:t>оквиру Стратегије управљања јавним дугом врши стрес-сценарио анализа утицаја промене девизног курса домаће валуте у односу на валуте у којима је деноминован јавни дуг Републике Србије.</w:t>
      </w:r>
    </w:p>
    <w:p w14:paraId="59CECD7E"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У последњих десет година учињен је значајан напредак у погледу повећања просечне рочности динарских државних хартија од вредности и смањења трошкова финансирања по основу овог вида задуживања, чиме је смањена изложеност ризику рефинансирања. Битно је напоменути да је у наведеном периоду просечна купонска стопа динарских државних хартија од вредности смањена са 13,68%, колико је износила на крају 2012. године, на 4,21% на крају марта 2022. године.</w:t>
      </w:r>
    </w:p>
    <w:p w14:paraId="6DAE32F6"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Стратегијом управљања јавним дугом се дефинишу основне мере за даљи наставак развоја динарског тржишта државних хартија од вредности. Развојем овог тржишта очекује се да ће доћи до даљег раста унутрашњег дуга и повећања његовог учешћа у укупном дугу, као и смањења изложености јавног дуга према девизном ризику, што ће позитивно утицати на повећање кредитног рејтинга Републике Србије.</w:t>
      </w:r>
    </w:p>
    <w:p w14:paraId="4EE5FF8D" w14:textId="6BB1E284"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Након успешно спроведених мера фискалне консолидације у 2016. години је преокренута растућа путања кретања јавног дуга и учешће јавног дуга у БДП-у, те долази до пада учешћа са 70,0% БДП-а колико је износило на централном нивоу власти крају 2015. године на 67,7% на крају 2016. године. Током 2017. године дошло је до још значајнијег пада на 57,8% БДП. Тренд је настављен и током 2018. године када удео јавног дуга у БДП пада на 53,6% , као на крају 2019. године када је учешће јавног дуга у БДП смањено на ниво од 51,9% БДП-а. Како би се смањио утицај кризе изазване пандемијом вируса COVID-19, јавила се потреба за финансирањем мера подршке привреди и грађанима, што је резултирало растом учешћа дуга у БДП на 57,0% на крају 2020. године. Током 2021. године долази до благог пада наведеног показатеља, тако да је учешће јавног дуга у БДП на крају 2021. године износило 56,5%. Пад би био још инте</w:t>
      </w:r>
      <w:r w:rsidR="003D0AB3" w:rsidRPr="00DE058F">
        <w:rPr>
          <w:rFonts w:ascii="Calibri" w:eastAsia="Calibri" w:hAnsi="Calibri" w:cs="Calibri"/>
          <w:bCs/>
          <w:szCs w:val="72"/>
          <w:lang w:val="sr-Cyrl-CS"/>
        </w:rPr>
        <w:t>н</w:t>
      </w:r>
      <w:r w:rsidRPr="00DE058F">
        <w:rPr>
          <w:rFonts w:ascii="Calibri" w:eastAsia="Calibri" w:hAnsi="Calibri" w:cs="Calibri"/>
          <w:bCs/>
          <w:szCs w:val="72"/>
          <w:lang w:val="sr-Cyrl-CS"/>
        </w:rPr>
        <w:t xml:space="preserve">зивнији да током 2021. године нису обезбеђена значајна средства за </w:t>
      </w:r>
      <w:r w:rsidRPr="00DE058F">
        <w:rPr>
          <w:rFonts w:ascii="Calibri" w:eastAsia="Calibri" w:hAnsi="Calibri" w:cs="Calibri"/>
          <w:bCs/>
          <w:szCs w:val="72"/>
          <w:lang w:val="sr-Cyrl-CS"/>
        </w:rPr>
        <w:lastRenderedPageBreak/>
        <w:t>финансирање дуга који је доспевао почетком 2022. године. Из тог разлога је дошло до значајног пада учешћа дуга у БДП на крају марта 2022. године на 52,2%.</w:t>
      </w:r>
    </w:p>
    <w:p w14:paraId="6889AB8C"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 xml:space="preserve"> Услед појачане контроле издавања гаранција претходних година је гарантовани јавни дуг скоро преполовљен и бележи пад са 2,8 милијарде EUR колико је износио на крају 2013. године на 1,6 милијарди EUR на крају марта 2022. године.</w:t>
      </w:r>
    </w:p>
    <w:p w14:paraId="04870636"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Позитивни фискални резултати које остварује Република Србија потврђени су и преко кретања кредитног рејтинга Србије. Рејтинг агенције Fitch Ratings и Standard and Poor’s у 2019. години повећале су рејтинг Србије на ББ+ са ББ, док је рејтинг агенција Moody’s поправила изглед за повећање кредитног рејтинга Републике Србије са стабилног на позитивни. У 2020. години Република Србија успела је да сачува непромењен кредитни рејтинг који је добила у 2019. години. Рејтинг агенција Moody’s је у марту 2021. године повећала кредитни рејтинг Републике Србије на Ба2 са Ба3 као резултат веома успешног одговора на кризу изазвану пандемијом вируса COVID-19 и очувања макроекономске стабилности током јако тешке и изазовне 2020. године. Рејтинг агенција Standard and Poor’s је у извештају који је објављен 10. децембра 2021. године потврдила оцену кредитног рејтинга Републике Србије на нивоу ББ+ и поправила изгледе за даље повећање кредитног рејтинга са стабилних на позитивне. Fitch Ratings је у најновијем извештају од 25. фебруара 2022. године потврдио кредитни рејтинг Републике Србије на нивоу ББ+, уз стабилне изгледе за његово даље повећање.</w:t>
      </w:r>
    </w:p>
    <w:p w14:paraId="4B05EBC1" w14:textId="2B9ABBB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 xml:space="preserve">Република Србија је током 2020. године у два наврата емитовала еврообвезнице како би финансирала пакет мера помоћи привреди и грађанима у циљу минимизирања утицаја кризе изазване пандемијом вируса COVID-19 и превремено отплатиле раније емитоване скупе еврообвезнице. Прва емисија еврообвезница је била 15. маја 2020. године, у еврима, у најделикатнијем тренутку у првом таласу пандемије, у укупном износу од 2,0 милијарде EUR. Купонска стопа је износила 3,125%, доспева 2027. године и листирана је на Лондонској берзи, једном од највећих и најрепрезентативнијих </w:t>
      </w:r>
      <w:r w:rsidRPr="00DE058F">
        <w:rPr>
          <w:rFonts w:ascii="Calibri" w:eastAsia="Calibri" w:hAnsi="Calibri" w:cs="Calibri"/>
          <w:bCs/>
          <w:szCs w:val="72"/>
          <w:lang w:val="sr-Cyrl-CS"/>
        </w:rPr>
        <w:t>тржишта на свету. Друга емисија еврообвезница је била 1. децембра 2020. године, у укупном износу од 1,2 милијарде америчких долара са доспећем 2030. године. Купонска стопа је износила 2,125%, а финална каматна стопа у еврима, након реализације хеџинг трансакције 1,066%. Повратак на доларско тржиште хартија и нова емисија деноминована у доларима, омогућиле су Србији да остане присутна у индексу обвезница тржишта у развоју – EMBI Index, чиме је осигурана њена видљивост на америчком тржишту капитала, као и на широј међународној инвестиционој мапи. Средствима емисије еврообвезница из децембра 2020. године извршeна je превремена отплата 900 милиона долара еврообвезница емитованих 2011. године, од укупно 1,6 милијарде долара колико је доспевало у септембру 2021. године. Превремено су откупљене обвезнице које су биле емитоване п</w:t>
      </w:r>
      <w:r w:rsidR="00B93D6A" w:rsidRPr="00DE058F">
        <w:rPr>
          <w:rFonts w:ascii="Calibri" w:eastAsia="Calibri" w:hAnsi="Calibri" w:cs="Calibri"/>
          <w:bCs/>
          <w:szCs w:val="72"/>
          <w:lang w:val="sr-Cyrl-CS"/>
        </w:rPr>
        <w:t>о купонској стопи од чак 7,25%.</w:t>
      </w:r>
    </w:p>
    <w:p w14:paraId="3D323669" w14:textId="77777777" w:rsidR="00BB2F03" w:rsidRPr="00DE058F" w:rsidRDefault="00BB2F03" w:rsidP="00C91F83">
      <w:pPr>
        <w:rPr>
          <w:rFonts w:ascii="Calibri" w:eastAsia="Calibri" w:hAnsi="Calibri" w:cs="Times New Roman"/>
          <w:lang w:val="sr-Cyrl-CS"/>
        </w:rPr>
      </w:pPr>
      <w:r w:rsidRPr="00DE058F">
        <w:rPr>
          <w:rFonts w:ascii="Calibri" w:eastAsia="Calibri" w:hAnsi="Calibri" w:cs="Calibri"/>
          <w:bCs/>
          <w:szCs w:val="72"/>
          <w:lang w:val="sr-Cyrl-CS"/>
        </w:rPr>
        <w:t xml:space="preserve">Како би снизила трошкове финансирања и продужила рочност дуга Република Србија је 3. марта 2021. године успешно искористила још увек повољне услове на међународном финансијском тржишту и по први пут емитовала дванаестогодишње државне обвезнице деноминоване у еврима у износу од једне милијарде евра </w:t>
      </w:r>
      <w:r w:rsidRPr="00DE058F">
        <w:rPr>
          <w:rFonts w:ascii="Calibri" w:eastAsia="Calibri" w:hAnsi="Calibri" w:cs="Times New Roman"/>
          <w:lang w:val="sr-Cyrl-CS"/>
        </w:rPr>
        <w:t xml:space="preserve">по купонској стопи од 1,65%. 23. септембра 2021. године Република </w:t>
      </w:r>
      <w:r w:rsidRPr="00DE058F">
        <w:rPr>
          <w:lang w:val="sr-Cyrl-CS"/>
        </w:rPr>
        <w:t>Србија је поново померила границе у избору финансирања својих инвестиција изласком на међународно тржиште зелених обвезница. Зелена еврообвезница емитована је у износу од 1,0 милијарде евра са роком доспећа од седам година и купонском стопом од 1,00%, најнижом до сада постигнутом на међународном тржишту. Република Србија се сврстала у ред ретких европских земаља које су на међународном финансијском тржишту емитовале зелене еврообвезнице, а које су намењене искључиво за финансирање еколошки прихватљивих пројеката. Истовремено, са емисијом зелене еврообвезнице, емитована је и петнаестогодишња еврообвезница најдуже рочности до сада у износу од 750 милиона евра, са годишњом купонском стопом од 2,05%, чијом емисијом је додатно повећана рочност јавног дуга.</w:t>
      </w:r>
    </w:p>
    <w:p w14:paraId="4A5E382E" w14:textId="143B2ED1"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 xml:space="preserve">Водећи се најбољом међународном праксом активног управљања јавним дугом, Република </w:t>
      </w:r>
      <w:r w:rsidRPr="00DE058F">
        <w:rPr>
          <w:rFonts w:ascii="Calibri" w:eastAsia="Calibri" w:hAnsi="Calibri" w:cs="Calibri"/>
          <w:bCs/>
          <w:szCs w:val="72"/>
          <w:lang w:val="sr-Cyrl-CS"/>
        </w:rPr>
        <w:lastRenderedPageBreak/>
        <w:t>Србија је у децембру 2020. године по први пут реализовала хеџинг трансакцију, тј. коришћење финансијских деривата у сврху заштите од девизног и каматног ризика, у складу са међународним ISDA стандардима (</w:t>
      </w:r>
      <w:r w:rsidRPr="00DE058F">
        <w:rPr>
          <w:rFonts w:ascii="Calibri" w:eastAsia="Calibri" w:hAnsi="Calibri" w:cs="Calibri"/>
          <w:bCs/>
          <w:i/>
          <w:szCs w:val="72"/>
          <w:lang w:val="sr-Cyrl-CS"/>
        </w:rPr>
        <w:t>International Swaps and Derivatives Association</w:t>
      </w:r>
      <w:r w:rsidRPr="00DE058F">
        <w:rPr>
          <w:rFonts w:ascii="Calibri" w:eastAsia="Calibri" w:hAnsi="Calibri" w:cs="Calibri"/>
          <w:bCs/>
          <w:szCs w:val="72"/>
          <w:lang w:val="sr-Cyrl-CS"/>
        </w:rPr>
        <w:t xml:space="preserve">), односно унакрсна валутна своп трансакција којом су обавезе по основу емитоване обвезнице конвертоване из америчких долара у евре по значајно нижој финалној каматној стопи. Своје обавезе по основу емисије деноминоване у доларима, у износу од 1,2 милијарди USD, Република Србија ће исплаћивати у еврима по купонској стопи од 1,066% на номиналну вредност емисије након конверзије од 1,016 милијарди евра. Искоришћен је повољан однос курса евра и америчког долара у датом тренутку, као и дивергенције између доларских и еурских каматних стопа на међународном тржишту капитала и постигнута је најповољнија цена задуживања, уз оптимизацију валутне структуре јавног дуга, а све у циљу заштите од ризика промене девизног курса. Током јануара 2021. године реализована је друга своп трансакција, којом је обавеза по основу Споразума о репрограму дуга између Републике Србије и Kuwait Investment Authority конвертована из америчких долара у евре, по значајно нижој каматној стопи. Обавезе по основу наведеног репрограмираног зајма, уговорене у доларима по каматној стопи од 1,5%, Република Србија ће исплаћивати у еврима по каматној стопи од 0,393%. У марту 2021. године је закључена нова своп трансакција којом је кредит код Export - Import Bank of China за пројекат изградње обилазнице око Београда на аутопуту Е70/Е75, који је 2018. године иницијално уговорен у кинеским јуанима конвертован у евре са негативном каматном стопом. Наведени зајам, на који је плаћана фиксна каматна стопа од 2,50% годишње у кинеским јуанима, конвертован је у евре по фиксној негативној каматној стопи од </w:t>
      </w:r>
      <w:r w:rsidRPr="00DE058F">
        <w:rPr>
          <w:rFonts w:ascii="Calibri" w:eastAsia="Calibri" w:hAnsi="Calibri" w:cs="Calibri"/>
          <w:bCs/>
          <w:szCs w:val="72"/>
          <w:lang w:val="sr-Cyrl-CS"/>
        </w:rPr>
        <w:br w:type="textWrapping" w:clear="all"/>
        <w:t>-0,07%. Како је уговорена негативна каматна стопа, Република Србија неће имати никакве тро</w:t>
      </w:r>
      <w:r w:rsidR="006A12BC" w:rsidRPr="00DE058F">
        <w:rPr>
          <w:rFonts w:ascii="Calibri" w:eastAsia="Calibri" w:hAnsi="Calibri" w:cs="Calibri"/>
          <w:bCs/>
          <w:szCs w:val="72"/>
          <w:lang w:val="sr-Cyrl-CS"/>
        </w:rPr>
        <w:t>шкове по основу камата у првих пет</w:t>
      </w:r>
      <w:r w:rsidRPr="00DE058F">
        <w:rPr>
          <w:rFonts w:ascii="Calibri" w:eastAsia="Calibri" w:hAnsi="Calibri" w:cs="Calibri"/>
          <w:bCs/>
          <w:szCs w:val="72"/>
          <w:lang w:val="sr-Cyrl-CS"/>
        </w:rPr>
        <w:t xml:space="preserve"> година своп аранжмана, који важи до 2030. године, већ ће остваривати додатна примања од банака са којима је трансакција закључена. 24.</w:t>
      </w:r>
      <w:r w:rsidR="00525A10" w:rsidRPr="00DE058F">
        <w:rPr>
          <w:rFonts w:ascii="Calibri" w:eastAsia="Calibri" w:hAnsi="Calibri" w:cs="Calibri"/>
          <w:bCs/>
          <w:szCs w:val="72"/>
          <w:lang w:val="sr-Cyrl-CS"/>
        </w:rPr>
        <w:t xml:space="preserve"> новембра </w:t>
      </w:r>
      <w:r w:rsidRPr="00DE058F">
        <w:rPr>
          <w:rFonts w:ascii="Calibri" w:eastAsia="Calibri" w:hAnsi="Calibri" w:cs="Calibri"/>
          <w:bCs/>
          <w:szCs w:val="72"/>
          <w:lang w:val="sr-Cyrl-CS"/>
        </w:rPr>
        <w:t xml:space="preserve">2021. године </w:t>
      </w:r>
      <w:r w:rsidRPr="00DE058F">
        <w:rPr>
          <w:lang w:val="sr-Cyrl-CS"/>
        </w:rPr>
        <w:t xml:space="preserve">реализована је још једна, четврта по </w:t>
      </w:r>
      <w:r w:rsidRPr="00DE058F">
        <w:rPr>
          <w:lang w:val="sr-Cyrl-CS"/>
        </w:rPr>
        <w:t>реду, своп трансакција, којом су обавезе по основу зајма узетог од Фонда за развој Абу Дабија, 2016. године, иницијално уговорене у дирхамима, са плаћањем у америчким доларима, конвертоване у евре. Дуг и обавезе по основу наведеног зајма на који је плаћана фиксна каматна стопа од 2,25% годишње, замењени су у евре по годишњој каматној стопи од 0,96%.</w:t>
      </w:r>
    </w:p>
    <w:p w14:paraId="1B9E14FB" w14:textId="70D68A69"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Током 2020. године настављено је са емитовањем „бенчмарк</w:t>
      </w:r>
      <w:r w:rsidRPr="00DE058F">
        <w:rPr>
          <w:rFonts w:eastAsia="MS PGothic" w:cstheme="minorHAnsi"/>
          <w:szCs w:val="20"/>
          <w:lang w:val="sr-Cyrl-CS" w:eastAsia="ja-JP"/>
        </w:rPr>
        <w:t>”</w:t>
      </w:r>
      <w:r w:rsidRPr="00DE058F">
        <w:rPr>
          <w:rFonts w:ascii="Calibri" w:eastAsia="Calibri" w:hAnsi="Calibri" w:cs="Calibri"/>
          <w:bCs/>
          <w:szCs w:val="72"/>
          <w:lang w:val="sr-Cyrl-CS"/>
        </w:rPr>
        <w:t xml:space="preserve"> обвезница на домаћем тржишту. Емитоване су обвезнице рочности 5,5 и 12,5 година у RSD номиналнe вредности од по 100 милијарди динара, чији обими су повећани на по 150 милијарди током 2021. године. 30. јуна 2021. године динарске бенчмарк обвезнице Републике Србије рочности 7, 10 и 12,5 година укључене су у J.P. Morgan GBI-EM Index. Укључивањем у наведени индекс начињен је значајан напредак у јачању ликвидности секундарног тржишта државних обвезница и обезбеђен долазак нових међународних страних инвестиционих фондова, што ће резултирати већом конкуренцијом и даљим падом трошкова задуживања. У октобру 2021. године, Clearstream, међународни централни регистар хартија од вредности, који обавља послове клиринга и салдирања (ICSD), отворио је рачун хартија од вредности у домаћем регистру и путем посредника </w:t>
      </w:r>
      <w:r w:rsidR="002165A3" w:rsidRPr="00DE058F">
        <w:rPr>
          <w:rFonts w:ascii="Calibri" w:eastAsia="Calibri" w:hAnsi="Calibri" w:cs="Calibri"/>
          <w:bCs/>
          <w:szCs w:val="72"/>
          <w:lang w:val="sr-Cyrl-CS"/>
        </w:rPr>
        <w:t>–</w:t>
      </w:r>
      <w:r w:rsidRPr="00DE058F">
        <w:rPr>
          <w:rFonts w:ascii="Calibri" w:eastAsia="Calibri" w:hAnsi="Calibri" w:cs="Calibri"/>
          <w:bCs/>
          <w:szCs w:val="72"/>
          <w:lang w:val="sr-Cyrl-CS"/>
        </w:rPr>
        <w:t xml:space="preserve"> овлашћеног учесника на локалном тржишту,</w:t>
      </w:r>
      <w:r w:rsidRPr="00DE058F">
        <w:rPr>
          <w:lang w:val="sr-Cyrl-CS"/>
        </w:rPr>
        <w:t xml:space="preserve"> </w:t>
      </w:r>
      <w:r w:rsidRPr="00DE058F">
        <w:rPr>
          <w:rFonts w:ascii="Calibri" w:eastAsia="Calibri" w:hAnsi="Calibri" w:cs="Calibri"/>
          <w:bCs/>
          <w:szCs w:val="72"/>
          <w:lang w:val="sr-Cyrl-CS"/>
        </w:rPr>
        <w:t>омогућио страним инвеститорима салдирање српс</w:t>
      </w:r>
      <w:r w:rsidR="00B93D6A" w:rsidRPr="00DE058F">
        <w:rPr>
          <w:rFonts w:ascii="Calibri" w:eastAsia="Calibri" w:hAnsi="Calibri" w:cs="Calibri"/>
          <w:bCs/>
          <w:szCs w:val="72"/>
          <w:lang w:val="sr-Cyrl-CS"/>
        </w:rPr>
        <w:t>ких обвезница у динарима (РСД).</w:t>
      </w:r>
    </w:p>
    <w:p w14:paraId="1A97939D" w14:textId="44286AAA"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У 2019. години Република Србија је извршила превремени откуп раније емитованих државних хартија од вредности на домаћем тржишту путем редовних аукција на којима је откупила државне обвезнице деноминоване у динарима са високим купонским стоп</w:t>
      </w:r>
      <w:r w:rsidR="006A12BC" w:rsidRPr="00DE058F">
        <w:rPr>
          <w:rFonts w:ascii="Calibri" w:eastAsia="Calibri" w:hAnsi="Calibri" w:cs="Calibri"/>
          <w:bCs/>
          <w:szCs w:val="72"/>
          <w:lang w:val="sr-Cyrl-CS"/>
        </w:rPr>
        <w:t>ама 4,5% на обвезнице рочности три</w:t>
      </w:r>
      <w:r w:rsidRPr="00DE058F">
        <w:rPr>
          <w:rFonts w:ascii="Calibri" w:eastAsia="Calibri" w:hAnsi="Calibri" w:cs="Calibri"/>
          <w:bCs/>
          <w:szCs w:val="72"/>
          <w:lang w:val="sr-Cyrl-CS"/>
        </w:rPr>
        <w:t xml:space="preserve"> године</w:t>
      </w:r>
      <w:r w:rsidR="006A12BC" w:rsidRPr="00DE058F">
        <w:rPr>
          <w:rFonts w:ascii="Calibri" w:eastAsia="Calibri" w:hAnsi="Calibri" w:cs="Calibri"/>
          <w:bCs/>
          <w:szCs w:val="72"/>
          <w:lang w:val="sr-Cyrl-CS"/>
        </w:rPr>
        <w:t xml:space="preserve"> и 10,0% на обвезнице рочности седам</w:t>
      </w:r>
      <w:r w:rsidRPr="00DE058F">
        <w:rPr>
          <w:rFonts w:ascii="Calibri" w:eastAsia="Calibri" w:hAnsi="Calibri" w:cs="Calibri"/>
          <w:bCs/>
          <w:szCs w:val="72"/>
          <w:lang w:val="sr-Cyrl-CS"/>
        </w:rPr>
        <w:t xml:space="preserve"> година, у укупном износу од 35,1 милијарде RSD. Са истом праксом је настављено и у 2020. години када је превремено откупљено 10,2 милијарде RSD обвезница са високим купонским стопама. Током 2021. године превремено је откупљено 34,0 милијарди RSD државних обвезница емитованих у динари</w:t>
      </w:r>
      <w:r w:rsidR="00B93D6A" w:rsidRPr="00DE058F">
        <w:rPr>
          <w:rFonts w:ascii="Calibri" w:eastAsia="Calibri" w:hAnsi="Calibri" w:cs="Calibri"/>
          <w:bCs/>
          <w:szCs w:val="72"/>
          <w:lang w:val="sr-Cyrl-CS"/>
        </w:rPr>
        <w:t>ма рочности 3, 7 и 12,5 година.</w:t>
      </w:r>
    </w:p>
    <w:p w14:paraId="4406AAE1"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 xml:space="preserve">Путем наведених аукција, настављено је активно управљање јавним дугом у циљу замене дуга са </w:t>
      </w:r>
      <w:r w:rsidRPr="00DE058F">
        <w:rPr>
          <w:rFonts w:ascii="Calibri" w:eastAsia="Calibri" w:hAnsi="Calibri" w:cs="Calibri"/>
          <w:bCs/>
          <w:szCs w:val="72"/>
          <w:lang w:val="sr-Cyrl-CS"/>
        </w:rPr>
        <w:lastRenderedPageBreak/>
        <w:t>краћим роком доспећа и вишим каматним стопама дугом дуже рочности са мањим трошковима задуживања. Истовремено, пружена је могућност инвеститорима који активно улажу у домаће хартије од вредности да продуже рочност својих инвестиција и наставе инвестирање у земљи, што је од велике важности за даљи развој тржишта капитала и емисије државних обвезница у будућности.</w:t>
      </w:r>
    </w:p>
    <w:p w14:paraId="4ED64018"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 xml:space="preserve">Валутни ризик је додатно смањен током претходних година. Удео јавног дуга у домаћој валути у укупном јавном дугу централног нивоа власти је на крају 2008. године износио само 2,6%, а до краја 2020. године је порастао на 30,5%, али је услед задуживања током 2021. и почетком 2022. године углавном на иностраном тржишту због повољнијих услова, дошло до пада учешћа на 26,1% на крају марта 2022. године. Расту динарског дуга претходних година су пре свега допринеле емисије динарских државних хартија од вредности на домаћем тржишту хартија од вредности. Током 2019. и 2020. године је извршен превремени откуп скупих еврообвезница емитованих у 2011. и 2013. години у америчким доларима, а током фебруара 2020. године редовна отплата доларске обвезнице емитоване у 2013. години. У децембру 2020. године је </w:t>
      </w:r>
      <w:r w:rsidRPr="00DE058F">
        <w:rPr>
          <w:rFonts w:ascii="Calibri" w:eastAsia="Calibri" w:hAnsi="Calibri" w:cs="Calibri"/>
          <w:bCs/>
          <w:szCs w:val="72"/>
          <w:lang w:val="sr-Cyrl-CS"/>
        </w:rPr>
        <w:t>закључена и прва хеџинг трансакција којом је емитована еврообвезница у америчким доларима, одмах конвертована у евре. У јануару 2021. године је закључена још једна хеџинг трансакција којом су обавезе у америчким доларима конвертоване у евре. Захваљујући трансакцијама у децембру 2020. године и фебруару 2021. године, као и редовним отплатама доларског дуга, дошло је до пада његовог учешћа у укупном јавном дугу са 33,9% колико је износило на крају 2016. године на 10,9% на крају марта 2022. године.</w:t>
      </w:r>
    </w:p>
    <w:p w14:paraId="0C65C811"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Трошкови задуживања су такође значајно снижени током претходних година. Учешће трошкова камата у БДП-у је пало са 2,9% (централни ниво власти) колико је износило 2015. године на 1,7% у 2021. години.</w:t>
      </w:r>
    </w:p>
    <w:p w14:paraId="37B8E481" w14:textId="77777777" w:rsidR="00BB2F03" w:rsidRPr="00DE058F" w:rsidRDefault="00BB2F03" w:rsidP="00C91F83">
      <w:pPr>
        <w:spacing w:after="720"/>
        <w:rPr>
          <w:rFonts w:ascii="Calibri" w:eastAsia="Calibri" w:hAnsi="Calibri" w:cs="Calibri"/>
          <w:bCs/>
          <w:szCs w:val="72"/>
          <w:lang w:val="sr-Cyrl-CS"/>
        </w:rPr>
      </w:pPr>
      <w:r w:rsidRPr="00DE058F">
        <w:rPr>
          <w:rFonts w:ascii="Calibri" w:eastAsia="Calibri" w:hAnsi="Calibri" w:cs="Calibri"/>
          <w:bCs/>
          <w:szCs w:val="72"/>
          <w:lang w:val="sr-Cyrl-CS"/>
        </w:rPr>
        <w:t>На крају марта 2022. године укупно стање јавног дуга општег нивоа државе износило је 3.639,8 млрд динара, односно 52,7% БДП. Од тога се на директне обавезе односило 3.410,8 млрд динара, на индиректне обавезе 192,0 млрд динара, док се 30,3 млрд динара односи на негарантовани дуг јединица локалне самоуправе и 6,7 млрд динара на негарантовани дуг ЈП „Путеви Србије” и предузећа „Коридори Србије” д.о.о.</w:t>
      </w:r>
    </w:p>
    <w:p w14:paraId="4B2308C5" w14:textId="77777777" w:rsidR="00BB2F03" w:rsidRPr="00DE058F" w:rsidRDefault="00BB2F03" w:rsidP="00C91F83">
      <w:pPr>
        <w:spacing w:line="254" w:lineRule="auto"/>
        <w:rPr>
          <w:rFonts w:ascii="Calibri" w:eastAsia="Calibri" w:hAnsi="Calibri" w:cs="Calibri"/>
          <w:bCs/>
          <w:szCs w:val="72"/>
          <w:lang w:val="sr-Cyrl-CS"/>
        </w:rPr>
        <w:sectPr w:rsidR="00BB2F03" w:rsidRPr="00DE058F" w:rsidSect="00C91F83">
          <w:type w:val="continuous"/>
          <w:pgSz w:w="12240" w:h="15840"/>
          <w:pgMar w:top="1440" w:right="1440" w:bottom="1440" w:left="1440" w:header="720" w:footer="720" w:gutter="0"/>
          <w:cols w:num="2" w:space="720"/>
        </w:sectPr>
      </w:pPr>
    </w:p>
    <w:p w14:paraId="1A145A97" w14:textId="77777777" w:rsidR="00BB2F03" w:rsidRPr="00DE058F" w:rsidRDefault="00BB2F03" w:rsidP="00C91F83">
      <w:pPr>
        <w:spacing w:after="0" w:line="257" w:lineRule="auto"/>
        <w:jc w:val="center"/>
        <w:rPr>
          <w:rFonts w:ascii="Calibri" w:eastAsia="Calibri" w:hAnsi="Calibri" w:cs="Times New Roman"/>
          <w:b/>
          <w:color w:val="002060"/>
          <w:lang w:val="sr-Cyrl-CS"/>
        </w:rPr>
      </w:pPr>
      <w:r w:rsidRPr="00DE058F">
        <w:rPr>
          <w:rFonts w:ascii="Calibri" w:eastAsia="Calibri" w:hAnsi="Calibri" w:cs="Times New Roman"/>
          <w:b/>
          <w:color w:val="002060"/>
          <w:lang w:val="sr-Cyrl-CS"/>
        </w:rPr>
        <w:t>Учешће јавног дуга општег нивоа државе у БДП,%</w:t>
      </w:r>
    </w:p>
    <w:p w14:paraId="19E41159" w14:textId="77777777" w:rsidR="00BB2F03" w:rsidRPr="00DE058F" w:rsidRDefault="00BB2F03" w:rsidP="00C91F83">
      <w:pPr>
        <w:spacing w:line="256" w:lineRule="auto"/>
        <w:jc w:val="center"/>
        <w:rPr>
          <w:rFonts w:ascii="Calibri" w:eastAsia="Calibri" w:hAnsi="Calibri" w:cs="Times New Roman"/>
          <w:b/>
          <w:color w:val="002060"/>
          <w:lang w:val="sr-Cyrl-CS"/>
        </w:rPr>
      </w:pPr>
      <w:r w:rsidRPr="00DE058F">
        <w:rPr>
          <w:rFonts w:ascii="Calibri" w:eastAsia="Calibri" w:hAnsi="Calibri" w:cs="Times New Roman"/>
          <w:noProof/>
        </w:rPr>
        <w:drawing>
          <wp:inline distT="0" distB="0" distL="0" distR="0" wp14:anchorId="263633E0" wp14:editId="0870F105">
            <wp:extent cx="3667125" cy="2838203"/>
            <wp:effectExtent l="0" t="0" r="0" b="635"/>
            <wp:docPr id="81"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14:paraId="5D7A498A" w14:textId="15CA6ABB" w:rsidR="00BB2F03" w:rsidRPr="00DE058F" w:rsidRDefault="00BB2F03" w:rsidP="00C91F83">
      <w:pPr>
        <w:spacing w:line="256" w:lineRule="auto"/>
        <w:jc w:val="center"/>
        <w:rPr>
          <w:rFonts w:ascii="Calibri" w:eastAsia="Calibri" w:hAnsi="Calibri" w:cs="Times New Roman"/>
          <w:b/>
          <w:color w:val="002060"/>
          <w:lang w:val="sr-Cyrl-CS"/>
        </w:rPr>
      </w:pPr>
      <w:r w:rsidRPr="00DE058F">
        <w:rPr>
          <w:rFonts w:ascii="Calibri" w:eastAsia="Calibri" w:hAnsi="Calibri" w:cs="Times New Roman"/>
          <w:b/>
          <w:color w:val="002060"/>
          <w:lang w:val="sr-Cyrl-CS"/>
        </w:rPr>
        <w:lastRenderedPageBreak/>
        <w:t>Табела 2</w:t>
      </w:r>
      <w:r w:rsidR="00623E62" w:rsidRPr="00DE058F">
        <w:rPr>
          <w:rFonts w:ascii="Calibri" w:eastAsia="Calibri" w:hAnsi="Calibri" w:cs="Times New Roman"/>
          <w:b/>
          <w:color w:val="002060"/>
          <w:lang w:val="sr-Cyrl-CS"/>
        </w:rPr>
        <w:t>2</w:t>
      </w:r>
      <w:r w:rsidRPr="00DE058F">
        <w:rPr>
          <w:rFonts w:ascii="Calibri" w:eastAsia="Calibri" w:hAnsi="Calibri" w:cs="Times New Roman"/>
          <w:b/>
          <w:color w:val="002060"/>
          <w:lang w:val="sr-Cyrl-CS"/>
        </w:rPr>
        <w:t xml:space="preserve">. </w:t>
      </w:r>
      <w:r w:rsidRPr="00DE058F">
        <w:rPr>
          <w:rFonts w:ascii="Calibri" w:eastAsia="Calibri" w:hAnsi="Calibri" w:cs="Times New Roman"/>
          <w:b/>
          <w:bCs/>
          <w:color w:val="002060"/>
          <w:lang w:val="sr-Cyrl-CS"/>
        </w:rPr>
        <w:t xml:space="preserve">Јавни дуг општег нивоа државе Републике Србије у периоду </w:t>
      </w:r>
      <w:r w:rsidRPr="00DE058F">
        <w:rPr>
          <w:rFonts w:ascii="Calibri" w:eastAsia="Calibri" w:hAnsi="Calibri" w:cs="Times New Roman"/>
          <w:b/>
          <w:bCs/>
          <w:color w:val="002060"/>
          <w:lang w:val="sr-Cyrl-CS"/>
        </w:rPr>
        <w:br w:type="textWrapping" w:clear="all"/>
        <w:t>крај 2019–31. март 2022. године</w:t>
      </w:r>
    </w:p>
    <w:tbl>
      <w:tblPr>
        <w:tblStyle w:val="LightShading-Accent12121"/>
        <w:tblW w:w="5000" w:type="pct"/>
        <w:tblInd w:w="0" w:type="dxa"/>
        <w:tblLook w:val="04A0" w:firstRow="1" w:lastRow="0" w:firstColumn="1" w:lastColumn="0" w:noHBand="0" w:noVBand="1"/>
      </w:tblPr>
      <w:tblGrid>
        <w:gridCol w:w="4046"/>
        <w:gridCol w:w="1328"/>
        <w:gridCol w:w="1330"/>
        <w:gridCol w:w="1327"/>
        <w:gridCol w:w="1329"/>
      </w:tblGrid>
      <w:tr w:rsidR="00BB2F03" w:rsidRPr="00DE058F" w14:paraId="39193913" w14:textId="77777777" w:rsidTr="00482D55">
        <w:trPr>
          <w:cnfStyle w:val="100000000000" w:firstRow="1" w:lastRow="0" w:firstColumn="0" w:lastColumn="0" w:oddVBand="0" w:evenVBand="0" w:oddHBand="0"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2161" w:type="pct"/>
            <w:tcBorders>
              <w:top w:val="single" w:sz="4" w:space="0" w:color="002060"/>
              <w:bottom w:val="single" w:sz="4" w:space="0" w:color="FFFFFF" w:themeColor="background1"/>
            </w:tcBorders>
            <w:noWrap/>
            <w:hideMark/>
          </w:tcPr>
          <w:p w14:paraId="3764148A" w14:textId="77777777" w:rsidR="00BB2F03" w:rsidRPr="00DE058F" w:rsidRDefault="00BB2F03" w:rsidP="00C91F83">
            <w:pPr>
              <w:jc w:val="center"/>
              <w:rPr>
                <w:rFonts w:ascii="Calibri" w:hAnsi="Calibri" w:cs="Calibri"/>
                <w:color w:val="002060"/>
                <w:sz w:val="18"/>
                <w:szCs w:val="18"/>
                <w:lang w:val="sr-Cyrl-CS"/>
              </w:rPr>
            </w:pPr>
            <w:bookmarkStart w:id="55" w:name="_Hlk529193448"/>
            <w:r w:rsidRPr="00DE058F">
              <w:rPr>
                <w:rFonts w:ascii="Calibri" w:hAnsi="Calibri" w:cs="Calibri"/>
                <w:color w:val="002060"/>
                <w:sz w:val="18"/>
                <w:szCs w:val="18"/>
                <w:lang w:val="sr-Cyrl-CS"/>
              </w:rPr>
              <w:t> </w:t>
            </w:r>
          </w:p>
        </w:tc>
        <w:tc>
          <w:tcPr>
            <w:tcW w:w="709" w:type="pct"/>
            <w:tcBorders>
              <w:top w:val="single" w:sz="4" w:space="0" w:color="002060"/>
              <w:bottom w:val="single" w:sz="4" w:space="0" w:color="002060"/>
            </w:tcBorders>
            <w:vAlign w:val="center"/>
            <w:hideMark/>
          </w:tcPr>
          <w:p w14:paraId="1574D112" w14:textId="77777777" w:rsidR="00BB2F03" w:rsidRPr="00DE058F" w:rsidRDefault="00BB2F03"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2019</w:t>
            </w:r>
          </w:p>
        </w:tc>
        <w:tc>
          <w:tcPr>
            <w:tcW w:w="710" w:type="pct"/>
            <w:tcBorders>
              <w:top w:val="single" w:sz="4" w:space="0" w:color="002060"/>
              <w:bottom w:val="single" w:sz="4" w:space="0" w:color="002060"/>
            </w:tcBorders>
            <w:vAlign w:val="center"/>
            <w:hideMark/>
          </w:tcPr>
          <w:p w14:paraId="3D855856" w14:textId="77777777" w:rsidR="00BB2F03" w:rsidRPr="00DE058F" w:rsidRDefault="00BB2F03"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2020</w:t>
            </w:r>
          </w:p>
        </w:tc>
        <w:tc>
          <w:tcPr>
            <w:tcW w:w="709" w:type="pct"/>
            <w:tcBorders>
              <w:top w:val="single" w:sz="4" w:space="0" w:color="002060"/>
              <w:bottom w:val="single" w:sz="4" w:space="0" w:color="002060"/>
            </w:tcBorders>
            <w:noWrap/>
            <w:vAlign w:val="center"/>
            <w:hideMark/>
          </w:tcPr>
          <w:p w14:paraId="3F9AA8F1" w14:textId="77777777" w:rsidR="00BB2F03" w:rsidRPr="00DE058F" w:rsidRDefault="00BB2F03"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2021</w:t>
            </w:r>
          </w:p>
        </w:tc>
        <w:tc>
          <w:tcPr>
            <w:tcW w:w="710" w:type="pct"/>
            <w:tcBorders>
              <w:top w:val="single" w:sz="4" w:space="0" w:color="002060"/>
              <w:bottom w:val="single" w:sz="4" w:space="0" w:color="002060"/>
            </w:tcBorders>
            <w:noWrap/>
            <w:vAlign w:val="center"/>
            <w:hideMark/>
          </w:tcPr>
          <w:p w14:paraId="2B500D41" w14:textId="77777777" w:rsidR="00BB2F03" w:rsidRPr="00DE058F" w:rsidRDefault="00BB2F03"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2022/III</w:t>
            </w:r>
          </w:p>
        </w:tc>
      </w:tr>
      <w:tr w:rsidR="00BB2F03" w:rsidRPr="00DE058F" w14:paraId="0BA6D342" w14:textId="77777777" w:rsidTr="00482D55">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2161" w:type="pct"/>
            <w:tcBorders>
              <w:top w:val="single" w:sz="4" w:space="0" w:color="FFFFFF" w:themeColor="background1"/>
              <w:bottom w:val="nil"/>
            </w:tcBorders>
            <w:shd w:val="clear" w:color="auto" w:fill="E7E6E6" w:themeFill="background2"/>
            <w:noWrap/>
            <w:vAlign w:val="center"/>
            <w:hideMark/>
          </w:tcPr>
          <w:p w14:paraId="17AF6C2A"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Јавни дуг (у млрд динара)</w:t>
            </w:r>
          </w:p>
        </w:tc>
        <w:tc>
          <w:tcPr>
            <w:tcW w:w="709" w:type="pct"/>
            <w:tcBorders>
              <w:top w:val="single" w:sz="4" w:space="0" w:color="002060"/>
              <w:bottom w:val="nil"/>
            </w:tcBorders>
            <w:shd w:val="clear" w:color="auto" w:fill="E7E6E6" w:themeFill="background2"/>
            <w:vAlign w:val="center"/>
            <w:hideMark/>
          </w:tcPr>
          <w:p w14:paraId="3FD54E11"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2.864,0</w:t>
            </w:r>
          </w:p>
        </w:tc>
        <w:tc>
          <w:tcPr>
            <w:tcW w:w="710" w:type="pct"/>
            <w:tcBorders>
              <w:top w:val="single" w:sz="4" w:space="0" w:color="002060"/>
              <w:bottom w:val="nil"/>
            </w:tcBorders>
            <w:shd w:val="clear" w:color="auto" w:fill="E7E6E6" w:themeFill="background2"/>
            <w:vAlign w:val="center"/>
            <w:hideMark/>
          </w:tcPr>
          <w:p w14:paraId="7520AE9A"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3.181,2</w:t>
            </w:r>
          </w:p>
        </w:tc>
        <w:tc>
          <w:tcPr>
            <w:tcW w:w="709" w:type="pct"/>
            <w:tcBorders>
              <w:top w:val="single" w:sz="4" w:space="0" w:color="002060"/>
              <w:bottom w:val="nil"/>
            </w:tcBorders>
            <w:shd w:val="clear" w:color="auto" w:fill="E7E6E6" w:themeFill="background2"/>
            <w:noWrap/>
            <w:vAlign w:val="center"/>
            <w:hideMark/>
          </w:tcPr>
          <w:p w14:paraId="01D72E47"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3.581,8</w:t>
            </w:r>
          </w:p>
        </w:tc>
        <w:tc>
          <w:tcPr>
            <w:tcW w:w="710" w:type="pct"/>
            <w:tcBorders>
              <w:top w:val="single" w:sz="4" w:space="0" w:color="002060"/>
              <w:bottom w:val="nil"/>
            </w:tcBorders>
            <w:shd w:val="clear" w:color="auto" w:fill="E7E6E6" w:themeFill="background2"/>
            <w:noWrap/>
            <w:vAlign w:val="center"/>
            <w:hideMark/>
          </w:tcPr>
          <w:p w14:paraId="371715A9"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3.639,8</w:t>
            </w:r>
          </w:p>
        </w:tc>
      </w:tr>
      <w:tr w:rsidR="00BB2F03" w:rsidRPr="00DE058F" w14:paraId="54EA72BB" w14:textId="77777777" w:rsidTr="00482D55">
        <w:trPr>
          <w:trHeight w:val="282"/>
        </w:trPr>
        <w:tc>
          <w:tcPr>
            <w:cnfStyle w:val="001000000000" w:firstRow="0" w:lastRow="0" w:firstColumn="1" w:lastColumn="0" w:oddVBand="0" w:evenVBand="0" w:oddHBand="0" w:evenHBand="0" w:firstRowFirstColumn="0" w:firstRowLastColumn="0" w:lastRowFirstColumn="0" w:lastRowLastColumn="0"/>
            <w:tcW w:w="2161" w:type="pct"/>
            <w:tcBorders>
              <w:top w:val="nil"/>
              <w:left w:val="nil"/>
              <w:bottom w:val="nil"/>
              <w:right w:val="nil"/>
            </w:tcBorders>
            <w:noWrap/>
            <w:vAlign w:val="center"/>
            <w:hideMark/>
          </w:tcPr>
          <w:p w14:paraId="1A0353CF"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Јавни дуг (у мил. евра)</w:t>
            </w:r>
          </w:p>
        </w:tc>
        <w:tc>
          <w:tcPr>
            <w:tcW w:w="709" w:type="pct"/>
            <w:tcBorders>
              <w:top w:val="nil"/>
              <w:left w:val="nil"/>
              <w:bottom w:val="nil"/>
              <w:right w:val="nil"/>
            </w:tcBorders>
            <w:vAlign w:val="center"/>
            <w:hideMark/>
          </w:tcPr>
          <w:p w14:paraId="0CB2F4F5"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24.354,9</w:t>
            </w:r>
          </w:p>
        </w:tc>
        <w:tc>
          <w:tcPr>
            <w:tcW w:w="710" w:type="pct"/>
            <w:tcBorders>
              <w:top w:val="nil"/>
              <w:left w:val="nil"/>
              <w:bottom w:val="nil"/>
              <w:right w:val="nil"/>
            </w:tcBorders>
            <w:vAlign w:val="center"/>
            <w:hideMark/>
          </w:tcPr>
          <w:p w14:paraId="486C1CCA"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27.055,8</w:t>
            </w:r>
          </w:p>
        </w:tc>
        <w:tc>
          <w:tcPr>
            <w:tcW w:w="709" w:type="pct"/>
            <w:tcBorders>
              <w:top w:val="nil"/>
              <w:left w:val="nil"/>
              <w:bottom w:val="nil"/>
              <w:right w:val="nil"/>
            </w:tcBorders>
            <w:noWrap/>
            <w:vAlign w:val="center"/>
            <w:hideMark/>
          </w:tcPr>
          <w:p w14:paraId="76995DA7"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30.461,8</w:t>
            </w:r>
          </w:p>
        </w:tc>
        <w:tc>
          <w:tcPr>
            <w:tcW w:w="710" w:type="pct"/>
            <w:tcBorders>
              <w:top w:val="nil"/>
              <w:left w:val="nil"/>
              <w:bottom w:val="nil"/>
              <w:right w:val="nil"/>
            </w:tcBorders>
            <w:noWrap/>
            <w:vAlign w:val="center"/>
            <w:hideMark/>
          </w:tcPr>
          <w:p w14:paraId="74AABB90"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30.910,8</w:t>
            </w:r>
          </w:p>
        </w:tc>
      </w:tr>
      <w:tr w:rsidR="00BB2F03" w:rsidRPr="00DE058F" w14:paraId="1B674072" w14:textId="77777777" w:rsidTr="00482D55">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2161" w:type="pct"/>
            <w:tcBorders>
              <w:top w:val="nil"/>
              <w:bottom w:val="single" w:sz="4" w:space="0" w:color="002060"/>
            </w:tcBorders>
            <w:shd w:val="clear" w:color="auto" w:fill="E7E6E6" w:themeFill="background2"/>
            <w:noWrap/>
            <w:vAlign w:val="center"/>
            <w:hideMark/>
          </w:tcPr>
          <w:p w14:paraId="41404DAB"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Јавни дуг (у мил. долара)</w:t>
            </w:r>
          </w:p>
        </w:tc>
        <w:tc>
          <w:tcPr>
            <w:tcW w:w="709" w:type="pct"/>
            <w:tcBorders>
              <w:top w:val="nil"/>
              <w:bottom w:val="single" w:sz="4" w:space="0" w:color="002060"/>
            </w:tcBorders>
            <w:shd w:val="clear" w:color="auto" w:fill="E7E6E6" w:themeFill="background2"/>
            <w:vAlign w:val="center"/>
            <w:hideMark/>
          </w:tcPr>
          <w:p w14:paraId="5AF07BE0"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27.296,9</w:t>
            </w:r>
          </w:p>
        </w:tc>
        <w:tc>
          <w:tcPr>
            <w:tcW w:w="710" w:type="pct"/>
            <w:tcBorders>
              <w:top w:val="nil"/>
              <w:bottom w:val="single" w:sz="4" w:space="0" w:color="002060"/>
            </w:tcBorders>
            <w:shd w:val="clear" w:color="auto" w:fill="E7E6E6" w:themeFill="background2"/>
            <w:vAlign w:val="center"/>
            <w:hideMark/>
          </w:tcPr>
          <w:p w14:paraId="56CD29A6"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33.254,3</w:t>
            </w:r>
          </w:p>
        </w:tc>
        <w:tc>
          <w:tcPr>
            <w:tcW w:w="709" w:type="pct"/>
            <w:tcBorders>
              <w:top w:val="nil"/>
              <w:bottom w:val="single" w:sz="4" w:space="0" w:color="002060"/>
            </w:tcBorders>
            <w:shd w:val="clear" w:color="auto" w:fill="E7E6E6" w:themeFill="background2"/>
            <w:noWrap/>
            <w:vAlign w:val="center"/>
            <w:hideMark/>
          </w:tcPr>
          <w:p w14:paraId="17C3A704"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34.464,5</w:t>
            </w:r>
          </w:p>
        </w:tc>
        <w:tc>
          <w:tcPr>
            <w:tcW w:w="710" w:type="pct"/>
            <w:tcBorders>
              <w:top w:val="nil"/>
              <w:bottom w:val="single" w:sz="4" w:space="0" w:color="002060"/>
            </w:tcBorders>
            <w:shd w:val="clear" w:color="auto" w:fill="E7E6E6" w:themeFill="background2"/>
            <w:noWrap/>
            <w:vAlign w:val="center"/>
            <w:hideMark/>
          </w:tcPr>
          <w:p w14:paraId="47EAF289"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34.499,6</w:t>
            </w:r>
          </w:p>
        </w:tc>
      </w:tr>
      <w:bookmarkEnd w:id="55"/>
    </w:tbl>
    <w:p w14:paraId="6320249D" w14:textId="77777777" w:rsidR="00BB2F03" w:rsidRPr="00DE058F" w:rsidRDefault="00BB2F03" w:rsidP="00C91F83">
      <w:pPr>
        <w:spacing w:after="100" w:line="256" w:lineRule="auto"/>
        <w:rPr>
          <w:rFonts w:ascii="Calibri" w:eastAsia="Calibri" w:hAnsi="Calibri" w:cs="Times New Roman"/>
          <w:b/>
          <w:lang w:val="sr-Cyrl-CS"/>
        </w:rPr>
      </w:pPr>
    </w:p>
    <w:p w14:paraId="632974A6" w14:textId="77777777" w:rsidR="00BB2F03" w:rsidRPr="00DE058F" w:rsidRDefault="00BB2F03" w:rsidP="00C91F83">
      <w:pPr>
        <w:spacing w:after="0" w:line="256" w:lineRule="auto"/>
        <w:jc w:val="left"/>
        <w:rPr>
          <w:rFonts w:ascii="Calibri" w:eastAsia="Calibri" w:hAnsi="Calibri" w:cs="Calibri"/>
          <w:bCs/>
          <w:sz w:val="10"/>
          <w:szCs w:val="10"/>
          <w:lang w:val="sr-Cyrl-CS"/>
        </w:rPr>
        <w:sectPr w:rsidR="00BB2F03" w:rsidRPr="00DE058F">
          <w:type w:val="continuous"/>
          <w:pgSz w:w="12240" w:h="15840"/>
          <w:pgMar w:top="1440" w:right="1440" w:bottom="1440" w:left="1440" w:header="720" w:footer="720" w:gutter="0"/>
          <w:cols w:space="720"/>
        </w:sectPr>
      </w:pPr>
    </w:p>
    <w:p w14:paraId="486CE76F" w14:textId="14BCB77F" w:rsidR="00BB2F03" w:rsidRPr="00DE058F" w:rsidRDefault="00BB2F03" w:rsidP="00C91F83">
      <w:pPr>
        <w:spacing w:after="400"/>
        <w:rPr>
          <w:rFonts w:ascii="Calibri" w:eastAsia="Calibri" w:hAnsi="Calibri" w:cs="Calibri"/>
          <w:bCs/>
          <w:szCs w:val="72"/>
          <w:lang w:val="sr-Cyrl-CS"/>
        </w:rPr>
      </w:pPr>
      <w:r w:rsidRPr="00DE058F">
        <w:rPr>
          <w:rFonts w:ascii="Calibri" w:eastAsia="Calibri" w:hAnsi="Calibri" w:cs="Calibri"/>
          <w:bCs/>
          <w:szCs w:val="72"/>
          <w:lang w:val="sr-Cyrl-CS"/>
        </w:rPr>
        <w:t xml:space="preserve">Током 2021. године и прва три месеца 2022. године, услед потребе да се финансирају мере подршке </w:t>
      </w:r>
      <w:r w:rsidRPr="00DE058F">
        <w:rPr>
          <w:rFonts w:ascii="Calibri" w:eastAsia="Calibri" w:hAnsi="Calibri" w:cs="Calibri"/>
          <w:bCs/>
          <w:spacing w:val="-2"/>
          <w:szCs w:val="72"/>
          <w:lang w:val="sr-Cyrl-CS"/>
        </w:rPr>
        <w:t>привреди и грађанима за борбу против пандемије изазване коронавирусом COVID-19,</w:t>
      </w:r>
      <w:r w:rsidRPr="00DE058F">
        <w:rPr>
          <w:rFonts w:ascii="Calibri" w:eastAsia="Calibri" w:hAnsi="Calibri" w:cs="Calibri"/>
          <w:bCs/>
          <w:szCs w:val="72"/>
          <w:lang w:val="sr-Cyrl-CS"/>
        </w:rPr>
        <w:t xml:space="preserve"> приметан је раст јавног дуга централног нивоа власти у еврима. Услед повољнијих услова за задуживање на иностраном тржишту, емитоване су у два наврата еврообвезнице у еврима. Поред тога део дуга у америчким доларима, кинеским јуанима и УАЕ дирхамима је конвертован у евре, услед далеко мање осцилације курса евра према динару, у односу на наведене валуте, како би се смањио валутни ризик. Почетком 2022. године дошло је до раста дуга у специјалним правима вучења, услед задуживања код </w:t>
      </w:r>
      <w:r w:rsidR="00525A10" w:rsidRPr="00DE058F">
        <w:rPr>
          <w:rFonts w:ascii="Calibri" w:eastAsia="Calibri" w:hAnsi="Calibri" w:cs="Calibri"/>
          <w:bCs/>
          <w:szCs w:val="72"/>
          <w:lang w:val="sr-Cyrl-CS"/>
        </w:rPr>
        <w:t>ММФ</w:t>
      </w:r>
      <w:r w:rsidRPr="00DE058F">
        <w:rPr>
          <w:rFonts w:ascii="Calibri" w:eastAsia="Calibri" w:hAnsi="Calibri" w:cs="Calibri"/>
          <w:bCs/>
          <w:szCs w:val="72"/>
          <w:lang w:val="sr-Cyrl-CS"/>
        </w:rPr>
        <w:t xml:space="preserve"> по изузетно </w:t>
      </w:r>
      <w:r w:rsidRPr="00DE058F">
        <w:rPr>
          <w:rFonts w:ascii="Calibri" w:eastAsia="Calibri" w:hAnsi="Calibri" w:cs="Calibri"/>
          <w:bCs/>
          <w:szCs w:val="72"/>
          <w:lang w:val="sr-Cyrl-CS"/>
        </w:rPr>
        <w:t>повољним условима. Током 2020. и 2021. године је растао дуг у динарима услед инте</w:t>
      </w:r>
      <w:r w:rsidR="00C32AA6" w:rsidRPr="00DE058F">
        <w:rPr>
          <w:rFonts w:ascii="Calibri" w:eastAsia="Calibri" w:hAnsi="Calibri" w:cs="Calibri"/>
          <w:bCs/>
          <w:szCs w:val="72"/>
          <w:lang w:val="sr-Cyrl-CS"/>
        </w:rPr>
        <w:t>н</w:t>
      </w:r>
      <w:r w:rsidRPr="00DE058F">
        <w:rPr>
          <w:rFonts w:ascii="Calibri" w:eastAsia="Calibri" w:hAnsi="Calibri" w:cs="Calibri"/>
          <w:bCs/>
          <w:szCs w:val="72"/>
          <w:lang w:val="sr-Cyrl-CS"/>
        </w:rPr>
        <w:t xml:space="preserve">зивног задуживања у домаћој валути, како би се додатно подстакао развој домаћег тржишта, док је у првом кварталу 2022. </w:t>
      </w:r>
      <w:r w:rsidR="00525A10" w:rsidRPr="00DE058F">
        <w:rPr>
          <w:rFonts w:ascii="Calibri" w:eastAsia="Calibri" w:hAnsi="Calibri" w:cs="Calibri"/>
          <w:bCs/>
          <w:szCs w:val="72"/>
          <w:lang w:val="sr-Cyrl-CS"/>
        </w:rPr>
        <w:t xml:space="preserve">године </w:t>
      </w:r>
      <w:r w:rsidRPr="00DE058F">
        <w:rPr>
          <w:rFonts w:ascii="Calibri" w:eastAsia="Calibri" w:hAnsi="Calibri" w:cs="Calibri"/>
          <w:bCs/>
          <w:szCs w:val="72"/>
          <w:lang w:val="sr-Cyrl-CS"/>
        </w:rPr>
        <w:t>приметан пад, пошто су отплаћене динарске државне обвезница у износу од 109,2 милијарде динара. Кретање курса америчког долара према динару током 2022. године показује пуну оправданост одлуке да се максимално смањи доларски дуг и на тај начин минимизира валутни ризик, као и да је за закључивање своп трансакција изабран прави моменат. Услед закључених своп трансакција, а такође са циљем да се минимизира валутни ризик, значајно је смањен дуг у осталим валутама.</w:t>
      </w:r>
    </w:p>
    <w:p w14:paraId="14F77314" w14:textId="77777777" w:rsidR="00BB2F03" w:rsidRPr="00DE058F" w:rsidRDefault="00BB2F03" w:rsidP="00C91F83">
      <w:pPr>
        <w:spacing w:after="400"/>
        <w:rPr>
          <w:rFonts w:ascii="Calibri" w:eastAsia="Calibri" w:hAnsi="Calibri" w:cs="Calibri"/>
          <w:bCs/>
          <w:szCs w:val="72"/>
          <w:lang w:val="sr-Cyrl-CS"/>
        </w:rPr>
        <w:sectPr w:rsidR="00BB2F03" w:rsidRPr="00DE058F">
          <w:type w:val="continuous"/>
          <w:pgSz w:w="12240" w:h="15840"/>
          <w:pgMar w:top="1440" w:right="1440" w:bottom="1440" w:left="1440" w:header="720" w:footer="720" w:gutter="0"/>
          <w:cols w:num="2" w:space="720"/>
        </w:sectPr>
      </w:pPr>
    </w:p>
    <w:p w14:paraId="7406935D" w14:textId="18E97C88" w:rsidR="00BB2F03" w:rsidRPr="00DE058F" w:rsidRDefault="00BB2F03" w:rsidP="00C91F83">
      <w:pPr>
        <w:spacing w:line="256" w:lineRule="auto"/>
        <w:jc w:val="center"/>
        <w:rPr>
          <w:rFonts w:ascii="Calibri" w:eastAsia="Calibri" w:hAnsi="Calibri" w:cs="Times New Roman"/>
          <w:b/>
          <w:color w:val="002060"/>
          <w:lang w:val="sr-Cyrl-CS"/>
        </w:rPr>
      </w:pPr>
      <w:r w:rsidRPr="00DE058F">
        <w:rPr>
          <w:rFonts w:ascii="Calibri" w:eastAsia="Calibri" w:hAnsi="Calibri" w:cs="Times New Roman"/>
          <w:b/>
          <w:color w:val="002060"/>
          <w:lang w:val="sr-Cyrl-CS"/>
        </w:rPr>
        <w:t>Табела 2</w:t>
      </w:r>
      <w:r w:rsidR="00623E62" w:rsidRPr="00DE058F">
        <w:rPr>
          <w:rFonts w:ascii="Calibri" w:eastAsia="Calibri" w:hAnsi="Calibri" w:cs="Times New Roman"/>
          <w:b/>
          <w:color w:val="002060"/>
          <w:lang w:val="sr-Cyrl-CS"/>
        </w:rPr>
        <w:t>3</w:t>
      </w:r>
      <w:r w:rsidRPr="00DE058F">
        <w:rPr>
          <w:rFonts w:ascii="Calibri" w:eastAsia="Calibri" w:hAnsi="Calibri" w:cs="Times New Roman"/>
          <w:b/>
          <w:color w:val="002060"/>
          <w:lang w:val="sr-Cyrl-CS"/>
        </w:rPr>
        <w:t xml:space="preserve">. Стање јавног дуга централног нивоа државе по оригиналним </w:t>
      </w:r>
      <w:r w:rsidR="00C55CE3" w:rsidRPr="00DE058F">
        <w:rPr>
          <w:rFonts w:ascii="Calibri" w:eastAsia="Calibri" w:hAnsi="Calibri" w:cs="Times New Roman"/>
          <w:b/>
          <w:color w:val="002060"/>
          <w:lang w:val="sr-Cyrl-CS"/>
        </w:rPr>
        <w:t xml:space="preserve">валутама у периоду </w:t>
      </w:r>
      <w:r w:rsidR="00C55CE3" w:rsidRPr="00DE058F">
        <w:rPr>
          <w:rFonts w:ascii="Calibri" w:eastAsia="Calibri" w:hAnsi="Calibri" w:cs="Times New Roman"/>
          <w:b/>
          <w:color w:val="002060"/>
          <w:lang w:val="sr-Cyrl-CS"/>
        </w:rPr>
        <w:br/>
        <w:t>крај 2019–</w:t>
      </w:r>
      <w:r w:rsidRPr="00DE058F">
        <w:rPr>
          <w:rFonts w:ascii="Calibri" w:eastAsia="Calibri" w:hAnsi="Calibri" w:cs="Times New Roman"/>
          <w:b/>
          <w:color w:val="002060"/>
          <w:lang w:val="sr-Cyrl-CS"/>
        </w:rPr>
        <w:t>31. март 2022. године, у милионима</w:t>
      </w:r>
    </w:p>
    <w:tbl>
      <w:tblPr>
        <w:tblStyle w:val="LightShading-Accent12121"/>
        <w:tblW w:w="5000" w:type="pct"/>
        <w:tblInd w:w="-48" w:type="dxa"/>
        <w:tblLook w:val="04A0" w:firstRow="1" w:lastRow="0" w:firstColumn="1" w:lastColumn="0" w:noHBand="0" w:noVBand="1"/>
      </w:tblPr>
      <w:tblGrid>
        <w:gridCol w:w="3230"/>
        <w:gridCol w:w="1532"/>
        <w:gridCol w:w="1534"/>
        <w:gridCol w:w="1531"/>
        <w:gridCol w:w="1533"/>
      </w:tblGrid>
      <w:tr w:rsidR="00BB2F03" w:rsidRPr="00DE058F" w14:paraId="58CE00A0" w14:textId="77777777" w:rsidTr="00482D55">
        <w:trPr>
          <w:cnfStyle w:val="100000000000" w:firstRow="1" w:lastRow="0" w:firstColumn="0" w:lastColumn="0" w:oddVBand="0" w:evenVBand="0" w:oddHBand="0"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single" w:sz="4" w:space="0" w:color="002060"/>
              <w:bottom w:val="single" w:sz="4" w:space="0" w:color="FFFFFF" w:themeColor="background1"/>
            </w:tcBorders>
            <w:noWrap/>
            <w:hideMark/>
          </w:tcPr>
          <w:p w14:paraId="3B505377" w14:textId="77777777" w:rsidR="00BB2F03" w:rsidRPr="00DE058F" w:rsidRDefault="00BB2F03" w:rsidP="00C91F83">
            <w:pPr>
              <w:jc w:val="right"/>
              <w:rPr>
                <w:rFonts w:ascii="Calibri" w:hAnsi="Calibri" w:cs="Calibri"/>
                <w:color w:val="002060"/>
                <w:sz w:val="18"/>
                <w:szCs w:val="18"/>
                <w:lang w:val="sr-Cyrl-CS"/>
              </w:rPr>
            </w:pPr>
            <w:r w:rsidRPr="00DE058F">
              <w:rPr>
                <w:rFonts w:ascii="Calibri" w:hAnsi="Calibri" w:cs="Calibri"/>
                <w:color w:val="002060"/>
                <w:sz w:val="18"/>
                <w:szCs w:val="18"/>
                <w:lang w:val="sr-Cyrl-CS"/>
              </w:rPr>
              <w:t> </w:t>
            </w:r>
          </w:p>
        </w:tc>
        <w:tc>
          <w:tcPr>
            <w:tcW w:w="818" w:type="pct"/>
            <w:tcBorders>
              <w:top w:val="single" w:sz="4" w:space="0" w:color="002060"/>
              <w:bottom w:val="single" w:sz="4" w:space="0" w:color="002060"/>
            </w:tcBorders>
            <w:noWrap/>
            <w:hideMark/>
          </w:tcPr>
          <w:p w14:paraId="139EDFAA" w14:textId="77777777" w:rsidR="00BB2F03" w:rsidRPr="00DE058F" w:rsidRDefault="00BB2F03"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2019</w:t>
            </w:r>
          </w:p>
        </w:tc>
        <w:tc>
          <w:tcPr>
            <w:tcW w:w="819" w:type="pct"/>
            <w:tcBorders>
              <w:top w:val="single" w:sz="4" w:space="0" w:color="002060"/>
              <w:bottom w:val="single" w:sz="4" w:space="0" w:color="002060"/>
            </w:tcBorders>
            <w:noWrap/>
            <w:hideMark/>
          </w:tcPr>
          <w:p w14:paraId="50F731A8" w14:textId="77777777" w:rsidR="00BB2F03" w:rsidRPr="00DE058F" w:rsidRDefault="00BB2F03"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2020</w:t>
            </w:r>
          </w:p>
        </w:tc>
        <w:tc>
          <w:tcPr>
            <w:tcW w:w="818" w:type="pct"/>
            <w:tcBorders>
              <w:top w:val="single" w:sz="4" w:space="0" w:color="002060"/>
              <w:bottom w:val="single" w:sz="4" w:space="0" w:color="002060"/>
            </w:tcBorders>
            <w:noWrap/>
            <w:hideMark/>
          </w:tcPr>
          <w:p w14:paraId="3638DD03" w14:textId="77777777" w:rsidR="00BB2F03" w:rsidRPr="00DE058F" w:rsidRDefault="00BB2F03"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2021</w:t>
            </w:r>
          </w:p>
        </w:tc>
        <w:tc>
          <w:tcPr>
            <w:tcW w:w="819" w:type="pct"/>
            <w:tcBorders>
              <w:top w:val="single" w:sz="4" w:space="0" w:color="002060"/>
              <w:bottom w:val="single" w:sz="4" w:space="0" w:color="002060"/>
            </w:tcBorders>
            <w:noWrap/>
            <w:hideMark/>
          </w:tcPr>
          <w:p w14:paraId="3E8393E8" w14:textId="77777777" w:rsidR="00BB2F03" w:rsidRPr="00DE058F" w:rsidRDefault="00BB2F03"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2022/III</w:t>
            </w:r>
          </w:p>
        </w:tc>
      </w:tr>
      <w:tr w:rsidR="00BB2F03" w:rsidRPr="00DE058F" w14:paraId="43A4FF35" w14:textId="77777777" w:rsidTr="00482D55">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single" w:sz="4" w:space="0" w:color="FFFFFF" w:themeColor="background1"/>
              <w:bottom w:val="nil"/>
            </w:tcBorders>
            <w:shd w:val="clear" w:color="auto" w:fill="E7E6E6" w:themeFill="background2"/>
            <w:noWrap/>
            <w:hideMark/>
          </w:tcPr>
          <w:p w14:paraId="71FACFB1"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EUR</w:t>
            </w:r>
          </w:p>
        </w:tc>
        <w:tc>
          <w:tcPr>
            <w:tcW w:w="818" w:type="pct"/>
            <w:tcBorders>
              <w:top w:val="single" w:sz="4" w:space="0" w:color="002060"/>
              <w:bottom w:val="nil"/>
            </w:tcBorders>
            <w:shd w:val="clear" w:color="auto" w:fill="E7E6E6" w:themeFill="background2"/>
            <w:noWrap/>
            <w:hideMark/>
          </w:tcPr>
          <w:p w14:paraId="3DFEA3C6"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10.582,5</w:t>
            </w:r>
          </w:p>
        </w:tc>
        <w:tc>
          <w:tcPr>
            <w:tcW w:w="819" w:type="pct"/>
            <w:tcBorders>
              <w:top w:val="single" w:sz="4" w:space="0" w:color="002060"/>
              <w:bottom w:val="nil"/>
            </w:tcBorders>
            <w:shd w:val="clear" w:color="auto" w:fill="E7E6E6" w:themeFill="background2"/>
            <w:noWrap/>
            <w:hideMark/>
          </w:tcPr>
          <w:p w14:paraId="6CDDC11D"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13.222,5</w:t>
            </w:r>
          </w:p>
        </w:tc>
        <w:tc>
          <w:tcPr>
            <w:tcW w:w="818" w:type="pct"/>
            <w:tcBorders>
              <w:top w:val="single" w:sz="4" w:space="0" w:color="002060"/>
              <w:bottom w:val="nil"/>
            </w:tcBorders>
            <w:shd w:val="clear" w:color="auto" w:fill="E7E6E6" w:themeFill="background2"/>
            <w:noWrap/>
            <w:hideMark/>
          </w:tcPr>
          <w:p w14:paraId="12465BBE"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17.386,4</w:t>
            </w:r>
          </w:p>
        </w:tc>
        <w:tc>
          <w:tcPr>
            <w:tcW w:w="819" w:type="pct"/>
            <w:tcBorders>
              <w:top w:val="single" w:sz="4" w:space="0" w:color="002060"/>
              <w:bottom w:val="nil"/>
            </w:tcBorders>
            <w:shd w:val="clear" w:color="auto" w:fill="E7E6E6" w:themeFill="background2"/>
            <w:noWrap/>
            <w:hideMark/>
          </w:tcPr>
          <w:p w14:paraId="303A3236"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17.710,5</w:t>
            </w:r>
          </w:p>
        </w:tc>
      </w:tr>
      <w:tr w:rsidR="00BB2F03" w:rsidRPr="00DE058F" w14:paraId="2B7BCC71" w14:textId="77777777" w:rsidTr="00482D55">
        <w:trPr>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nil"/>
              <w:left w:val="nil"/>
              <w:bottom w:val="nil"/>
              <w:right w:val="nil"/>
            </w:tcBorders>
            <w:noWrap/>
            <w:hideMark/>
          </w:tcPr>
          <w:p w14:paraId="2BDF79EF"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USD</w:t>
            </w:r>
          </w:p>
        </w:tc>
        <w:tc>
          <w:tcPr>
            <w:tcW w:w="818" w:type="pct"/>
            <w:tcBorders>
              <w:top w:val="nil"/>
              <w:left w:val="nil"/>
              <w:bottom w:val="nil"/>
              <w:right w:val="nil"/>
            </w:tcBorders>
            <w:noWrap/>
            <w:hideMark/>
          </w:tcPr>
          <w:p w14:paraId="37558BF5"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5.397,3</w:t>
            </w:r>
          </w:p>
        </w:tc>
        <w:tc>
          <w:tcPr>
            <w:tcW w:w="819" w:type="pct"/>
            <w:tcBorders>
              <w:top w:val="nil"/>
              <w:left w:val="nil"/>
              <w:bottom w:val="nil"/>
              <w:right w:val="nil"/>
            </w:tcBorders>
            <w:noWrap/>
            <w:hideMark/>
          </w:tcPr>
          <w:p w14:paraId="67E71071"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4.323,9</w:t>
            </w:r>
          </w:p>
        </w:tc>
        <w:tc>
          <w:tcPr>
            <w:tcW w:w="818" w:type="pct"/>
            <w:tcBorders>
              <w:top w:val="nil"/>
              <w:left w:val="nil"/>
              <w:bottom w:val="nil"/>
              <w:right w:val="nil"/>
            </w:tcBorders>
            <w:noWrap/>
            <w:hideMark/>
          </w:tcPr>
          <w:p w14:paraId="266EA21C"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3.694,6</w:t>
            </w:r>
          </w:p>
        </w:tc>
        <w:tc>
          <w:tcPr>
            <w:tcW w:w="819" w:type="pct"/>
            <w:tcBorders>
              <w:top w:val="nil"/>
              <w:left w:val="nil"/>
              <w:bottom w:val="nil"/>
              <w:right w:val="nil"/>
            </w:tcBorders>
            <w:noWrap/>
            <w:hideMark/>
          </w:tcPr>
          <w:p w14:paraId="7D4DC497"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3.711,5</w:t>
            </w:r>
          </w:p>
        </w:tc>
      </w:tr>
      <w:tr w:rsidR="00BB2F03" w:rsidRPr="00DE058F" w14:paraId="627FB4F2" w14:textId="77777777" w:rsidTr="00482D55">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nil"/>
              <w:bottom w:val="nil"/>
            </w:tcBorders>
            <w:shd w:val="clear" w:color="auto" w:fill="E7E6E6" w:themeFill="background2"/>
            <w:noWrap/>
            <w:hideMark/>
          </w:tcPr>
          <w:p w14:paraId="475EE0FE"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RSD</w:t>
            </w:r>
          </w:p>
        </w:tc>
        <w:tc>
          <w:tcPr>
            <w:tcW w:w="818" w:type="pct"/>
            <w:tcBorders>
              <w:top w:val="nil"/>
              <w:bottom w:val="nil"/>
            </w:tcBorders>
            <w:shd w:val="clear" w:color="auto" w:fill="E7E6E6" w:themeFill="background2"/>
            <w:noWrap/>
            <w:hideMark/>
          </w:tcPr>
          <w:p w14:paraId="1DEA573A"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781.250,4</w:t>
            </w:r>
          </w:p>
        </w:tc>
        <w:tc>
          <w:tcPr>
            <w:tcW w:w="819" w:type="pct"/>
            <w:tcBorders>
              <w:top w:val="nil"/>
              <w:bottom w:val="nil"/>
            </w:tcBorders>
            <w:shd w:val="clear" w:color="auto" w:fill="E7E6E6" w:themeFill="background2"/>
            <w:noWrap/>
            <w:hideMark/>
          </w:tcPr>
          <w:p w14:paraId="42211593"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957.952,2</w:t>
            </w:r>
          </w:p>
        </w:tc>
        <w:tc>
          <w:tcPr>
            <w:tcW w:w="818" w:type="pct"/>
            <w:tcBorders>
              <w:top w:val="nil"/>
              <w:bottom w:val="nil"/>
            </w:tcBorders>
            <w:shd w:val="clear" w:color="auto" w:fill="E7E6E6" w:themeFill="background2"/>
            <w:noWrap/>
            <w:hideMark/>
          </w:tcPr>
          <w:p w14:paraId="0A458983"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1.010.176,5</w:t>
            </w:r>
          </w:p>
        </w:tc>
        <w:tc>
          <w:tcPr>
            <w:tcW w:w="819" w:type="pct"/>
            <w:tcBorders>
              <w:top w:val="nil"/>
              <w:bottom w:val="nil"/>
            </w:tcBorders>
            <w:shd w:val="clear" w:color="auto" w:fill="E7E6E6" w:themeFill="background2"/>
            <w:noWrap/>
            <w:hideMark/>
          </w:tcPr>
          <w:p w14:paraId="28B929A7"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940.805,1</w:t>
            </w:r>
          </w:p>
        </w:tc>
      </w:tr>
      <w:tr w:rsidR="00BB2F03" w:rsidRPr="00DE058F" w14:paraId="0E670FCF" w14:textId="77777777" w:rsidTr="00482D55">
        <w:trPr>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nil"/>
              <w:left w:val="nil"/>
              <w:bottom w:val="nil"/>
              <w:right w:val="nil"/>
            </w:tcBorders>
            <w:noWrap/>
            <w:hideMark/>
          </w:tcPr>
          <w:p w14:paraId="584D9A7A"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CHF</w:t>
            </w:r>
          </w:p>
        </w:tc>
        <w:tc>
          <w:tcPr>
            <w:tcW w:w="818" w:type="pct"/>
            <w:tcBorders>
              <w:top w:val="nil"/>
              <w:left w:val="nil"/>
              <w:bottom w:val="nil"/>
              <w:right w:val="nil"/>
            </w:tcBorders>
            <w:noWrap/>
            <w:hideMark/>
          </w:tcPr>
          <w:p w14:paraId="342C301C"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110,5</w:t>
            </w:r>
          </w:p>
        </w:tc>
        <w:tc>
          <w:tcPr>
            <w:tcW w:w="819" w:type="pct"/>
            <w:tcBorders>
              <w:top w:val="nil"/>
              <w:left w:val="nil"/>
              <w:bottom w:val="nil"/>
              <w:right w:val="nil"/>
            </w:tcBorders>
            <w:noWrap/>
            <w:hideMark/>
          </w:tcPr>
          <w:p w14:paraId="1E3E6A55"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90,3</w:t>
            </w:r>
          </w:p>
        </w:tc>
        <w:tc>
          <w:tcPr>
            <w:tcW w:w="818" w:type="pct"/>
            <w:tcBorders>
              <w:top w:val="nil"/>
              <w:left w:val="nil"/>
              <w:bottom w:val="nil"/>
              <w:right w:val="nil"/>
            </w:tcBorders>
            <w:noWrap/>
            <w:hideMark/>
          </w:tcPr>
          <w:p w14:paraId="5B81EF48"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73,7</w:t>
            </w:r>
          </w:p>
        </w:tc>
        <w:tc>
          <w:tcPr>
            <w:tcW w:w="819" w:type="pct"/>
            <w:tcBorders>
              <w:top w:val="nil"/>
              <w:left w:val="nil"/>
              <w:bottom w:val="nil"/>
              <w:right w:val="nil"/>
            </w:tcBorders>
            <w:noWrap/>
            <w:hideMark/>
          </w:tcPr>
          <w:p w14:paraId="22C58409"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66,3</w:t>
            </w:r>
          </w:p>
        </w:tc>
      </w:tr>
      <w:tr w:rsidR="00BB2F03" w:rsidRPr="00DE058F" w14:paraId="7F0329F1" w14:textId="77777777" w:rsidTr="00482D55">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nil"/>
              <w:bottom w:val="nil"/>
            </w:tcBorders>
            <w:shd w:val="clear" w:color="auto" w:fill="E7E6E6" w:themeFill="background2"/>
            <w:noWrap/>
            <w:hideMark/>
          </w:tcPr>
          <w:p w14:paraId="22D63711"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Специјална права вучења</w:t>
            </w:r>
          </w:p>
        </w:tc>
        <w:tc>
          <w:tcPr>
            <w:tcW w:w="818" w:type="pct"/>
            <w:tcBorders>
              <w:top w:val="nil"/>
              <w:bottom w:val="nil"/>
            </w:tcBorders>
            <w:shd w:val="clear" w:color="auto" w:fill="E7E6E6" w:themeFill="background2"/>
            <w:noWrap/>
            <w:hideMark/>
          </w:tcPr>
          <w:p w14:paraId="0F0B49DE"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570,4</w:t>
            </w:r>
          </w:p>
        </w:tc>
        <w:tc>
          <w:tcPr>
            <w:tcW w:w="819" w:type="pct"/>
            <w:tcBorders>
              <w:top w:val="nil"/>
              <w:bottom w:val="nil"/>
            </w:tcBorders>
            <w:shd w:val="clear" w:color="auto" w:fill="E7E6E6" w:themeFill="background2"/>
            <w:noWrap/>
            <w:hideMark/>
          </w:tcPr>
          <w:p w14:paraId="3F1D7016"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522,7</w:t>
            </w:r>
          </w:p>
        </w:tc>
        <w:tc>
          <w:tcPr>
            <w:tcW w:w="818" w:type="pct"/>
            <w:tcBorders>
              <w:top w:val="nil"/>
              <w:bottom w:val="nil"/>
            </w:tcBorders>
            <w:shd w:val="clear" w:color="auto" w:fill="E7E6E6" w:themeFill="background2"/>
            <w:noWrap/>
            <w:hideMark/>
          </w:tcPr>
          <w:p w14:paraId="6761DCCC"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475,0</w:t>
            </w:r>
          </w:p>
        </w:tc>
        <w:tc>
          <w:tcPr>
            <w:tcW w:w="819" w:type="pct"/>
            <w:tcBorders>
              <w:top w:val="nil"/>
              <w:bottom w:val="nil"/>
            </w:tcBorders>
            <w:shd w:val="clear" w:color="auto" w:fill="E7E6E6" w:themeFill="background2"/>
            <w:noWrap/>
            <w:hideMark/>
          </w:tcPr>
          <w:p w14:paraId="30607206"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1.024,0</w:t>
            </w:r>
          </w:p>
        </w:tc>
      </w:tr>
      <w:tr w:rsidR="00BB2F03" w:rsidRPr="00DE058F" w14:paraId="016B49F4" w14:textId="77777777" w:rsidTr="00482D55">
        <w:trPr>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nil"/>
              <w:left w:val="nil"/>
              <w:bottom w:val="single" w:sz="4" w:space="0" w:color="002060"/>
              <w:right w:val="nil"/>
            </w:tcBorders>
            <w:noWrap/>
            <w:hideMark/>
          </w:tcPr>
          <w:p w14:paraId="376CF39E"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Друге валуте (у RSD)</w:t>
            </w:r>
          </w:p>
        </w:tc>
        <w:tc>
          <w:tcPr>
            <w:tcW w:w="818" w:type="pct"/>
            <w:tcBorders>
              <w:top w:val="nil"/>
              <w:left w:val="nil"/>
              <w:bottom w:val="single" w:sz="4" w:space="0" w:color="002060"/>
              <w:right w:val="nil"/>
            </w:tcBorders>
            <w:noWrap/>
            <w:hideMark/>
          </w:tcPr>
          <w:p w14:paraId="69CAD1FB"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128.958,8</w:t>
            </w:r>
          </w:p>
        </w:tc>
        <w:tc>
          <w:tcPr>
            <w:tcW w:w="819" w:type="pct"/>
            <w:tcBorders>
              <w:top w:val="nil"/>
              <w:left w:val="nil"/>
              <w:bottom w:val="single" w:sz="4" w:space="0" w:color="002060"/>
              <w:right w:val="nil"/>
            </w:tcBorders>
            <w:noWrap/>
            <w:hideMark/>
          </w:tcPr>
          <w:p w14:paraId="24E6855E"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127.674,8</w:t>
            </w:r>
          </w:p>
        </w:tc>
        <w:tc>
          <w:tcPr>
            <w:tcW w:w="818" w:type="pct"/>
            <w:tcBorders>
              <w:top w:val="nil"/>
              <w:left w:val="nil"/>
              <w:bottom w:val="single" w:sz="4" w:space="0" w:color="002060"/>
              <w:right w:val="nil"/>
            </w:tcBorders>
            <w:noWrap/>
            <w:hideMark/>
          </w:tcPr>
          <w:p w14:paraId="3A97324D"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27.304,8</w:t>
            </w:r>
          </w:p>
        </w:tc>
        <w:tc>
          <w:tcPr>
            <w:tcW w:w="819" w:type="pct"/>
            <w:tcBorders>
              <w:top w:val="nil"/>
              <w:left w:val="nil"/>
              <w:bottom w:val="single" w:sz="4" w:space="0" w:color="002060"/>
              <w:right w:val="nil"/>
            </w:tcBorders>
            <w:noWrap/>
            <w:hideMark/>
          </w:tcPr>
          <w:p w14:paraId="557194EE"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27.997,9</w:t>
            </w:r>
          </w:p>
        </w:tc>
      </w:tr>
    </w:tbl>
    <w:p w14:paraId="0C00C0CE" w14:textId="77777777" w:rsidR="00BB2F03" w:rsidRPr="00DE058F" w:rsidRDefault="00BB2F03" w:rsidP="00C91F83">
      <w:pPr>
        <w:spacing w:after="0" w:line="256" w:lineRule="auto"/>
        <w:jc w:val="left"/>
        <w:rPr>
          <w:rFonts w:ascii="Calibri" w:eastAsia="Calibri" w:hAnsi="Calibri" w:cs="Calibri"/>
          <w:sz w:val="14"/>
          <w:lang w:val="sr-Cyrl-CS"/>
        </w:rPr>
        <w:sectPr w:rsidR="00BB2F03" w:rsidRPr="00DE058F">
          <w:type w:val="continuous"/>
          <w:pgSz w:w="12240" w:h="15840"/>
          <w:pgMar w:top="1440" w:right="1440" w:bottom="1440" w:left="1440" w:header="720" w:footer="720" w:gutter="0"/>
          <w:cols w:space="720"/>
        </w:sectPr>
      </w:pPr>
    </w:p>
    <w:p w14:paraId="13F143EE" w14:textId="0F670ABA"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 xml:space="preserve">Према подацима од 31. марта 2022. године, највећи део јавног дуга општег нивоа државе Републике Србије је деноминован у еврима и износи 58,2%. Затим су највише заступљени динар са 25,9% и амерички долар са 10,8%. Остатак дуга је деноминован у специјалним правима вучења 4,1% и осталим валутама 1,0%. Захваљујући континуираном развоју домаћег тржишта хартија од вредности и постепеном повећању обима емисија у домаћој валути, дошло је до значајног раста учешћа дуга у домаћој валути у претходним годинама, </w:t>
      </w:r>
      <w:r w:rsidR="000A7AA9" w:rsidRPr="00DE058F">
        <w:rPr>
          <w:rFonts w:ascii="Calibri" w:eastAsia="Calibri" w:hAnsi="Calibri" w:cs="Calibri"/>
          <w:bCs/>
          <w:szCs w:val="72"/>
          <w:lang w:val="sr-Cyrl-CS"/>
        </w:rPr>
        <w:t>са 16,4%, на крају 2011. године на 30,4% у 2020, док је током 2021. и у</w:t>
      </w:r>
      <w:r w:rsidR="00525A10" w:rsidRPr="00DE058F">
        <w:rPr>
          <w:rFonts w:ascii="Calibri" w:eastAsia="Calibri" w:hAnsi="Calibri" w:cs="Calibri"/>
          <w:bCs/>
          <w:szCs w:val="72"/>
          <w:lang w:val="sr-Cyrl-CS"/>
        </w:rPr>
        <w:t xml:space="preserve"> прва</w:t>
      </w:r>
      <w:r w:rsidR="000A7AA9" w:rsidRPr="00DE058F">
        <w:rPr>
          <w:rFonts w:ascii="Calibri" w:eastAsia="Calibri" w:hAnsi="Calibri" w:cs="Calibri"/>
          <w:bCs/>
          <w:szCs w:val="72"/>
          <w:lang w:val="sr-Cyrl-CS"/>
        </w:rPr>
        <w:t xml:space="preserve"> три месеца </w:t>
      </w:r>
      <w:r w:rsidRPr="00DE058F">
        <w:rPr>
          <w:rFonts w:ascii="Calibri" w:eastAsia="Calibri" w:hAnsi="Calibri" w:cs="Calibri"/>
          <w:bCs/>
          <w:szCs w:val="72"/>
          <w:lang w:val="sr-Cyrl-CS"/>
        </w:rPr>
        <w:t>2022. године дошло до његовог благог пада.</w:t>
      </w:r>
    </w:p>
    <w:p w14:paraId="29C7BD11" w14:textId="77777777" w:rsidR="00BB2F03" w:rsidRPr="00DE058F" w:rsidRDefault="00BB2F03" w:rsidP="00C91F83">
      <w:pPr>
        <w:spacing w:line="256" w:lineRule="auto"/>
        <w:jc w:val="center"/>
        <w:rPr>
          <w:rFonts w:ascii="Calibri" w:eastAsia="Calibri" w:hAnsi="Calibri" w:cs="Times New Roman"/>
          <w:b/>
          <w:color w:val="002060"/>
          <w:lang w:val="sr-Cyrl-CS"/>
        </w:rPr>
      </w:pPr>
      <w:r w:rsidRPr="00DE058F">
        <w:rPr>
          <w:rFonts w:ascii="Calibri" w:eastAsia="Calibri" w:hAnsi="Calibri" w:cs="Times New Roman"/>
          <w:b/>
          <w:color w:val="002060"/>
          <w:lang w:val="sr-Cyrl-CS"/>
        </w:rPr>
        <w:t>Валутна структура дуга општег нивоа државе у периоду од 2019. до 31. марта 2022. године</w:t>
      </w:r>
    </w:p>
    <w:p w14:paraId="6EAD0ED3" w14:textId="77777777" w:rsidR="00BB2F03" w:rsidRPr="00DE058F" w:rsidRDefault="00BB2F03" w:rsidP="00C91F83">
      <w:pPr>
        <w:spacing w:line="256" w:lineRule="auto"/>
        <w:rPr>
          <w:rFonts w:ascii="Calibri" w:eastAsia="Calibri" w:hAnsi="Calibri" w:cs="Times New Roman"/>
          <w:b/>
          <w:lang w:val="sr-Cyrl-CS"/>
        </w:rPr>
      </w:pPr>
      <w:r w:rsidRPr="00DE058F">
        <w:rPr>
          <w:rFonts w:ascii="Calibri" w:eastAsia="Calibri" w:hAnsi="Calibri" w:cs="Times New Roman"/>
          <w:noProof/>
        </w:rPr>
        <w:drawing>
          <wp:inline distT="0" distB="0" distL="0" distR="0" wp14:anchorId="6FDAFBB8" wp14:editId="3EF7B6CF">
            <wp:extent cx="2797810" cy="1849943"/>
            <wp:effectExtent l="0" t="0" r="2540" b="0"/>
            <wp:docPr id="82"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14:paraId="001EAE74"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br w:type="column"/>
      </w:r>
      <w:r w:rsidRPr="00DE058F">
        <w:rPr>
          <w:rFonts w:ascii="Calibri" w:eastAsia="Calibri" w:hAnsi="Calibri" w:cs="Calibri"/>
          <w:bCs/>
          <w:szCs w:val="72"/>
          <w:lang w:val="sr-Cyrl-CS"/>
        </w:rPr>
        <w:lastRenderedPageBreak/>
        <w:t>На дан 31. март 2022. године, највећи део јавног дуга општег нивоа државе Републике Србије је са фиксном каматном стопом – 82,9%, док се на јавни дуг са варијабилном каматном стопом односи 17,1% укупног јавног дуга. Међу варијабилним каматним стопама највише су заступљени EURIBOR и LIBOR на евро који чине 73,0%, затим варијабилна каматна стопа за специјална права вучења 22,4% и LIBOR на амерички долар 1,6%, док је учешће обавеза са осталим каматним стопама 3,0%.</w:t>
      </w:r>
    </w:p>
    <w:p w14:paraId="34174254" w14:textId="77777777" w:rsidR="00BB2F03" w:rsidRPr="00DE058F" w:rsidRDefault="00BB2F03" w:rsidP="00C91F83">
      <w:pPr>
        <w:spacing w:line="256" w:lineRule="auto"/>
        <w:jc w:val="center"/>
        <w:rPr>
          <w:rFonts w:ascii="Calibri" w:eastAsia="Calibri" w:hAnsi="Calibri" w:cs="Calibri"/>
          <w:bCs/>
          <w:color w:val="002060"/>
          <w:szCs w:val="72"/>
          <w:lang w:val="sr-Cyrl-CS"/>
        </w:rPr>
      </w:pPr>
      <w:r w:rsidRPr="00DE058F">
        <w:rPr>
          <w:rFonts w:ascii="Calibri" w:eastAsia="Calibri" w:hAnsi="Calibri" w:cs="Times New Roman"/>
          <w:b/>
          <w:color w:val="002060"/>
          <w:lang w:val="sr-Cyrl-CS"/>
        </w:rPr>
        <w:t>Структура каматних стопа дуга општег нивоа државе у периоду од 2019. до 31. марта 2022. године, %</w:t>
      </w:r>
    </w:p>
    <w:p w14:paraId="7B584E1B" w14:textId="77777777" w:rsidR="00BB2F03" w:rsidRPr="00DE058F" w:rsidRDefault="00BB2F03" w:rsidP="00C91F83">
      <w:pPr>
        <w:spacing w:line="256" w:lineRule="auto"/>
        <w:rPr>
          <w:rFonts w:ascii="Calibri" w:eastAsia="Calibri" w:hAnsi="Calibri" w:cs="Calibri"/>
          <w:bCs/>
          <w:szCs w:val="72"/>
          <w:lang w:val="sr-Cyrl-CS"/>
        </w:rPr>
      </w:pPr>
      <w:r w:rsidRPr="00DE058F">
        <w:rPr>
          <w:rFonts w:ascii="Calibri" w:eastAsia="Calibri" w:hAnsi="Calibri" w:cs="Times New Roman"/>
          <w:noProof/>
        </w:rPr>
        <w:drawing>
          <wp:inline distT="0" distB="0" distL="0" distR="0" wp14:anchorId="402CEB81" wp14:editId="16539892">
            <wp:extent cx="2743200" cy="2124000"/>
            <wp:effectExtent l="0" t="0" r="0" b="0"/>
            <wp:docPr id="8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p w14:paraId="05B955E0" w14:textId="185D2C3A"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 xml:space="preserve">У последњих неколико година присутан је тренд пада трошкова задуживања, који је најизраженији код државних хартија од вредности емитованих на домаћем тржишту. До пада је дошло захваљујући развоју тржишта капитала државних обвезница, расту кредитног рејтинга земље, односно смањењу премије ризика, ниској стопи инфлације и </w:t>
      </w:r>
      <w:r w:rsidR="00F01D73" w:rsidRPr="00DE058F">
        <w:rPr>
          <w:rFonts w:ascii="Calibri" w:eastAsia="Calibri" w:hAnsi="Calibri" w:cs="Calibri"/>
          <w:bCs/>
          <w:szCs w:val="72"/>
          <w:lang w:val="sr-Cyrl-CS"/>
        </w:rPr>
        <w:t xml:space="preserve">смањењу </w:t>
      </w:r>
      <w:r w:rsidRPr="00DE058F">
        <w:rPr>
          <w:rFonts w:ascii="Calibri" w:eastAsia="Calibri" w:hAnsi="Calibri" w:cs="Calibri"/>
          <w:bCs/>
          <w:szCs w:val="72"/>
          <w:lang w:val="sr-Cyrl-CS"/>
        </w:rPr>
        <w:t xml:space="preserve">референтне каматне стопе НБС, која тренутно износи </w:t>
      </w:r>
      <w:r w:rsidR="00F01D73" w:rsidRPr="00DE058F">
        <w:rPr>
          <w:rFonts w:ascii="Calibri" w:eastAsia="Calibri" w:hAnsi="Calibri" w:cs="Calibri"/>
          <w:bCs/>
          <w:szCs w:val="72"/>
          <w:lang w:val="sr-Cyrl-CS"/>
        </w:rPr>
        <w:t>2</w:t>
      </w:r>
      <w:r w:rsidRPr="00DE058F">
        <w:rPr>
          <w:rFonts w:ascii="Calibri" w:eastAsia="Calibri" w:hAnsi="Calibri" w:cs="Calibri"/>
          <w:bCs/>
          <w:szCs w:val="72"/>
          <w:lang w:val="sr-Cyrl-CS"/>
        </w:rPr>
        <w:t>%. Просечно пондерисана каматна стопа на јавни дуг је пала са 5,7% колико је износила на крају 2014. године на 2,35% колико је износила на крају марта 2022. године. У истом периоду приметан је још израженији пад код динарских државних хартије од вредности, код којих је просечна купонска стопа смањена са 10,68% на крају 2014. године на 4,21 % на крају марта 2022. године.</w:t>
      </w:r>
    </w:p>
    <w:p w14:paraId="322033CA" w14:textId="77777777" w:rsidR="00BB2F03" w:rsidRPr="00DE058F" w:rsidRDefault="00BB2F03" w:rsidP="00C91F83">
      <w:pPr>
        <w:spacing w:line="256" w:lineRule="auto"/>
        <w:jc w:val="center"/>
        <w:rPr>
          <w:rFonts w:ascii="Calibri" w:eastAsia="Calibri" w:hAnsi="Calibri" w:cs="Times New Roman"/>
          <w:b/>
          <w:color w:val="002060"/>
          <w:spacing w:val="-2"/>
          <w:lang w:val="sr-Cyrl-CS"/>
        </w:rPr>
      </w:pPr>
      <w:r w:rsidRPr="00DE058F">
        <w:rPr>
          <w:rFonts w:ascii="Calibri" w:eastAsia="Calibri" w:hAnsi="Calibri" w:cs="Times New Roman"/>
          <w:b/>
          <w:color w:val="002060"/>
          <w:spacing w:val="-2"/>
          <w:lang w:val="sr-Cyrl-CS"/>
        </w:rPr>
        <w:t>Преглед кретања просечних извршних каматних стопа на динарске државне хартије од вредности у периоду 2011–31. март 2022. године</w:t>
      </w:r>
    </w:p>
    <w:p w14:paraId="186F95D1" w14:textId="77777777" w:rsidR="00BB2F03" w:rsidRPr="00DE058F" w:rsidRDefault="00BB2F03" w:rsidP="00C91F83">
      <w:pPr>
        <w:spacing w:line="256" w:lineRule="auto"/>
        <w:jc w:val="center"/>
        <w:rPr>
          <w:rFonts w:ascii="Calibri" w:eastAsia="Calibri" w:hAnsi="Calibri" w:cs="Times New Roman"/>
          <w:b/>
          <w:color w:val="002060"/>
          <w:spacing w:val="-2"/>
          <w:lang w:val="sr-Cyrl-CS"/>
        </w:rPr>
      </w:pPr>
      <w:r w:rsidRPr="00DE058F">
        <w:rPr>
          <w:noProof/>
        </w:rPr>
        <w:drawing>
          <wp:inline distT="0" distB="0" distL="0" distR="0" wp14:anchorId="2010D150" wp14:editId="403AAD59">
            <wp:extent cx="3467100" cy="2857500"/>
            <wp:effectExtent l="0" t="0" r="0" b="0"/>
            <wp:docPr id="102" name="Chart 10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14:paraId="0BD326B4" w14:textId="77777777" w:rsidR="00BB2F03" w:rsidRPr="00DE058F" w:rsidRDefault="00BB2F03" w:rsidP="00C91F83">
      <w:pPr>
        <w:spacing w:line="256" w:lineRule="auto"/>
        <w:ind w:hanging="142"/>
        <w:rPr>
          <w:rFonts w:ascii="Calibri" w:eastAsia="Calibri" w:hAnsi="Calibri" w:cs="Times New Roman"/>
          <w:b/>
          <w:lang w:val="sr-Cyrl-CS"/>
        </w:rPr>
      </w:pPr>
      <w:r w:rsidRPr="00DE058F">
        <w:rPr>
          <w:rFonts w:ascii="Calibri" w:eastAsia="Calibri" w:hAnsi="Calibri" w:cs="Times New Roman"/>
          <w:b/>
          <w:color w:val="002060"/>
          <w:lang w:val="sr-Cyrl-CS"/>
        </w:rPr>
        <w:t>Преглед кретања просечних извршних каматних стопа на евро деноминоване државне хартије од вредности у периоду 2011–31. март 2022. године</w:t>
      </w:r>
    </w:p>
    <w:p w14:paraId="3E808E93" w14:textId="77777777" w:rsidR="00BB2F03" w:rsidRPr="00DE058F" w:rsidRDefault="00BB2F03" w:rsidP="00C91F83">
      <w:pPr>
        <w:spacing w:line="256" w:lineRule="auto"/>
        <w:rPr>
          <w:lang w:val="sr-Cyrl-CS"/>
        </w:rPr>
      </w:pPr>
      <w:r w:rsidRPr="00DE058F">
        <w:rPr>
          <w:noProof/>
        </w:rPr>
        <w:drawing>
          <wp:inline distT="0" distB="0" distL="0" distR="0" wp14:anchorId="26190D85" wp14:editId="2A286728">
            <wp:extent cx="3000375" cy="3124200"/>
            <wp:effectExtent l="0" t="0" r="0" b="0"/>
            <wp:docPr id="101" name="Chart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64EA664E" w14:textId="77777777" w:rsidR="00BB2F03" w:rsidRPr="00DE058F" w:rsidRDefault="00BB2F03" w:rsidP="00C91F83">
      <w:pPr>
        <w:spacing w:line="256" w:lineRule="auto"/>
        <w:rPr>
          <w:lang w:val="sr-Cyrl-CS"/>
        </w:rPr>
      </w:pPr>
    </w:p>
    <w:p w14:paraId="0F63B46D" w14:textId="77777777" w:rsidR="00BB2F03" w:rsidRPr="00DE058F" w:rsidRDefault="00BB2F03">
      <w:pPr>
        <w:jc w:val="left"/>
        <w:rPr>
          <w:lang w:val="sr-Cyrl-CS"/>
        </w:rPr>
      </w:pPr>
      <w:r w:rsidRPr="00DE058F">
        <w:rPr>
          <w:lang w:val="sr-Cyrl-CS"/>
        </w:rPr>
        <w:br w:type="page"/>
      </w:r>
    </w:p>
    <w:p w14:paraId="7F0D7743" w14:textId="77777777" w:rsidR="00BB2F03" w:rsidRPr="00DE058F" w:rsidRDefault="00BB2F03" w:rsidP="00C91F83">
      <w:pPr>
        <w:spacing w:line="256" w:lineRule="auto"/>
        <w:jc w:val="center"/>
        <w:rPr>
          <w:rFonts w:ascii="Calibri" w:eastAsia="Calibri" w:hAnsi="Calibri" w:cs="Times New Roman"/>
          <w:b/>
          <w:bCs/>
          <w:color w:val="002060"/>
          <w:spacing w:val="-4"/>
          <w:lang w:val="sr-Cyrl-CS"/>
        </w:rPr>
        <w:sectPr w:rsidR="00BB2F03" w:rsidRPr="00DE058F">
          <w:type w:val="continuous"/>
          <w:pgSz w:w="12240" w:h="15840"/>
          <w:pgMar w:top="1440" w:right="1440" w:bottom="1440" w:left="1440" w:header="720" w:footer="720" w:gutter="0"/>
          <w:cols w:num="2" w:space="720"/>
        </w:sectPr>
      </w:pPr>
    </w:p>
    <w:tbl>
      <w:tblPr>
        <w:tblStyle w:val="TableGrid6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BB2F03" w:rsidRPr="00DE058F" w14:paraId="4BBA0F47" w14:textId="77777777" w:rsidTr="00C91F83">
        <w:tc>
          <w:tcPr>
            <w:tcW w:w="4681" w:type="dxa"/>
            <w:tcMar>
              <w:left w:w="57" w:type="dxa"/>
              <w:right w:w="57" w:type="dxa"/>
            </w:tcMar>
          </w:tcPr>
          <w:p w14:paraId="42A531FC" w14:textId="77777777" w:rsidR="00BB2F03" w:rsidRPr="00DE058F" w:rsidRDefault="00BB2F03" w:rsidP="00C91F83">
            <w:pPr>
              <w:spacing w:line="256" w:lineRule="auto"/>
              <w:jc w:val="center"/>
              <w:rPr>
                <w:rFonts w:ascii="Calibri" w:eastAsia="Calibri" w:hAnsi="Calibri" w:cs="Times New Roman"/>
                <w:b/>
                <w:bCs/>
                <w:color w:val="002060"/>
                <w:spacing w:val="-4"/>
                <w:lang w:val="sr-Cyrl-CS"/>
              </w:rPr>
            </w:pPr>
            <w:r w:rsidRPr="00DE058F">
              <w:rPr>
                <w:rFonts w:ascii="Calibri" w:eastAsia="Calibri" w:hAnsi="Calibri" w:cs="Times New Roman"/>
                <w:b/>
                <w:bCs/>
                <w:color w:val="002060"/>
                <w:spacing w:val="-4"/>
                <w:lang w:val="sr-Cyrl-CS"/>
              </w:rPr>
              <w:lastRenderedPageBreak/>
              <w:t xml:space="preserve">Преглед кретања цене и приноса на </w:t>
            </w:r>
            <w:r w:rsidRPr="00DE058F">
              <w:rPr>
                <w:rFonts w:ascii="Calibri" w:eastAsia="Calibri" w:hAnsi="Calibri" w:cs="Times New Roman"/>
                <w:b/>
                <w:bCs/>
                <w:color w:val="002060"/>
                <w:spacing w:val="-4"/>
                <w:lang w:val="sr-Cyrl-CS"/>
              </w:rPr>
              <w:br w:type="textWrapping" w:clear="all"/>
              <w:t>еврообвезницу Србија 2027</w:t>
            </w:r>
          </w:p>
          <w:p w14:paraId="567B7912" w14:textId="77777777" w:rsidR="00BB2F03" w:rsidRPr="00DE058F" w:rsidRDefault="00BB2F03" w:rsidP="00C91F83">
            <w:pPr>
              <w:jc w:val="center"/>
              <w:rPr>
                <w:color w:val="002060"/>
                <w:lang w:val="sr-Cyrl-CS"/>
              </w:rPr>
            </w:pPr>
            <w:r w:rsidRPr="00DE058F">
              <w:rPr>
                <w:noProof/>
              </w:rPr>
              <w:drawing>
                <wp:inline distT="0" distB="0" distL="0" distR="0" wp14:anchorId="6B0A3A14" wp14:editId="0262F539">
                  <wp:extent cx="2952000" cy="2340000"/>
                  <wp:effectExtent l="0" t="0" r="1270" b="3175"/>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tc>
        <w:tc>
          <w:tcPr>
            <w:tcW w:w="4679" w:type="dxa"/>
            <w:tcMar>
              <w:left w:w="57" w:type="dxa"/>
              <w:right w:w="57" w:type="dxa"/>
            </w:tcMar>
          </w:tcPr>
          <w:p w14:paraId="59E0904A" w14:textId="77777777" w:rsidR="00BB2F03" w:rsidRPr="00DE058F" w:rsidRDefault="00BB2F03" w:rsidP="00C91F83">
            <w:pPr>
              <w:spacing w:line="256" w:lineRule="auto"/>
              <w:jc w:val="center"/>
              <w:rPr>
                <w:rFonts w:ascii="Calibri" w:eastAsia="Calibri" w:hAnsi="Calibri" w:cs="Times New Roman"/>
                <w:b/>
                <w:bCs/>
                <w:color w:val="002060"/>
                <w:spacing w:val="-4"/>
                <w:lang w:val="sr-Cyrl-CS"/>
              </w:rPr>
            </w:pPr>
            <w:r w:rsidRPr="00DE058F">
              <w:rPr>
                <w:rFonts w:ascii="Calibri" w:eastAsia="Calibri" w:hAnsi="Calibri" w:cs="Times New Roman"/>
                <w:b/>
                <w:bCs/>
                <w:color w:val="002060"/>
                <w:spacing w:val="-4"/>
                <w:lang w:val="sr-Cyrl-CS"/>
              </w:rPr>
              <w:t xml:space="preserve">Преглед кретања цене и приноса на </w:t>
            </w:r>
            <w:r w:rsidRPr="00DE058F">
              <w:rPr>
                <w:rFonts w:ascii="Calibri" w:eastAsia="Calibri" w:hAnsi="Calibri" w:cs="Times New Roman"/>
                <w:b/>
                <w:bCs/>
                <w:color w:val="002060"/>
                <w:spacing w:val="-4"/>
                <w:lang w:val="sr-Cyrl-CS"/>
              </w:rPr>
              <w:br w:type="textWrapping" w:clear="all"/>
              <w:t>еврообвезницу Србија 2028</w:t>
            </w:r>
          </w:p>
          <w:p w14:paraId="170C3E2D" w14:textId="77777777" w:rsidR="00BB2F03" w:rsidRPr="00DE058F" w:rsidRDefault="00BB2F03" w:rsidP="00C91F83">
            <w:pPr>
              <w:jc w:val="center"/>
              <w:rPr>
                <w:color w:val="002060"/>
                <w:lang w:val="sr-Cyrl-CS"/>
              </w:rPr>
            </w:pPr>
            <w:r w:rsidRPr="00DE058F">
              <w:rPr>
                <w:noProof/>
              </w:rPr>
              <w:drawing>
                <wp:inline distT="0" distB="0" distL="0" distR="0" wp14:anchorId="29664B2C" wp14:editId="545EAB0E">
                  <wp:extent cx="2952000" cy="2340000"/>
                  <wp:effectExtent l="0" t="0" r="1270" b="3175"/>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tc>
      </w:tr>
      <w:tr w:rsidR="00BB2F03" w:rsidRPr="00DE058F" w14:paraId="13FA04EF" w14:textId="77777777" w:rsidTr="00C91F83">
        <w:tc>
          <w:tcPr>
            <w:tcW w:w="4681" w:type="dxa"/>
            <w:tcMar>
              <w:left w:w="57" w:type="dxa"/>
              <w:right w:w="57" w:type="dxa"/>
            </w:tcMar>
          </w:tcPr>
          <w:p w14:paraId="3BE8E2D9" w14:textId="77777777" w:rsidR="00BB2F03" w:rsidRPr="00DE058F" w:rsidRDefault="00BB2F03" w:rsidP="00C91F83">
            <w:pPr>
              <w:spacing w:before="60" w:line="257" w:lineRule="auto"/>
              <w:jc w:val="center"/>
              <w:rPr>
                <w:rFonts w:ascii="Calibri" w:eastAsia="Calibri" w:hAnsi="Calibri" w:cs="Times New Roman"/>
                <w:b/>
                <w:bCs/>
                <w:color w:val="002060"/>
                <w:spacing w:val="-4"/>
                <w:lang w:val="sr-Cyrl-CS"/>
              </w:rPr>
            </w:pPr>
            <w:r w:rsidRPr="00DE058F">
              <w:rPr>
                <w:rFonts w:ascii="Calibri" w:eastAsia="Calibri" w:hAnsi="Calibri" w:cs="Times New Roman"/>
                <w:b/>
                <w:bCs/>
                <w:color w:val="002060"/>
                <w:spacing w:val="-4"/>
                <w:lang w:val="sr-Cyrl-CS"/>
              </w:rPr>
              <w:t xml:space="preserve">Преглед кретања цене и приноса на </w:t>
            </w:r>
            <w:r w:rsidRPr="00DE058F">
              <w:rPr>
                <w:rFonts w:ascii="Calibri" w:eastAsia="Calibri" w:hAnsi="Calibri" w:cs="Times New Roman"/>
                <w:b/>
                <w:bCs/>
                <w:color w:val="002060"/>
                <w:spacing w:val="-4"/>
                <w:lang w:val="sr-Cyrl-CS"/>
              </w:rPr>
              <w:br w:type="textWrapping" w:clear="all"/>
              <w:t>еврообвезницу Србија 2029</w:t>
            </w:r>
          </w:p>
          <w:p w14:paraId="70536051" w14:textId="77777777" w:rsidR="00BB2F03" w:rsidRPr="00DE058F" w:rsidRDefault="00BB2F03" w:rsidP="00C91F83">
            <w:pPr>
              <w:spacing w:before="60"/>
              <w:jc w:val="center"/>
              <w:rPr>
                <w:color w:val="002060"/>
                <w:lang w:val="sr-Cyrl-CS"/>
              </w:rPr>
            </w:pPr>
            <w:r w:rsidRPr="00DE058F">
              <w:rPr>
                <w:noProof/>
              </w:rPr>
              <w:drawing>
                <wp:inline distT="0" distB="0" distL="0" distR="0" wp14:anchorId="4ED52149" wp14:editId="616AC842">
                  <wp:extent cx="2952750" cy="2340000"/>
                  <wp:effectExtent l="0" t="0" r="0" b="3175"/>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tc>
        <w:tc>
          <w:tcPr>
            <w:tcW w:w="4679" w:type="dxa"/>
            <w:tcMar>
              <w:left w:w="57" w:type="dxa"/>
              <w:right w:w="57" w:type="dxa"/>
            </w:tcMar>
          </w:tcPr>
          <w:p w14:paraId="49A2FA30" w14:textId="77777777" w:rsidR="00BB2F03" w:rsidRPr="00DE058F" w:rsidRDefault="00BB2F03" w:rsidP="00C91F83">
            <w:pPr>
              <w:spacing w:before="60" w:line="257" w:lineRule="auto"/>
              <w:jc w:val="center"/>
              <w:rPr>
                <w:rFonts w:ascii="Calibri" w:eastAsia="Calibri" w:hAnsi="Calibri" w:cs="Times New Roman"/>
                <w:b/>
                <w:bCs/>
                <w:color w:val="002060"/>
                <w:spacing w:val="-4"/>
                <w:lang w:val="sr-Cyrl-CS"/>
              </w:rPr>
            </w:pPr>
            <w:r w:rsidRPr="00DE058F">
              <w:rPr>
                <w:rFonts w:ascii="Calibri" w:eastAsia="Calibri" w:hAnsi="Calibri" w:cs="Times New Roman"/>
                <w:b/>
                <w:bCs/>
                <w:color w:val="002060"/>
                <w:spacing w:val="-4"/>
                <w:lang w:val="sr-Cyrl-CS"/>
              </w:rPr>
              <w:t xml:space="preserve">Преглед кретања цене и приноса на </w:t>
            </w:r>
            <w:r w:rsidRPr="00DE058F">
              <w:rPr>
                <w:rFonts w:ascii="Calibri" w:eastAsia="Calibri" w:hAnsi="Calibri" w:cs="Times New Roman"/>
                <w:b/>
                <w:bCs/>
                <w:color w:val="002060"/>
                <w:spacing w:val="-4"/>
                <w:lang w:val="sr-Cyrl-CS"/>
              </w:rPr>
              <w:br w:type="textWrapping" w:clear="all"/>
              <w:t>еврообвезницу Србија 2030</w:t>
            </w:r>
          </w:p>
          <w:p w14:paraId="0C64D989" w14:textId="77777777" w:rsidR="00BB2F03" w:rsidRPr="00DE058F" w:rsidRDefault="00BB2F03" w:rsidP="00C91F83">
            <w:pPr>
              <w:spacing w:before="60" w:after="60"/>
              <w:jc w:val="center"/>
              <w:rPr>
                <w:color w:val="002060"/>
                <w:lang w:val="sr-Cyrl-CS"/>
              </w:rPr>
            </w:pPr>
            <w:r w:rsidRPr="00DE058F">
              <w:rPr>
                <w:noProof/>
              </w:rPr>
              <w:drawing>
                <wp:inline distT="0" distB="0" distL="0" distR="0" wp14:anchorId="5891648A" wp14:editId="5CCAF6CB">
                  <wp:extent cx="2952000" cy="2340000"/>
                  <wp:effectExtent l="0" t="0" r="1270" b="3175"/>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tc>
      </w:tr>
      <w:tr w:rsidR="00BB2F03" w:rsidRPr="00DE058F" w14:paraId="31DB802F" w14:textId="77777777" w:rsidTr="00C91F83">
        <w:tc>
          <w:tcPr>
            <w:tcW w:w="4681" w:type="dxa"/>
            <w:tcMar>
              <w:left w:w="57" w:type="dxa"/>
              <w:right w:w="57" w:type="dxa"/>
            </w:tcMar>
          </w:tcPr>
          <w:p w14:paraId="799C0615" w14:textId="77777777" w:rsidR="00BB2F03" w:rsidRPr="00DE058F" w:rsidRDefault="00BB2F03" w:rsidP="00C91F83">
            <w:pPr>
              <w:spacing w:before="60" w:line="257" w:lineRule="auto"/>
              <w:jc w:val="center"/>
              <w:rPr>
                <w:rFonts w:ascii="Calibri" w:eastAsia="Calibri" w:hAnsi="Calibri" w:cs="Times New Roman"/>
                <w:b/>
                <w:bCs/>
                <w:color w:val="002060"/>
                <w:spacing w:val="-4"/>
                <w:lang w:val="sr-Cyrl-CS"/>
              </w:rPr>
            </w:pPr>
            <w:r w:rsidRPr="00DE058F">
              <w:rPr>
                <w:rFonts w:ascii="Calibri" w:eastAsia="Calibri" w:hAnsi="Calibri" w:cs="Times New Roman"/>
                <w:b/>
                <w:bCs/>
                <w:color w:val="002060"/>
                <w:spacing w:val="-4"/>
                <w:lang w:val="sr-Cyrl-CS"/>
              </w:rPr>
              <w:t xml:space="preserve">Преглед кретања цене и приноса на </w:t>
            </w:r>
            <w:r w:rsidRPr="00DE058F">
              <w:rPr>
                <w:rFonts w:ascii="Calibri" w:eastAsia="Calibri" w:hAnsi="Calibri" w:cs="Times New Roman"/>
                <w:b/>
                <w:bCs/>
                <w:color w:val="002060"/>
                <w:spacing w:val="-4"/>
                <w:lang w:val="sr-Cyrl-CS"/>
              </w:rPr>
              <w:br w:type="textWrapping" w:clear="all"/>
              <w:t>еврообвезницу Србија 2033</w:t>
            </w:r>
          </w:p>
          <w:p w14:paraId="71A25BD9" w14:textId="77777777" w:rsidR="00BB2F03" w:rsidRPr="00DE058F" w:rsidRDefault="00BB2F03" w:rsidP="00C91F83">
            <w:pPr>
              <w:jc w:val="center"/>
              <w:rPr>
                <w:color w:val="002060"/>
                <w:lang w:val="sr-Cyrl-CS"/>
              </w:rPr>
            </w:pPr>
            <w:r w:rsidRPr="00DE058F">
              <w:rPr>
                <w:noProof/>
              </w:rPr>
              <w:drawing>
                <wp:inline distT="0" distB="0" distL="0" distR="0" wp14:anchorId="716AC2D4" wp14:editId="27C12D3D">
                  <wp:extent cx="2952000" cy="2340000"/>
                  <wp:effectExtent l="0" t="0" r="1270" b="3175"/>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tc>
        <w:tc>
          <w:tcPr>
            <w:tcW w:w="4679" w:type="dxa"/>
            <w:tcMar>
              <w:left w:w="57" w:type="dxa"/>
              <w:right w:w="57" w:type="dxa"/>
            </w:tcMar>
          </w:tcPr>
          <w:p w14:paraId="7CAA765C" w14:textId="77777777" w:rsidR="00BB2F03" w:rsidRPr="00DE058F" w:rsidRDefault="00BB2F03" w:rsidP="00C91F83">
            <w:pPr>
              <w:spacing w:before="60" w:line="257" w:lineRule="auto"/>
              <w:jc w:val="center"/>
              <w:rPr>
                <w:rFonts w:ascii="Calibri" w:eastAsia="Calibri" w:hAnsi="Calibri" w:cs="Times New Roman"/>
                <w:b/>
                <w:bCs/>
                <w:color w:val="002060"/>
                <w:spacing w:val="-4"/>
                <w:lang w:val="sr-Cyrl-CS"/>
              </w:rPr>
            </w:pPr>
            <w:r w:rsidRPr="00DE058F">
              <w:rPr>
                <w:rFonts w:ascii="Calibri" w:eastAsia="Calibri" w:hAnsi="Calibri" w:cs="Times New Roman"/>
                <w:b/>
                <w:bCs/>
                <w:color w:val="002060"/>
                <w:spacing w:val="-4"/>
                <w:lang w:val="sr-Cyrl-CS"/>
              </w:rPr>
              <w:t xml:space="preserve">Преглед кретања цене и приноса на </w:t>
            </w:r>
            <w:r w:rsidRPr="00DE058F">
              <w:rPr>
                <w:rFonts w:ascii="Calibri" w:eastAsia="Calibri" w:hAnsi="Calibri" w:cs="Times New Roman"/>
                <w:b/>
                <w:bCs/>
                <w:color w:val="002060"/>
                <w:spacing w:val="-4"/>
                <w:lang w:val="sr-Cyrl-CS"/>
              </w:rPr>
              <w:br w:type="textWrapping" w:clear="all"/>
              <w:t>еврообвезницу Србија 2036</w:t>
            </w:r>
          </w:p>
          <w:p w14:paraId="328BA23B" w14:textId="77777777" w:rsidR="00BB2F03" w:rsidRPr="00DE058F" w:rsidRDefault="00BB2F03" w:rsidP="00C91F83">
            <w:pPr>
              <w:spacing w:before="60"/>
              <w:jc w:val="center"/>
              <w:rPr>
                <w:color w:val="002060"/>
                <w:lang w:val="sr-Cyrl-CS" w:eastAsia="en-GB"/>
              </w:rPr>
            </w:pPr>
            <w:r w:rsidRPr="00DE058F">
              <w:rPr>
                <w:noProof/>
              </w:rPr>
              <w:drawing>
                <wp:inline distT="0" distB="0" distL="0" distR="0" wp14:anchorId="38F13821" wp14:editId="190321F5">
                  <wp:extent cx="2952000" cy="2340000"/>
                  <wp:effectExtent l="0" t="0" r="1270" b="3175"/>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tc>
      </w:tr>
    </w:tbl>
    <w:p w14:paraId="4CD1613E" w14:textId="77777777" w:rsidR="00BB2F03" w:rsidRPr="00DE058F" w:rsidRDefault="00BB2F03">
      <w:pPr>
        <w:jc w:val="left"/>
        <w:rPr>
          <w:lang w:val="sr-Cyrl-CS"/>
        </w:rPr>
        <w:sectPr w:rsidR="00BB2F03" w:rsidRPr="00DE058F" w:rsidSect="00C91F83">
          <w:type w:val="continuous"/>
          <w:pgSz w:w="12240" w:h="15840"/>
          <w:pgMar w:top="1440" w:right="1440" w:bottom="1440" w:left="1440" w:header="720" w:footer="720" w:gutter="0"/>
          <w:cols w:space="720"/>
        </w:sectPr>
      </w:pPr>
    </w:p>
    <w:p w14:paraId="178C5D05" w14:textId="77777777" w:rsidR="00BB2F03" w:rsidRPr="00DE058F" w:rsidRDefault="00BB2F03" w:rsidP="00C91F83">
      <w:pPr>
        <w:spacing w:after="0" w:line="256" w:lineRule="auto"/>
        <w:jc w:val="left"/>
        <w:rPr>
          <w:rFonts w:ascii="Calibri" w:eastAsia="Calibri" w:hAnsi="Calibri" w:cs="Times New Roman"/>
          <w:b/>
          <w:lang w:val="sr-Cyrl-CS"/>
        </w:rPr>
        <w:sectPr w:rsidR="00BB2F03" w:rsidRPr="00DE058F">
          <w:type w:val="continuous"/>
          <w:pgSz w:w="12240" w:h="15840"/>
          <w:pgMar w:top="1440" w:right="1440" w:bottom="1440" w:left="1440" w:header="720" w:footer="720" w:gutter="0"/>
          <w:cols w:num="2" w:space="720"/>
        </w:sectPr>
      </w:pPr>
    </w:p>
    <w:p w14:paraId="7ED945F4" w14:textId="72128648" w:rsidR="00BB2F03" w:rsidRPr="00DE058F" w:rsidRDefault="00BB2F03" w:rsidP="00C91F83">
      <w:pPr>
        <w:spacing w:line="256" w:lineRule="auto"/>
        <w:jc w:val="center"/>
        <w:rPr>
          <w:rFonts w:ascii="Calibri" w:eastAsia="Calibri" w:hAnsi="Calibri" w:cs="Times New Roman"/>
          <w:b/>
          <w:color w:val="002060"/>
          <w:lang w:val="sr-Cyrl-CS"/>
        </w:rPr>
      </w:pPr>
      <w:r w:rsidRPr="00DE058F">
        <w:rPr>
          <w:rFonts w:ascii="Calibri" w:eastAsia="Calibri" w:hAnsi="Calibri" w:cs="Times New Roman"/>
          <w:b/>
          <w:color w:val="002060"/>
          <w:lang w:val="sr-Cyrl-CS"/>
        </w:rPr>
        <w:lastRenderedPageBreak/>
        <w:t>Табела 2</w:t>
      </w:r>
      <w:r w:rsidR="00623E62" w:rsidRPr="00DE058F">
        <w:rPr>
          <w:rFonts w:ascii="Calibri" w:eastAsia="Calibri" w:hAnsi="Calibri" w:cs="Times New Roman"/>
          <w:b/>
          <w:color w:val="002060"/>
          <w:lang w:val="sr-Cyrl-CS"/>
        </w:rPr>
        <w:t>4</w:t>
      </w:r>
      <w:r w:rsidRPr="00DE058F">
        <w:rPr>
          <w:rFonts w:ascii="Calibri" w:eastAsia="Calibri" w:hAnsi="Calibri" w:cs="Times New Roman"/>
          <w:b/>
          <w:color w:val="002060"/>
          <w:lang w:val="sr-Cyrl-CS"/>
        </w:rPr>
        <w:t>. Пројекције отплате камата и главница до 2025. године</w:t>
      </w:r>
      <w:r w:rsidRPr="00DE058F">
        <w:rPr>
          <w:rFonts w:ascii="Calibri" w:eastAsia="Calibri" w:hAnsi="Calibri" w:cs="Times New Roman"/>
          <w:color w:val="002060"/>
          <w:lang w:val="sr-Cyrl-CS"/>
        </w:rPr>
        <w:t xml:space="preserve"> </w:t>
      </w:r>
      <w:r w:rsidRPr="00DE058F">
        <w:rPr>
          <w:rFonts w:ascii="Calibri" w:eastAsia="Calibri" w:hAnsi="Calibri" w:cs="Times New Roman"/>
          <w:b/>
          <w:color w:val="002060"/>
          <w:lang w:val="sr-Cyrl-CS"/>
        </w:rPr>
        <w:t>(млрд динара)</w:t>
      </w:r>
    </w:p>
    <w:tbl>
      <w:tblPr>
        <w:tblStyle w:val="LightShading-Accent1222"/>
        <w:tblW w:w="5000" w:type="pct"/>
        <w:tblInd w:w="0" w:type="dxa"/>
        <w:tblLook w:val="0420" w:firstRow="1" w:lastRow="0" w:firstColumn="0" w:lastColumn="0" w:noHBand="0" w:noVBand="1"/>
      </w:tblPr>
      <w:tblGrid>
        <w:gridCol w:w="4937"/>
        <w:gridCol w:w="1105"/>
        <w:gridCol w:w="1106"/>
        <w:gridCol w:w="1106"/>
        <w:gridCol w:w="1106"/>
      </w:tblGrid>
      <w:tr w:rsidR="00BB2F03" w:rsidRPr="00DE058F" w14:paraId="365FD711" w14:textId="77777777" w:rsidTr="00C91F83">
        <w:trPr>
          <w:cnfStyle w:val="100000000000" w:firstRow="1" w:lastRow="0" w:firstColumn="0" w:lastColumn="0" w:oddVBand="0" w:evenVBand="0" w:oddHBand="0" w:evenHBand="0" w:firstRowFirstColumn="0" w:firstRowLastColumn="0" w:lastRowFirstColumn="0" w:lastRowLastColumn="0"/>
          <w:trHeight w:val="226"/>
        </w:trPr>
        <w:tc>
          <w:tcPr>
            <w:tcW w:w="2637" w:type="pct"/>
            <w:tcBorders>
              <w:top w:val="single" w:sz="4" w:space="0" w:color="002060"/>
              <w:bottom w:val="single" w:sz="4" w:space="0" w:color="FFFFFF" w:themeColor="background1"/>
            </w:tcBorders>
            <w:noWrap/>
            <w:hideMark/>
          </w:tcPr>
          <w:p w14:paraId="705DAA3B" w14:textId="77777777" w:rsidR="00BB2F03" w:rsidRPr="00DE058F" w:rsidRDefault="00BB2F03" w:rsidP="00C91F83">
            <w:pPr>
              <w:rPr>
                <w:rFonts w:ascii="Calibri" w:eastAsia="Times New Roman" w:hAnsi="Calibri" w:cs="Calibri"/>
                <w:color w:val="002060"/>
                <w:sz w:val="18"/>
                <w:szCs w:val="18"/>
                <w:lang w:val="sr-Cyrl-CS" w:eastAsia="ja-JP"/>
              </w:rPr>
            </w:pPr>
            <w:r w:rsidRPr="00DE058F">
              <w:rPr>
                <w:rFonts w:ascii="Calibri" w:eastAsia="Times New Roman" w:hAnsi="Calibri" w:cs="Calibri"/>
                <w:color w:val="002060"/>
                <w:sz w:val="18"/>
                <w:szCs w:val="18"/>
                <w:lang w:val="sr-Cyrl-CS" w:eastAsia="ja-JP"/>
              </w:rPr>
              <w:t> </w:t>
            </w:r>
          </w:p>
        </w:tc>
        <w:tc>
          <w:tcPr>
            <w:tcW w:w="590" w:type="pct"/>
            <w:tcBorders>
              <w:top w:val="single" w:sz="4" w:space="0" w:color="002060"/>
              <w:bottom w:val="single" w:sz="4" w:space="0" w:color="002060"/>
            </w:tcBorders>
            <w:noWrap/>
            <w:hideMark/>
          </w:tcPr>
          <w:p w14:paraId="54589EBB" w14:textId="77777777" w:rsidR="00BB2F03" w:rsidRPr="00DE058F" w:rsidRDefault="00BB2F03" w:rsidP="00C91F83">
            <w:pPr>
              <w:jc w:val="right"/>
              <w:rPr>
                <w:rFonts w:ascii="Calibri" w:hAnsi="Calibri" w:cs="Calibri"/>
                <w:color w:val="002060"/>
                <w:sz w:val="18"/>
                <w:szCs w:val="18"/>
                <w:lang w:val="sr-Cyrl-CS"/>
              </w:rPr>
            </w:pPr>
            <w:r w:rsidRPr="00DE058F">
              <w:rPr>
                <w:rFonts w:ascii="Calibri" w:hAnsi="Calibri" w:cs="Calibri"/>
                <w:color w:val="002060"/>
                <w:sz w:val="18"/>
                <w:szCs w:val="18"/>
                <w:lang w:val="sr-Cyrl-CS"/>
              </w:rPr>
              <w:t>2022 п</w:t>
            </w:r>
          </w:p>
        </w:tc>
        <w:tc>
          <w:tcPr>
            <w:tcW w:w="591" w:type="pct"/>
            <w:tcBorders>
              <w:top w:val="single" w:sz="4" w:space="0" w:color="002060"/>
              <w:bottom w:val="single" w:sz="4" w:space="0" w:color="002060"/>
            </w:tcBorders>
            <w:noWrap/>
            <w:hideMark/>
          </w:tcPr>
          <w:p w14:paraId="66CE4B2A" w14:textId="77777777" w:rsidR="00BB2F03" w:rsidRPr="00DE058F" w:rsidRDefault="00BB2F03" w:rsidP="00C91F83">
            <w:pPr>
              <w:jc w:val="right"/>
              <w:rPr>
                <w:rFonts w:ascii="Calibri" w:hAnsi="Calibri" w:cs="Calibri"/>
                <w:color w:val="002060"/>
                <w:sz w:val="18"/>
                <w:szCs w:val="18"/>
                <w:lang w:val="sr-Cyrl-CS"/>
              </w:rPr>
            </w:pPr>
            <w:r w:rsidRPr="00DE058F">
              <w:rPr>
                <w:rFonts w:ascii="Calibri" w:hAnsi="Calibri" w:cs="Calibri"/>
                <w:color w:val="002060"/>
                <w:sz w:val="18"/>
                <w:szCs w:val="18"/>
                <w:lang w:val="sr-Cyrl-CS"/>
              </w:rPr>
              <w:t>2023 п</w:t>
            </w:r>
          </w:p>
        </w:tc>
        <w:tc>
          <w:tcPr>
            <w:tcW w:w="591" w:type="pct"/>
            <w:tcBorders>
              <w:top w:val="single" w:sz="4" w:space="0" w:color="002060"/>
              <w:bottom w:val="single" w:sz="4" w:space="0" w:color="002060"/>
            </w:tcBorders>
            <w:noWrap/>
            <w:hideMark/>
          </w:tcPr>
          <w:p w14:paraId="1326854B" w14:textId="77777777" w:rsidR="00BB2F03" w:rsidRPr="00DE058F" w:rsidRDefault="00BB2F03" w:rsidP="00C91F83">
            <w:pPr>
              <w:jc w:val="right"/>
              <w:rPr>
                <w:rFonts w:ascii="Calibri" w:hAnsi="Calibri" w:cs="Calibri"/>
                <w:color w:val="002060"/>
                <w:sz w:val="18"/>
                <w:szCs w:val="18"/>
                <w:lang w:val="sr-Cyrl-CS"/>
              </w:rPr>
            </w:pPr>
            <w:r w:rsidRPr="00DE058F">
              <w:rPr>
                <w:rFonts w:ascii="Calibri" w:hAnsi="Calibri" w:cs="Calibri"/>
                <w:color w:val="002060"/>
                <w:sz w:val="18"/>
                <w:szCs w:val="18"/>
                <w:lang w:val="sr-Cyrl-CS"/>
              </w:rPr>
              <w:t>2024 п</w:t>
            </w:r>
          </w:p>
        </w:tc>
        <w:tc>
          <w:tcPr>
            <w:tcW w:w="591" w:type="pct"/>
            <w:tcBorders>
              <w:top w:val="single" w:sz="4" w:space="0" w:color="002060"/>
              <w:bottom w:val="single" w:sz="4" w:space="0" w:color="002060"/>
            </w:tcBorders>
            <w:noWrap/>
            <w:hideMark/>
          </w:tcPr>
          <w:p w14:paraId="47D44B76" w14:textId="77777777" w:rsidR="00BB2F03" w:rsidRPr="00DE058F" w:rsidRDefault="00BB2F03" w:rsidP="00C91F83">
            <w:pPr>
              <w:jc w:val="right"/>
              <w:rPr>
                <w:rFonts w:ascii="Calibri" w:hAnsi="Calibri" w:cs="Calibri"/>
                <w:color w:val="002060"/>
                <w:sz w:val="18"/>
                <w:szCs w:val="18"/>
                <w:lang w:val="sr-Cyrl-CS"/>
              </w:rPr>
            </w:pPr>
            <w:r w:rsidRPr="00DE058F">
              <w:rPr>
                <w:rFonts w:ascii="Calibri" w:hAnsi="Calibri" w:cs="Calibri"/>
                <w:color w:val="002060"/>
                <w:sz w:val="18"/>
                <w:szCs w:val="18"/>
                <w:lang w:val="sr-Cyrl-CS"/>
              </w:rPr>
              <w:t>2025 п</w:t>
            </w:r>
          </w:p>
        </w:tc>
      </w:tr>
      <w:tr w:rsidR="00BB2F03" w:rsidRPr="00DE058F" w14:paraId="5A177895" w14:textId="77777777" w:rsidTr="00C91F83">
        <w:trPr>
          <w:cnfStyle w:val="000000100000" w:firstRow="0" w:lastRow="0" w:firstColumn="0" w:lastColumn="0" w:oddVBand="0" w:evenVBand="0" w:oddHBand="1" w:evenHBand="0" w:firstRowFirstColumn="0" w:firstRowLastColumn="0" w:lastRowFirstColumn="0" w:lastRowLastColumn="0"/>
          <w:trHeight w:val="226"/>
        </w:trPr>
        <w:tc>
          <w:tcPr>
            <w:tcW w:w="2637" w:type="pct"/>
            <w:tcBorders>
              <w:top w:val="single" w:sz="4" w:space="0" w:color="FFFFFF" w:themeColor="background1"/>
              <w:bottom w:val="nil"/>
            </w:tcBorders>
            <w:shd w:val="clear" w:color="auto" w:fill="E7E6E6" w:themeFill="background2"/>
            <w:noWrap/>
            <w:hideMark/>
          </w:tcPr>
          <w:p w14:paraId="15CA81EB"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bCs/>
                <w:color w:val="002060"/>
                <w:sz w:val="18"/>
                <w:szCs w:val="18"/>
                <w:lang w:val="sr-Cyrl-CS"/>
              </w:rPr>
              <w:t>Главница*</w:t>
            </w:r>
          </w:p>
        </w:tc>
        <w:tc>
          <w:tcPr>
            <w:tcW w:w="590" w:type="pct"/>
            <w:tcBorders>
              <w:top w:val="single" w:sz="4" w:space="0" w:color="002060"/>
              <w:bottom w:val="nil"/>
            </w:tcBorders>
            <w:shd w:val="clear" w:color="auto" w:fill="E7E6E6" w:themeFill="background2"/>
            <w:noWrap/>
            <w:hideMark/>
          </w:tcPr>
          <w:p w14:paraId="14E6C693"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435,9</w:t>
            </w:r>
          </w:p>
        </w:tc>
        <w:tc>
          <w:tcPr>
            <w:tcW w:w="591" w:type="pct"/>
            <w:tcBorders>
              <w:top w:val="single" w:sz="4" w:space="0" w:color="002060"/>
              <w:bottom w:val="nil"/>
            </w:tcBorders>
            <w:shd w:val="clear" w:color="auto" w:fill="E7E6E6" w:themeFill="background2"/>
            <w:noWrap/>
            <w:hideMark/>
          </w:tcPr>
          <w:p w14:paraId="745CC3B3"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504,0</w:t>
            </w:r>
          </w:p>
        </w:tc>
        <w:tc>
          <w:tcPr>
            <w:tcW w:w="591" w:type="pct"/>
            <w:tcBorders>
              <w:top w:val="single" w:sz="4" w:space="0" w:color="002060"/>
              <w:bottom w:val="nil"/>
            </w:tcBorders>
            <w:shd w:val="clear" w:color="auto" w:fill="E7E6E6" w:themeFill="background2"/>
            <w:noWrap/>
            <w:hideMark/>
          </w:tcPr>
          <w:p w14:paraId="25CCA31D"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542,0</w:t>
            </w:r>
          </w:p>
        </w:tc>
        <w:tc>
          <w:tcPr>
            <w:tcW w:w="591" w:type="pct"/>
            <w:tcBorders>
              <w:top w:val="single" w:sz="4" w:space="0" w:color="002060"/>
              <w:bottom w:val="nil"/>
            </w:tcBorders>
            <w:shd w:val="clear" w:color="auto" w:fill="E7E6E6" w:themeFill="background2"/>
            <w:noWrap/>
            <w:hideMark/>
          </w:tcPr>
          <w:p w14:paraId="369A5764"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444,0</w:t>
            </w:r>
          </w:p>
        </w:tc>
      </w:tr>
      <w:tr w:rsidR="00BB2F03" w:rsidRPr="00DE058F" w14:paraId="2C73148E" w14:textId="77777777" w:rsidTr="00C91F83">
        <w:trPr>
          <w:trHeight w:val="226"/>
        </w:trPr>
        <w:tc>
          <w:tcPr>
            <w:tcW w:w="2637" w:type="pct"/>
            <w:tcBorders>
              <w:top w:val="nil"/>
              <w:left w:val="nil"/>
              <w:bottom w:val="nil"/>
              <w:right w:val="nil"/>
            </w:tcBorders>
            <w:noWrap/>
            <w:hideMark/>
          </w:tcPr>
          <w:p w14:paraId="5179E37D" w14:textId="77777777" w:rsidR="00BB2F03" w:rsidRPr="00DE058F" w:rsidRDefault="00BB2F03" w:rsidP="00C91F83">
            <w:pPr>
              <w:spacing w:line="240" w:lineRule="auto"/>
              <w:rPr>
                <w:rFonts w:ascii="Calibri" w:hAnsi="Calibri" w:cs="Calibri"/>
                <w:bCs/>
                <w:color w:val="002060"/>
                <w:sz w:val="18"/>
                <w:szCs w:val="18"/>
                <w:lang w:val="sr-Cyrl-CS"/>
              </w:rPr>
            </w:pPr>
            <w:r w:rsidRPr="00DE058F">
              <w:rPr>
                <w:rFonts w:ascii="Calibri" w:hAnsi="Calibri" w:cs="Calibri"/>
                <w:bCs/>
                <w:color w:val="002060"/>
                <w:sz w:val="18"/>
                <w:szCs w:val="18"/>
                <w:lang w:val="sr-Cyrl-CS"/>
              </w:rPr>
              <w:t>Камата</w:t>
            </w:r>
          </w:p>
        </w:tc>
        <w:tc>
          <w:tcPr>
            <w:tcW w:w="590" w:type="pct"/>
            <w:tcBorders>
              <w:top w:val="nil"/>
              <w:left w:val="nil"/>
              <w:bottom w:val="nil"/>
              <w:right w:val="nil"/>
            </w:tcBorders>
            <w:noWrap/>
            <w:hideMark/>
          </w:tcPr>
          <w:p w14:paraId="4C1919D0"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116,2</w:t>
            </w:r>
          </w:p>
        </w:tc>
        <w:tc>
          <w:tcPr>
            <w:tcW w:w="591" w:type="pct"/>
            <w:tcBorders>
              <w:top w:val="nil"/>
              <w:left w:val="nil"/>
              <w:bottom w:val="nil"/>
              <w:right w:val="nil"/>
            </w:tcBorders>
            <w:noWrap/>
            <w:hideMark/>
          </w:tcPr>
          <w:p w14:paraId="7A000D83"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118,2</w:t>
            </w:r>
          </w:p>
        </w:tc>
        <w:tc>
          <w:tcPr>
            <w:tcW w:w="591" w:type="pct"/>
            <w:tcBorders>
              <w:top w:val="nil"/>
              <w:left w:val="nil"/>
              <w:bottom w:val="nil"/>
              <w:right w:val="nil"/>
            </w:tcBorders>
            <w:noWrap/>
            <w:hideMark/>
          </w:tcPr>
          <w:p w14:paraId="6F134955"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129,5</w:t>
            </w:r>
          </w:p>
        </w:tc>
        <w:tc>
          <w:tcPr>
            <w:tcW w:w="591" w:type="pct"/>
            <w:tcBorders>
              <w:top w:val="nil"/>
              <w:left w:val="nil"/>
              <w:bottom w:val="nil"/>
              <w:right w:val="nil"/>
            </w:tcBorders>
            <w:noWrap/>
            <w:hideMark/>
          </w:tcPr>
          <w:p w14:paraId="51F12DB3"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136,8</w:t>
            </w:r>
          </w:p>
        </w:tc>
      </w:tr>
      <w:tr w:rsidR="00BB2F03" w:rsidRPr="00DE058F" w14:paraId="280C1933" w14:textId="77777777" w:rsidTr="00C91F83">
        <w:trPr>
          <w:cnfStyle w:val="000000100000" w:firstRow="0" w:lastRow="0" w:firstColumn="0" w:lastColumn="0" w:oddVBand="0" w:evenVBand="0" w:oddHBand="1" w:evenHBand="0" w:firstRowFirstColumn="0" w:firstRowLastColumn="0" w:lastRowFirstColumn="0" w:lastRowLastColumn="0"/>
          <w:trHeight w:val="226"/>
        </w:trPr>
        <w:tc>
          <w:tcPr>
            <w:tcW w:w="2637" w:type="pct"/>
            <w:tcBorders>
              <w:top w:val="nil"/>
              <w:bottom w:val="nil"/>
            </w:tcBorders>
            <w:shd w:val="clear" w:color="auto" w:fill="E7E6E6" w:themeFill="background2"/>
            <w:noWrap/>
            <w:hideMark/>
          </w:tcPr>
          <w:p w14:paraId="55E84DF9"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bCs/>
                <w:color w:val="002060"/>
                <w:sz w:val="18"/>
                <w:szCs w:val="18"/>
                <w:lang w:val="sr-Cyrl-CS"/>
              </w:rPr>
              <w:t>Укупно</w:t>
            </w:r>
          </w:p>
        </w:tc>
        <w:tc>
          <w:tcPr>
            <w:tcW w:w="590" w:type="pct"/>
            <w:tcBorders>
              <w:top w:val="nil"/>
              <w:bottom w:val="nil"/>
            </w:tcBorders>
            <w:shd w:val="clear" w:color="auto" w:fill="E7E6E6" w:themeFill="background2"/>
            <w:noWrap/>
            <w:hideMark/>
          </w:tcPr>
          <w:p w14:paraId="4C0420C0"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552,1</w:t>
            </w:r>
          </w:p>
        </w:tc>
        <w:tc>
          <w:tcPr>
            <w:tcW w:w="591" w:type="pct"/>
            <w:tcBorders>
              <w:top w:val="nil"/>
              <w:bottom w:val="nil"/>
            </w:tcBorders>
            <w:shd w:val="clear" w:color="auto" w:fill="E7E6E6" w:themeFill="background2"/>
            <w:noWrap/>
            <w:hideMark/>
          </w:tcPr>
          <w:p w14:paraId="556930AD"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622,2</w:t>
            </w:r>
          </w:p>
        </w:tc>
        <w:tc>
          <w:tcPr>
            <w:tcW w:w="591" w:type="pct"/>
            <w:tcBorders>
              <w:top w:val="nil"/>
              <w:bottom w:val="nil"/>
            </w:tcBorders>
            <w:shd w:val="clear" w:color="auto" w:fill="E7E6E6" w:themeFill="background2"/>
            <w:noWrap/>
            <w:hideMark/>
          </w:tcPr>
          <w:p w14:paraId="3F7D4F43"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671,5</w:t>
            </w:r>
          </w:p>
        </w:tc>
        <w:tc>
          <w:tcPr>
            <w:tcW w:w="591" w:type="pct"/>
            <w:tcBorders>
              <w:top w:val="nil"/>
              <w:bottom w:val="nil"/>
            </w:tcBorders>
            <w:shd w:val="clear" w:color="auto" w:fill="E7E6E6" w:themeFill="background2"/>
            <w:noWrap/>
            <w:hideMark/>
          </w:tcPr>
          <w:p w14:paraId="4556A531"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580,8</w:t>
            </w:r>
          </w:p>
        </w:tc>
      </w:tr>
      <w:tr w:rsidR="00BB2F03" w:rsidRPr="00DE058F" w14:paraId="12E3DF4D" w14:textId="77777777" w:rsidTr="00C91F83">
        <w:trPr>
          <w:trHeight w:val="226"/>
        </w:trPr>
        <w:tc>
          <w:tcPr>
            <w:tcW w:w="2637" w:type="pct"/>
            <w:tcBorders>
              <w:top w:val="nil"/>
              <w:left w:val="nil"/>
              <w:bottom w:val="single" w:sz="4" w:space="0" w:color="002060"/>
              <w:right w:val="nil"/>
            </w:tcBorders>
            <w:noWrap/>
            <w:hideMark/>
          </w:tcPr>
          <w:p w14:paraId="732F8F8B" w14:textId="77777777" w:rsidR="00BB2F03" w:rsidRPr="00DE058F" w:rsidRDefault="00BB2F03" w:rsidP="00C91F83">
            <w:pPr>
              <w:spacing w:line="240" w:lineRule="auto"/>
              <w:rPr>
                <w:rFonts w:ascii="Calibri" w:hAnsi="Calibri" w:cs="Calibri"/>
                <w:bCs/>
                <w:color w:val="002060"/>
                <w:sz w:val="18"/>
                <w:szCs w:val="18"/>
                <w:lang w:val="sr-Cyrl-CS"/>
              </w:rPr>
            </w:pPr>
            <w:r w:rsidRPr="00DE058F">
              <w:rPr>
                <w:rFonts w:ascii="Calibri" w:hAnsi="Calibri" w:cs="Calibri"/>
                <w:bCs/>
                <w:color w:val="002060"/>
                <w:sz w:val="18"/>
                <w:szCs w:val="18"/>
                <w:lang w:val="sr-Cyrl-CS"/>
              </w:rPr>
              <w:t xml:space="preserve"> У односу на јавни дуг на дан 31.3.2022. године</w:t>
            </w:r>
          </w:p>
        </w:tc>
        <w:tc>
          <w:tcPr>
            <w:tcW w:w="590" w:type="pct"/>
            <w:tcBorders>
              <w:top w:val="nil"/>
              <w:left w:val="nil"/>
              <w:bottom w:val="single" w:sz="4" w:space="0" w:color="002060"/>
              <w:right w:val="nil"/>
            </w:tcBorders>
            <w:noWrap/>
            <w:hideMark/>
          </w:tcPr>
          <w:p w14:paraId="02A2B56C"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15,3%</w:t>
            </w:r>
          </w:p>
        </w:tc>
        <w:tc>
          <w:tcPr>
            <w:tcW w:w="591" w:type="pct"/>
            <w:tcBorders>
              <w:top w:val="nil"/>
              <w:left w:val="nil"/>
              <w:bottom w:val="single" w:sz="4" w:space="0" w:color="002060"/>
              <w:right w:val="nil"/>
            </w:tcBorders>
            <w:noWrap/>
            <w:hideMark/>
          </w:tcPr>
          <w:p w14:paraId="37168F55"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17,3%</w:t>
            </w:r>
          </w:p>
        </w:tc>
        <w:tc>
          <w:tcPr>
            <w:tcW w:w="591" w:type="pct"/>
            <w:tcBorders>
              <w:top w:val="nil"/>
              <w:left w:val="nil"/>
              <w:bottom w:val="single" w:sz="4" w:space="0" w:color="002060"/>
              <w:right w:val="nil"/>
            </w:tcBorders>
            <w:noWrap/>
            <w:hideMark/>
          </w:tcPr>
          <w:p w14:paraId="778571F7"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18,6%</w:t>
            </w:r>
          </w:p>
        </w:tc>
        <w:tc>
          <w:tcPr>
            <w:tcW w:w="591" w:type="pct"/>
            <w:tcBorders>
              <w:top w:val="nil"/>
              <w:left w:val="nil"/>
              <w:bottom w:val="single" w:sz="4" w:space="0" w:color="002060"/>
              <w:right w:val="nil"/>
            </w:tcBorders>
            <w:noWrap/>
            <w:hideMark/>
          </w:tcPr>
          <w:p w14:paraId="55720984"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16,1%</w:t>
            </w:r>
          </w:p>
        </w:tc>
      </w:tr>
    </w:tbl>
    <w:p w14:paraId="4AFA585A" w14:textId="77777777" w:rsidR="00BB2F03" w:rsidRPr="00DE058F" w:rsidRDefault="00BB2F03" w:rsidP="00C91F83">
      <w:pPr>
        <w:spacing w:after="240" w:line="240" w:lineRule="auto"/>
        <w:rPr>
          <w:rFonts w:ascii="Calibri" w:eastAsia="Calibri" w:hAnsi="Calibri" w:cs="Calibri"/>
          <w:bCs/>
          <w:sz w:val="18"/>
          <w:szCs w:val="18"/>
          <w:lang w:val="sr-Cyrl-CS"/>
        </w:rPr>
      </w:pPr>
      <w:r w:rsidRPr="00DE058F">
        <w:rPr>
          <w:rFonts w:ascii="Calibri" w:eastAsia="Calibri" w:hAnsi="Calibri" w:cs="Calibri"/>
          <w:bCs/>
          <w:sz w:val="18"/>
          <w:szCs w:val="18"/>
          <w:lang w:val="sr-Cyrl-CS"/>
        </w:rPr>
        <w:t>*</w:t>
      </w:r>
      <w:r w:rsidRPr="00DE058F">
        <w:rPr>
          <w:lang w:val="sr-Cyrl-CS"/>
        </w:rPr>
        <w:t xml:space="preserve"> </w:t>
      </w:r>
      <w:r w:rsidRPr="00DE058F">
        <w:rPr>
          <w:rFonts w:ascii="Calibri" w:eastAsia="Calibri" w:hAnsi="Calibri" w:cs="Calibri"/>
          <w:bCs/>
          <w:sz w:val="18"/>
          <w:szCs w:val="18"/>
          <w:lang w:val="sr-Cyrl-CS"/>
        </w:rPr>
        <w:t xml:space="preserve">укључена и средства за </w:t>
      </w:r>
      <w:r w:rsidRPr="00DE058F">
        <w:rPr>
          <w:rFonts w:ascii="Calibri" w:eastAsia="Calibri" w:hAnsi="Calibri" w:cs="Calibri"/>
          <w:bCs/>
          <w:i/>
          <w:sz w:val="18"/>
          <w:szCs w:val="18"/>
          <w:lang w:val="sr-Cyrl-CS"/>
        </w:rPr>
        <w:t>buy-back</w:t>
      </w:r>
      <w:r w:rsidRPr="00DE058F">
        <w:rPr>
          <w:rFonts w:ascii="Calibri" w:eastAsia="Calibri" w:hAnsi="Calibri" w:cs="Calibri"/>
          <w:bCs/>
          <w:sz w:val="18"/>
          <w:szCs w:val="18"/>
          <w:lang w:val="sr-Cyrl-CS"/>
        </w:rPr>
        <w:t xml:space="preserve"> операције</w:t>
      </w:r>
    </w:p>
    <w:p w14:paraId="011C4433" w14:textId="540F1A75" w:rsidR="00BB2F03" w:rsidRPr="00DE058F" w:rsidRDefault="00BB2F03" w:rsidP="00C91F83">
      <w:pPr>
        <w:spacing w:line="256" w:lineRule="auto"/>
        <w:jc w:val="center"/>
        <w:rPr>
          <w:rFonts w:ascii="Calibri" w:eastAsia="Calibri" w:hAnsi="Calibri" w:cs="Times New Roman"/>
          <w:b/>
          <w:color w:val="002060"/>
          <w:lang w:val="sr-Cyrl-CS"/>
        </w:rPr>
      </w:pPr>
      <w:r w:rsidRPr="00DE058F">
        <w:rPr>
          <w:rFonts w:ascii="Calibri" w:eastAsia="Calibri" w:hAnsi="Calibri" w:cs="Times New Roman"/>
          <w:b/>
          <w:color w:val="002060"/>
          <w:lang w:val="sr-Cyrl-CS"/>
        </w:rPr>
        <w:t>Табела 2</w:t>
      </w:r>
      <w:r w:rsidR="00623E62" w:rsidRPr="00DE058F">
        <w:rPr>
          <w:rFonts w:ascii="Calibri" w:eastAsia="Calibri" w:hAnsi="Calibri" w:cs="Times New Roman"/>
          <w:b/>
          <w:color w:val="002060"/>
          <w:lang w:val="sr-Cyrl-CS"/>
        </w:rPr>
        <w:t>5</w:t>
      </w:r>
      <w:r w:rsidRPr="00DE058F">
        <w:rPr>
          <w:rFonts w:ascii="Calibri" w:eastAsia="Calibri" w:hAnsi="Calibri" w:cs="Times New Roman"/>
          <w:b/>
          <w:color w:val="002060"/>
          <w:lang w:val="sr-Cyrl-CS"/>
        </w:rPr>
        <w:t>. Пројекције отплате камата и главница до 2025. године (% БДП)</w:t>
      </w:r>
    </w:p>
    <w:tbl>
      <w:tblPr>
        <w:tblStyle w:val="LightShading-Accent1222"/>
        <w:tblW w:w="5000" w:type="pct"/>
        <w:tblInd w:w="0" w:type="dxa"/>
        <w:tblLook w:val="0420" w:firstRow="1" w:lastRow="0" w:firstColumn="0" w:lastColumn="0" w:noHBand="0" w:noVBand="1"/>
      </w:tblPr>
      <w:tblGrid>
        <w:gridCol w:w="4949"/>
        <w:gridCol w:w="1102"/>
        <w:gridCol w:w="1103"/>
        <w:gridCol w:w="1103"/>
        <w:gridCol w:w="1103"/>
      </w:tblGrid>
      <w:tr w:rsidR="00BB2F03" w:rsidRPr="00DE058F" w14:paraId="58C8BA61" w14:textId="77777777" w:rsidTr="00C91F83">
        <w:trPr>
          <w:cnfStyle w:val="100000000000" w:firstRow="1" w:lastRow="0" w:firstColumn="0" w:lastColumn="0" w:oddVBand="0" w:evenVBand="0" w:oddHBand="0" w:evenHBand="0" w:firstRowFirstColumn="0" w:firstRowLastColumn="0" w:lastRowFirstColumn="0" w:lastRowLastColumn="0"/>
          <w:trHeight w:val="220"/>
        </w:trPr>
        <w:tc>
          <w:tcPr>
            <w:tcW w:w="2644" w:type="pct"/>
            <w:tcBorders>
              <w:top w:val="single" w:sz="4" w:space="0" w:color="002060"/>
              <w:bottom w:val="single" w:sz="4" w:space="0" w:color="FFFFFF" w:themeColor="background1"/>
            </w:tcBorders>
            <w:noWrap/>
            <w:hideMark/>
          </w:tcPr>
          <w:p w14:paraId="3471014A" w14:textId="77777777" w:rsidR="00BB2F03" w:rsidRPr="00DE058F" w:rsidRDefault="00BB2F03" w:rsidP="00C91F83">
            <w:pPr>
              <w:jc w:val="right"/>
              <w:rPr>
                <w:rFonts w:ascii="Calibri" w:hAnsi="Calibri" w:cs="Calibri"/>
                <w:color w:val="002060"/>
                <w:sz w:val="18"/>
                <w:szCs w:val="18"/>
                <w:lang w:val="sr-Cyrl-CS"/>
              </w:rPr>
            </w:pPr>
            <w:bookmarkStart w:id="56" w:name="_Hlk529257961"/>
            <w:r w:rsidRPr="00DE058F">
              <w:rPr>
                <w:rFonts w:ascii="Calibri" w:hAnsi="Calibri" w:cs="Calibri"/>
                <w:color w:val="002060"/>
                <w:sz w:val="18"/>
                <w:szCs w:val="18"/>
                <w:lang w:val="sr-Cyrl-CS"/>
              </w:rPr>
              <w:t> </w:t>
            </w:r>
          </w:p>
        </w:tc>
        <w:tc>
          <w:tcPr>
            <w:tcW w:w="589" w:type="pct"/>
            <w:tcBorders>
              <w:top w:val="single" w:sz="4" w:space="0" w:color="002060"/>
              <w:bottom w:val="single" w:sz="4" w:space="0" w:color="002060"/>
            </w:tcBorders>
            <w:noWrap/>
            <w:hideMark/>
          </w:tcPr>
          <w:p w14:paraId="6E4B4687" w14:textId="77777777" w:rsidR="00BB2F03" w:rsidRPr="00DE058F" w:rsidRDefault="00BB2F03" w:rsidP="00C91F83">
            <w:pPr>
              <w:jc w:val="right"/>
              <w:rPr>
                <w:rFonts w:ascii="Calibri" w:hAnsi="Calibri" w:cs="Calibri"/>
                <w:color w:val="002060"/>
                <w:sz w:val="18"/>
                <w:szCs w:val="18"/>
                <w:lang w:val="sr-Cyrl-CS"/>
              </w:rPr>
            </w:pPr>
            <w:r w:rsidRPr="00DE058F">
              <w:rPr>
                <w:rFonts w:ascii="Calibri" w:hAnsi="Calibri" w:cs="Calibri"/>
                <w:color w:val="002060"/>
                <w:sz w:val="18"/>
                <w:szCs w:val="18"/>
                <w:lang w:val="sr-Cyrl-CS"/>
              </w:rPr>
              <w:t>2022 п</w:t>
            </w:r>
          </w:p>
        </w:tc>
        <w:tc>
          <w:tcPr>
            <w:tcW w:w="589" w:type="pct"/>
            <w:tcBorders>
              <w:top w:val="single" w:sz="4" w:space="0" w:color="002060"/>
              <w:bottom w:val="single" w:sz="4" w:space="0" w:color="002060"/>
            </w:tcBorders>
            <w:noWrap/>
            <w:hideMark/>
          </w:tcPr>
          <w:p w14:paraId="58DD9BCB" w14:textId="77777777" w:rsidR="00BB2F03" w:rsidRPr="00DE058F" w:rsidRDefault="00BB2F03" w:rsidP="00C91F83">
            <w:pPr>
              <w:jc w:val="right"/>
              <w:rPr>
                <w:rFonts w:ascii="Calibri" w:hAnsi="Calibri" w:cs="Calibri"/>
                <w:color w:val="002060"/>
                <w:sz w:val="18"/>
                <w:szCs w:val="18"/>
                <w:lang w:val="sr-Cyrl-CS"/>
              </w:rPr>
            </w:pPr>
            <w:r w:rsidRPr="00DE058F">
              <w:rPr>
                <w:rFonts w:ascii="Calibri" w:hAnsi="Calibri" w:cs="Calibri"/>
                <w:color w:val="002060"/>
                <w:sz w:val="18"/>
                <w:szCs w:val="18"/>
                <w:lang w:val="sr-Cyrl-CS"/>
              </w:rPr>
              <w:t>2023 п</w:t>
            </w:r>
          </w:p>
        </w:tc>
        <w:tc>
          <w:tcPr>
            <w:tcW w:w="589" w:type="pct"/>
            <w:tcBorders>
              <w:top w:val="single" w:sz="4" w:space="0" w:color="002060"/>
              <w:bottom w:val="single" w:sz="4" w:space="0" w:color="002060"/>
            </w:tcBorders>
            <w:noWrap/>
            <w:hideMark/>
          </w:tcPr>
          <w:p w14:paraId="48AEAECF" w14:textId="77777777" w:rsidR="00BB2F03" w:rsidRPr="00DE058F" w:rsidRDefault="00BB2F03" w:rsidP="00C91F83">
            <w:pPr>
              <w:jc w:val="right"/>
              <w:rPr>
                <w:rFonts w:ascii="Calibri" w:hAnsi="Calibri" w:cs="Calibri"/>
                <w:color w:val="002060"/>
                <w:sz w:val="18"/>
                <w:szCs w:val="18"/>
                <w:lang w:val="sr-Cyrl-CS"/>
              </w:rPr>
            </w:pPr>
            <w:r w:rsidRPr="00DE058F">
              <w:rPr>
                <w:rFonts w:ascii="Calibri" w:hAnsi="Calibri" w:cs="Calibri"/>
                <w:color w:val="002060"/>
                <w:sz w:val="18"/>
                <w:szCs w:val="18"/>
                <w:lang w:val="sr-Cyrl-CS"/>
              </w:rPr>
              <w:t>2024 п</w:t>
            </w:r>
          </w:p>
        </w:tc>
        <w:tc>
          <w:tcPr>
            <w:tcW w:w="589" w:type="pct"/>
            <w:tcBorders>
              <w:top w:val="single" w:sz="4" w:space="0" w:color="002060"/>
              <w:bottom w:val="single" w:sz="4" w:space="0" w:color="002060"/>
            </w:tcBorders>
            <w:noWrap/>
            <w:hideMark/>
          </w:tcPr>
          <w:p w14:paraId="707522E6" w14:textId="77777777" w:rsidR="00BB2F03" w:rsidRPr="00DE058F" w:rsidRDefault="00BB2F03" w:rsidP="00C91F83">
            <w:pPr>
              <w:jc w:val="right"/>
              <w:rPr>
                <w:rFonts w:ascii="Calibri" w:hAnsi="Calibri" w:cs="Calibri"/>
                <w:color w:val="002060"/>
                <w:sz w:val="18"/>
                <w:szCs w:val="18"/>
                <w:lang w:val="sr-Cyrl-CS"/>
              </w:rPr>
            </w:pPr>
            <w:r w:rsidRPr="00DE058F">
              <w:rPr>
                <w:rFonts w:ascii="Calibri" w:hAnsi="Calibri" w:cs="Calibri"/>
                <w:color w:val="002060"/>
                <w:sz w:val="18"/>
                <w:szCs w:val="18"/>
                <w:lang w:val="sr-Cyrl-CS"/>
              </w:rPr>
              <w:t>2025 п</w:t>
            </w:r>
          </w:p>
        </w:tc>
      </w:tr>
      <w:tr w:rsidR="00BB2F03" w:rsidRPr="00DE058F" w14:paraId="5AC336E8" w14:textId="77777777" w:rsidTr="00C91F83">
        <w:trPr>
          <w:cnfStyle w:val="000000100000" w:firstRow="0" w:lastRow="0" w:firstColumn="0" w:lastColumn="0" w:oddVBand="0" w:evenVBand="0" w:oddHBand="1" w:evenHBand="0" w:firstRowFirstColumn="0" w:firstRowLastColumn="0" w:lastRowFirstColumn="0" w:lastRowLastColumn="0"/>
          <w:trHeight w:val="220"/>
        </w:trPr>
        <w:tc>
          <w:tcPr>
            <w:tcW w:w="2644" w:type="pct"/>
            <w:tcBorders>
              <w:top w:val="nil"/>
              <w:bottom w:val="nil"/>
            </w:tcBorders>
            <w:shd w:val="clear" w:color="auto" w:fill="E7E6E6" w:themeFill="background2"/>
            <w:noWrap/>
            <w:hideMark/>
          </w:tcPr>
          <w:p w14:paraId="27A2F993" w14:textId="77777777" w:rsidR="00BB2F03" w:rsidRPr="00DE058F" w:rsidRDefault="00BB2F03" w:rsidP="00C91F83">
            <w:pPr>
              <w:spacing w:line="240" w:lineRule="auto"/>
              <w:rPr>
                <w:rFonts w:ascii="Calibri" w:hAnsi="Calibri" w:cs="Calibri"/>
                <w:bCs/>
                <w:color w:val="002060"/>
                <w:sz w:val="18"/>
                <w:szCs w:val="18"/>
                <w:lang w:val="sr-Cyrl-CS"/>
              </w:rPr>
            </w:pPr>
            <w:r w:rsidRPr="00DE058F">
              <w:rPr>
                <w:rFonts w:ascii="Calibri" w:hAnsi="Calibri" w:cs="Calibri"/>
                <w:bCs/>
                <w:color w:val="002060"/>
                <w:sz w:val="18"/>
                <w:szCs w:val="18"/>
                <w:lang w:val="sr-Cyrl-CS"/>
              </w:rPr>
              <w:t>Главница</w:t>
            </w:r>
          </w:p>
        </w:tc>
        <w:tc>
          <w:tcPr>
            <w:tcW w:w="589" w:type="pct"/>
            <w:tcBorders>
              <w:top w:val="nil"/>
              <w:bottom w:val="nil"/>
            </w:tcBorders>
            <w:shd w:val="clear" w:color="auto" w:fill="E7E6E6" w:themeFill="background2"/>
            <w:noWrap/>
            <w:hideMark/>
          </w:tcPr>
          <w:p w14:paraId="324D4A2E"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6,3%</w:t>
            </w:r>
          </w:p>
        </w:tc>
        <w:tc>
          <w:tcPr>
            <w:tcW w:w="589" w:type="pct"/>
            <w:tcBorders>
              <w:top w:val="nil"/>
              <w:bottom w:val="nil"/>
            </w:tcBorders>
            <w:shd w:val="clear" w:color="auto" w:fill="E7E6E6" w:themeFill="background2"/>
            <w:noWrap/>
            <w:hideMark/>
          </w:tcPr>
          <w:p w14:paraId="5A238F04"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6,8%</w:t>
            </w:r>
          </w:p>
        </w:tc>
        <w:tc>
          <w:tcPr>
            <w:tcW w:w="589" w:type="pct"/>
            <w:tcBorders>
              <w:top w:val="nil"/>
              <w:bottom w:val="nil"/>
            </w:tcBorders>
            <w:shd w:val="clear" w:color="auto" w:fill="E7E6E6" w:themeFill="background2"/>
            <w:noWrap/>
            <w:hideMark/>
          </w:tcPr>
          <w:p w14:paraId="21327129"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6,8%</w:t>
            </w:r>
          </w:p>
        </w:tc>
        <w:tc>
          <w:tcPr>
            <w:tcW w:w="589" w:type="pct"/>
            <w:tcBorders>
              <w:top w:val="nil"/>
              <w:bottom w:val="nil"/>
            </w:tcBorders>
            <w:shd w:val="clear" w:color="auto" w:fill="E7E6E6" w:themeFill="background2"/>
            <w:noWrap/>
            <w:hideMark/>
          </w:tcPr>
          <w:p w14:paraId="272BEA2B"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5,1%</w:t>
            </w:r>
          </w:p>
        </w:tc>
      </w:tr>
      <w:tr w:rsidR="00BB2F03" w:rsidRPr="00DE058F" w14:paraId="46BD8A5A" w14:textId="77777777" w:rsidTr="00C91F83">
        <w:trPr>
          <w:trHeight w:val="220"/>
        </w:trPr>
        <w:tc>
          <w:tcPr>
            <w:tcW w:w="2644" w:type="pct"/>
            <w:tcBorders>
              <w:top w:val="nil"/>
              <w:left w:val="nil"/>
              <w:bottom w:val="nil"/>
              <w:right w:val="nil"/>
            </w:tcBorders>
            <w:noWrap/>
            <w:hideMark/>
          </w:tcPr>
          <w:p w14:paraId="0E1E4078"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bCs/>
                <w:color w:val="002060"/>
                <w:sz w:val="18"/>
                <w:szCs w:val="18"/>
                <w:lang w:val="sr-Cyrl-CS"/>
              </w:rPr>
              <w:t>Камата</w:t>
            </w:r>
          </w:p>
        </w:tc>
        <w:tc>
          <w:tcPr>
            <w:tcW w:w="589" w:type="pct"/>
            <w:tcBorders>
              <w:top w:val="nil"/>
              <w:left w:val="nil"/>
              <w:bottom w:val="nil"/>
              <w:right w:val="nil"/>
            </w:tcBorders>
            <w:noWrap/>
            <w:hideMark/>
          </w:tcPr>
          <w:p w14:paraId="399BFB6F"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1,7%</w:t>
            </w:r>
          </w:p>
        </w:tc>
        <w:tc>
          <w:tcPr>
            <w:tcW w:w="589" w:type="pct"/>
            <w:tcBorders>
              <w:top w:val="nil"/>
              <w:left w:val="nil"/>
              <w:bottom w:val="nil"/>
              <w:right w:val="nil"/>
            </w:tcBorders>
            <w:noWrap/>
            <w:hideMark/>
          </w:tcPr>
          <w:p w14:paraId="3009A1E0"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1,6%</w:t>
            </w:r>
          </w:p>
        </w:tc>
        <w:tc>
          <w:tcPr>
            <w:tcW w:w="589" w:type="pct"/>
            <w:tcBorders>
              <w:top w:val="nil"/>
              <w:left w:val="nil"/>
              <w:bottom w:val="nil"/>
              <w:right w:val="nil"/>
            </w:tcBorders>
            <w:noWrap/>
            <w:hideMark/>
          </w:tcPr>
          <w:p w14:paraId="7C93CBF6"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1,6%</w:t>
            </w:r>
          </w:p>
        </w:tc>
        <w:tc>
          <w:tcPr>
            <w:tcW w:w="589" w:type="pct"/>
            <w:tcBorders>
              <w:top w:val="nil"/>
              <w:left w:val="nil"/>
              <w:bottom w:val="nil"/>
              <w:right w:val="nil"/>
            </w:tcBorders>
            <w:noWrap/>
            <w:hideMark/>
          </w:tcPr>
          <w:p w14:paraId="4D04A868"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1,6%</w:t>
            </w:r>
          </w:p>
        </w:tc>
      </w:tr>
      <w:tr w:rsidR="00BB2F03" w:rsidRPr="00DE058F" w14:paraId="14AFF499" w14:textId="77777777" w:rsidTr="00C91F83">
        <w:trPr>
          <w:cnfStyle w:val="000000100000" w:firstRow="0" w:lastRow="0" w:firstColumn="0" w:lastColumn="0" w:oddVBand="0" w:evenVBand="0" w:oddHBand="1" w:evenHBand="0" w:firstRowFirstColumn="0" w:firstRowLastColumn="0" w:lastRowFirstColumn="0" w:lastRowLastColumn="0"/>
          <w:trHeight w:val="220"/>
        </w:trPr>
        <w:tc>
          <w:tcPr>
            <w:tcW w:w="2644" w:type="pct"/>
            <w:tcBorders>
              <w:top w:val="nil"/>
              <w:bottom w:val="single" w:sz="4" w:space="0" w:color="002060"/>
            </w:tcBorders>
            <w:shd w:val="clear" w:color="auto" w:fill="E7E6E6" w:themeFill="background2"/>
            <w:noWrap/>
            <w:hideMark/>
          </w:tcPr>
          <w:p w14:paraId="70718019" w14:textId="77777777" w:rsidR="00BB2F03" w:rsidRPr="00DE058F" w:rsidRDefault="00BB2F03" w:rsidP="00C91F83">
            <w:pPr>
              <w:spacing w:line="240" w:lineRule="auto"/>
              <w:rPr>
                <w:rFonts w:ascii="Calibri" w:hAnsi="Calibri" w:cs="Calibri"/>
                <w:bCs/>
                <w:color w:val="002060"/>
                <w:sz w:val="18"/>
                <w:szCs w:val="18"/>
                <w:lang w:val="sr-Cyrl-CS"/>
              </w:rPr>
            </w:pPr>
            <w:r w:rsidRPr="00DE058F">
              <w:rPr>
                <w:rFonts w:ascii="Calibri" w:hAnsi="Calibri" w:cs="Calibri"/>
                <w:bCs/>
                <w:color w:val="002060"/>
                <w:sz w:val="18"/>
                <w:szCs w:val="18"/>
                <w:lang w:val="sr-Cyrl-CS"/>
              </w:rPr>
              <w:t>Укупно</w:t>
            </w:r>
          </w:p>
        </w:tc>
        <w:tc>
          <w:tcPr>
            <w:tcW w:w="589" w:type="pct"/>
            <w:tcBorders>
              <w:top w:val="nil"/>
              <w:bottom w:val="single" w:sz="4" w:space="0" w:color="002060"/>
            </w:tcBorders>
            <w:shd w:val="clear" w:color="auto" w:fill="E7E6E6" w:themeFill="background2"/>
            <w:noWrap/>
            <w:hideMark/>
          </w:tcPr>
          <w:p w14:paraId="4D4C4461"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8,0%</w:t>
            </w:r>
          </w:p>
        </w:tc>
        <w:tc>
          <w:tcPr>
            <w:tcW w:w="589" w:type="pct"/>
            <w:tcBorders>
              <w:top w:val="nil"/>
              <w:bottom w:val="single" w:sz="4" w:space="0" w:color="002060"/>
            </w:tcBorders>
            <w:shd w:val="clear" w:color="auto" w:fill="E7E6E6" w:themeFill="background2"/>
            <w:noWrap/>
            <w:hideMark/>
          </w:tcPr>
          <w:p w14:paraId="01E81C7A"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8,3%</w:t>
            </w:r>
          </w:p>
        </w:tc>
        <w:tc>
          <w:tcPr>
            <w:tcW w:w="589" w:type="pct"/>
            <w:tcBorders>
              <w:top w:val="nil"/>
              <w:bottom w:val="single" w:sz="4" w:space="0" w:color="002060"/>
            </w:tcBorders>
            <w:shd w:val="clear" w:color="auto" w:fill="E7E6E6" w:themeFill="background2"/>
            <w:noWrap/>
            <w:hideMark/>
          </w:tcPr>
          <w:p w14:paraId="409922A0"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8,4%</w:t>
            </w:r>
          </w:p>
        </w:tc>
        <w:tc>
          <w:tcPr>
            <w:tcW w:w="589" w:type="pct"/>
            <w:tcBorders>
              <w:top w:val="nil"/>
              <w:bottom w:val="single" w:sz="4" w:space="0" w:color="002060"/>
            </w:tcBorders>
            <w:shd w:val="clear" w:color="auto" w:fill="E7E6E6" w:themeFill="background2"/>
            <w:noWrap/>
            <w:hideMark/>
          </w:tcPr>
          <w:p w14:paraId="4DD237B5"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6,7%</w:t>
            </w:r>
          </w:p>
        </w:tc>
      </w:tr>
      <w:bookmarkEnd w:id="56"/>
    </w:tbl>
    <w:p w14:paraId="3D473CE4" w14:textId="77777777" w:rsidR="00BB2F03" w:rsidRPr="00DE058F" w:rsidRDefault="00BB2F03" w:rsidP="00C91F83">
      <w:pPr>
        <w:spacing w:after="0" w:line="256" w:lineRule="auto"/>
        <w:jc w:val="left"/>
        <w:rPr>
          <w:rFonts w:ascii="Calibri" w:eastAsia="Calibri" w:hAnsi="Calibri" w:cs="Calibri"/>
          <w:bCs/>
          <w:szCs w:val="72"/>
          <w:lang w:val="sr-Cyrl-CS"/>
        </w:rPr>
        <w:sectPr w:rsidR="00BB2F03" w:rsidRPr="00DE058F">
          <w:type w:val="continuous"/>
          <w:pgSz w:w="12240" w:h="15840"/>
          <w:pgMar w:top="1440" w:right="1440" w:bottom="1440" w:left="1440" w:header="720" w:footer="720" w:gutter="0"/>
          <w:cols w:space="720"/>
        </w:sectPr>
      </w:pPr>
    </w:p>
    <w:p w14:paraId="70F7D037"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 xml:space="preserve">Планирани износи за отплату камата и главница, на централном нивоу државе, укључују и средства за </w:t>
      </w:r>
      <w:r w:rsidRPr="00DE058F">
        <w:rPr>
          <w:rFonts w:ascii="Calibri" w:eastAsia="Calibri" w:hAnsi="Calibri" w:cs="Calibri"/>
          <w:bCs/>
          <w:i/>
          <w:szCs w:val="72"/>
          <w:lang w:val="sr-Cyrl-CS"/>
        </w:rPr>
        <w:t>buy-back</w:t>
      </w:r>
      <w:r w:rsidRPr="00DE058F">
        <w:rPr>
          <w:rFonts w:ascii="Calibri" w:eastAsia="Calibri" w:hAnsi="Calibri" w:cs="Calibri"/>
          <w:bCs/>
          <w:szCs w:val="72"/>
          <w:lang w:val="sr-Cyrl-CS"/>
        </w:rPr>
        <w:t xml:space="preserve"> операције, тј. превремену отплату дуга, како би се скупљи дуг заменио јефтинијим, као и премије осигурања на експортне кредите.</w:t>
      </w:r>
    </w:p>
    <w:p w14:paraId="6DFBC291" w14:textId="77777777" w:rsidR="00BB2F03" w:rsidRPr="00DE058F" w:rsidRDefault="00BB2F03" w:rsidP="00C91F83">
      <w:pPr>
        <w:spacing w:line="256" w:lineRule="auto"/>
        <w:rPr>
          <w:rFonts w:ascii="Calibri" w:eastAsia="Calibri" w:hAnsi="Calibri" w:cs="Times New Roman"/>
          <w:b/>
          <w:color w:val="2F5496" w:themeColor="accent1" w:themeShade="BF"/>
          <w:sz w:val="22"/>
          <w:lang w:val="sr-Cyrl-CS"/>
        </w:rPr>
      </w:pPr>
      <w:r w:rsidRPr="00DE058F">
        <w:rPr>
          <w:rFonts w:ascii="Calibri" w:eastAsia="Calibri" w:hAnsi="Calibri" w:cs="Times New Roman"/>
          <w:b/>
          <w:color w:val="2F5496" w:themeColor="accent1" w:themeShade="BF"/>
          <w:sz w:val="22"/>
          <w:lang w:val="sr-Cyrl-CS"/>
        </w:rPr>
        <w:t>Пројекција стања јавног дуга општег нивоа државе у периоду 2022–2025. године</w:t>
      </w:r>
    </w:p>
    <w:p w14:paraId="6E6426CA" w14:textId="77777777" w:rsidR="00BB2F03" w:rsidRPr="00DE058F" w:rsidRDefault="00BB2F03" w:rsidP="00C91F83">
      <w:pPr>
        <w:spacing w:after="240"/>
        <w:rPr>
          <w:rFonts w:ascii="Calibri" w:eastAsia="Calibri" w:hAnsi="Calibri" w:cs="Calibri"/>
          <w:bCs/>
          <w:szCs w:val="72"/>
          <w:lang w:val="sr-Cyrl-CS"/>
        </w:rPr>
      </w:pPr>
      <w:r w:rsidRPr="00DE058F">
        <w:rPr>
          <w:rFonts w:ascii="Calibri" w:eastAsia="Calibri" w:hAnsi="Calibri" w:cs="Calibri"/>
          <w:bCs/>
          <w:szCs w:val="72"/>
          <w:lang w:val="sr-Cyrl-CS"/>
        </w:rPr>
        <w:t xml:space="preserve">Имајући у виду пројектовани примарни резултат буџета Републике Србије за период 2022–2025. </w:t>
      </w:r>
      <w:r w:rsidRPr="00DE058F">
        <w:rPr>
          <w:rFonts w:ascii="Calibri" w:eastAsia="Calibri" w:hAnsi="Calibri" w:cs="Calibri"/>
          <w:bCs/>
          <w:szCs w:val="72"/>
          <w:lang w:val="sr-Cyrl-CS"/>
        </w:rPr>
        <w:t>године, укључујући и обим повлачења кредитних средстава за пројектно финансирање од буџетских корисника, ефекте промене девизног курса динара према евру и америчком долару, у основном макроекономском сценарију, стање дуга централног нивоа државе требало би да буде на нивоу од 49,7% БДП на крају 2025. године.</w:t>
      </w:r>
    </w:p>
    <w:p w14:paraId="133105CD" w14:textId="77777777" w:rsidR="00BB2F03" w:rsidRPr="00DE058F" w:rsidRDefault="00BB2F03" w:rsidP="00C91F83">
      <w:pPr>
        <w:spacing w:after="0" w:line="256" w:lineRule="auto"/>
        <w:jc w:val="left"/>
        <w:rPr>
          <w:rFonts w:ascii="Calibri" w:eastAsia="Calibri" w:hAnsi="Calibri" w:cs="Calibri"/>
          <w:bCs/>
          <w:szCs w:val="72"/>
          <w:lang w:val="sr-Cyrl-CS"/>
        </w:rPr>
      </w:pPr>
    </w:p>
    <w:p w14:paraId="5AB84B09" w14:textId="77777777" w:rsidR="00BB2F03" w:rsidRPr="00DE058F" w:rsidRDefault="00BB2F03" w:rsidP="00C91F83">
      <w:pPr>
        <w:spacing w:after="0" w:line="256" w:lineRule="auto"/>
        <w:jc w:val="left"/>
        <w:rPr>
          <w:rFonts w:ascii="Calibri" w:eastAsia="Calibri" w:hAnsi="Calibri" w:cs="Calibri"/>
          <w:bCs/>
          <w:szCs w:val="72"/>
          <w:lang w:val="sr-Cyrl-CS"/>
        </w:rPr>
      </w:pPr>
    </w:p>
    <w:p w14:paraId="6B236FA2" w14:textId="77777777" w:rsidR="00BB2F03" w:rsidRPr="00DE058F" w:rsidRDefault="00BB2F03" w:rsidP="00C91F83">
      <w:pPr>
        <w:spacing w:after="0" w:line="256" w:lineRule="auto"/>
        <w:jc w:val="left"/>
        <w:rPr>
          <w:rFonts w:ascii="Calibri" w:eastAsia="Calibri" w:hAnsi="Calibri" w:cs="Calibri"/>
          <w:bCs/>
          <w:szCs w:val="72"/>
          <w:lang w:val="sr-Cyrl-CS"/>
        </w:rPr>
      </w:pPr>
    </w:p>
    <w:p w14:paraId="497E921C" w14:textId="77777777" w:rsidR="00BB2F03" w:rsidRPr="00DE058F" w:rsidRDefault="00BB2F03" w:rsidP="00C91F83">
      <w:pPr>
        <w:spacing w:after="0" w:line="256" w:lineRule="auto"/>
        <w:jc w:val="left"/>
        <w:rPr>
          <w:rFonts w:ascii="Calibri" w:eastAsia="Calibri" w:hAnsi="Calibri" w:cs="Calibri"/>
          <w:bCs/>
          <w:szCs w:val="72"/>
          <w:lang w:val="sr-Cyrl-CS"/>
        </w:rPr>
        <w:sectPr w:rsidR="00BB2F03" w:rsidRPr="00DE058F">
          <w:type w:val="continuous"/>
          <w:pgSz w:w="12240" w:h="15840"/>
          <w:pgMar w:top="1440" w:right="1440" w:bottom="1440" w:left="1440" w:header="720" w:footer="720" w:gutter="0"/>
          <w:cols w:num="2" w:space="720"/>
        </w:sectPr>
      </w:pPr>
    </w:p>
    <w:p w14:paraId="17B82A8B" w14:textId="739FEBCE" w:rsidR="00BB2F03" w:rsidRPr="00DE058F" w:rsidRDefault="00BB2F03" w:rsidP="00C91F83">
      <w:pPr>
        <w:spacing w:line="256" w:lineRule="auto"/>
        <w:jc w:val="center"/>
        <w:rPr>
          <w:rFonts w:ascii="Calibri" w:eastAsia="Calibri" w:hAnsi="Calibri" w:cs="Times New Roman"/>
          <w:b/>
          <w:color w:val="002060"/>
          <w:lang w:val="sr-Cyrl-CS"/>
        </w:rPr>
      </w:pPr>
      <w:r w:rsidRPr="00DE058F">
        <w:rPr>
          <w:rFonts w:ascii="Calibri" w:eastAsia="Calibri" w:hAnsi="Calibri" w:cs="Times New Roman"/>
          <w:b/>
          <w:color w:val="002060"/>
          <w:lang w:val="sr-Cyrl-CS"/>
        </w:rPr>
        <w:t>Табела 2</w:t>
      </w:r>
      <w:r w:rsidR="00623E62" w:rsidRPr="00DE058F">
        <w:rPr>
          <w:rFonts w:ascii="Calibri" w:eastAsia="Calibri" w:hAnsi="Calibri" w:cs="Times New Roman"/>
          <w:b/>
          <w:color w:val="002060"/>
          <w:lang w:val="sr-Cyrl-CS"/>
        </w:rPr>
        <w:t>6</w:t>
      </w:r>
      <w:r w:rsidRPr="00DE058F">
        <w:rPr>
          <w:rFonts w:ascii="Calibri" w:eastAsia="Calibri" w:hAnsi="Calibri" w:cs="Times New Roman"/>
          <w:b/>
          <w:color w:val="002060"/>
          <w:lang w:val="sr-Cyrl-CS"/>
        </w:rPr>
        <w:t>. Основна пројекција стања јавног дуга општег нивоа државе до 2025. године</w:t>
      </w:r>
    </w:p>
    <w:tbl>
      <w:tblPr>
        <w:tblStyle w:val="LightShading-Accent1222"/>
        <w:tblW w:w="5000" w:type="pct"/>
        <w:tblInd w:w="0" w:type="dxa"/>
        <w:tblLook w:val="0420" w:firstRow="1" w:lastRow="0" w:firstColumn="0" w:lastColumn="0" w:noHBand="0" w:noVBand="1"/>
      </w:tblPr>
      <w:tblGrid>
        <w:gridCol w:w="5100"/>
        <w:gridCol w:w="1065"/>
        <w:gridCol w:w="1065"/>
        <w:gridCol w:w="1065"/>
        <w:gridCol w:w="1065"/>
      </w:tblGrid>
      <w:tr w:rsidR="00BB2F03" w:rsidRPr="00DE058F" w14:paraId="1E7728BC" w14:textId="77777777" w:rsidTr="00C91F83">
        <w:trPr>
          <w:cnfStyle w:val="100000000000" w:firstRow="1" w:lastRow="0" w:firstColumn="0" w:lastColumn="0" w:oddVBand="0" w:evenVBand="0" w:oddHBand="0" w:evenHBand="0" w:firstRowFirstColumn="0" w:firstRowLastColumn="0" w:lastRowFirstColumn="0" w:lastRowLastColumn="0"/>
          <w:trHeight w:val="20"/>
        </w:trPr>
        <w:tc>
          <w:tcPr>
            <w:tcW w:w="2724" w:type="pct"/>
            <w:tcBorders>
              <w:top w:val="single" w:sz="4" w:space="0" w:color="002060"/>
              <w:bottom w:val="single" w:sz="8" w:space="0" w:color="FFFFFF" w:themeColor="background1"/>
            </w:tcBorders>
            <w:noWrap/>
            <w:hideMark/>
          </w:tcPr>
          <w:p w14:paraId="0F44DF54" w14:textId="77777777" w:rsidR="00BB2F03" w:rsidRPr="00DE058F" w:rsidRDefault="00BB2F03" w:rsidP="00C91F83">
            <w:pPr>
              <w:spacing w:line="256" w:lineRule="auto"/>
              <w:rPr>
                <w:rFonts w:ascii="Calibri" w:hAnsi="Calibri"/>
                <w:color w:val="002060"/>
                <w:lang w:val="sr-Cyrl-CS"/>
              </w:rPr>
            </w:pPr>
          </w:p>
        </w:tc>
        <w:tc>
          <w:tcPr>
            <w:tcW w:w="569" w:type="pct"/>
            <w:tcBorders>
              <w:top w:val="single" w:sz="4" w:space="0" w:color="002060"/>
              <w:bottom w:val="single" w:sz="4" w:space="0" w:color="002060"/>
            </w:tcBorders>
            <w:noWrap/>
            <w:hideMark/>
          </w:tcPr>
          <w:p w14:paraId="60386245" w14:textId="77777777" w:rsidR="00BB2F03" w:rsidRPr="00DE058F" w:rsidRDefault="00BB2F03" w:rsidP="00C91F83">
            <w:pPr>
              <w:jc w:val="right"/>
              <w:rPr>
                <w:rFonts w:ascii="Calibri" w:hAnsi="Calibri" w:cs="Calibri"/>
                <w:color w:val="002060"/>
                <w:sz w:val="18"/>
                <w:szCs w:val="18"/>
                <w:lang w:val="sr-Cyrl-CS"/>
              </w:rPr>
            </w:pPr>
            <w:r w:rsidRPr="00DE058F">
              <w:rPr>
                <w:rFonts w:ascii="Calibri" w:hAnsi="Calibri" w:cs="Calibri"/>
                <w:color w:val="002060"/>
                <w:sz w:val="18"/>
                <w:szCs w:val="18"/>
                <w:lang w:val="sr-Cyrl-CS"/>
              </w:rPr>
              <w:t>2022 п</w:t>
            </w:r>
          </w:p>
        </w:tc>
        <w:tc>
          <w:tcPr>
            <w:tcW w:w="569" w:type="pct"/>
            <w:tcBorders>
              <w:top w:val="single" w:sz="4" w:space="0" w:color="002060"/>
              <w:bottom w:val="single" w:sz="4" w:space="0" w:color="002060"/>
            </w:tcBorders>
            <w:noWrap/>
            <w:hideMark/>
          </w:tcPr>
          <w:p w14:paraId="6E1ED937" w14:textId="77777777" w:rsidR="00BB2F03" w:rsidRPr="00DE058F" w:rsidRDefault="00BB2F03" w:rsidP="00C91F83">
            <w:pPr>
              <w:jc w:val="right"/>
              <w:rPr>
                <w:rFonts w:ascii="Calibri" w:hAnsi="Calibri" w:cs="Calibri"/>
                <w:color w:val="002060"/>
                <w:sz w:val="18"/>
                <w:szCs w:val="18"/>
                <w:lang w:val="sr-Cyrl-CS"/>
              </w:rPr>
            </w:pPr>
            <w:r w:rsidRPr="00DE058F">
              <w:rPr>
                <w:rFonts w:ascii="Calibri" w:hAnsi="Calibri" w:cs="Calibri"/>
                <w:color w:val="002060"/>
                <w:sz w:val="18"/>
                <w:szCs w:val="18"/>
                <w:lang w:val="sr-Cyrl-CS"/>
              </w:rPr>
              <w:t>2023 п</w:t>
            </w:r>
          </w:p>
        </w:tc>
        <w:tc>
          <w:tcPr>
            <w:tcW w:w="569" w:type="pct"/>
            <w:tcBorders>
              <w:top w:val="single" w:sz="4" w:space="0" w:color="002060"/>
              <w:bottom w:val="single" w:sz="4" w:space="0" w:color="002060"/>
            </w:tcBorders>
            <w:noWrap/>
            <w:hideMark/>
          </w:tcPr>
          <w:p w14:paraId="307FFF41" w14:textId="77777777" w:rsidR="00BB2F03" w:rsidRPr="00DE058F" w:rsidRDefault="00BB2F03" w:rsidP="00C91F83">
            <w:pPr>
              <w:jc w:val="right"/>
              <w:rPr>
                <w:rFonts w:ascii="Calibri" w:hAnsi="Calibri" w:cs="Calibri"/>
                <w:color w:val="002060"/>
                <w:sz w:val="18"/>
                <w:szCs w:val="18"/>
                <w:lang w:val="sr-Cyrl-CS"/>
              </w:rPr>
            </w:pPr>
            <w:r w:rsidRPr="00DE058F">
              <w:rPr>
                <w:rFonts w:ascii="Calibri" w:hAnsi="Calibri" w:cs="Calibri"/>
                <w:color w:val="002060"/>
                <w:sz w:val="18"/>
                <w:szCs w:val="18"/>
                <w:lang w:val="sr-Cyrl-CS"/>
              </w:rPr>
              <w:t>2024 п</w:t>
            </w:r>
          </w:p>
        </w:tc>
        <w:tc>
          <w:tcPr>
            <w:tcW w:w="569" w:type="pct"/>
            <w:tcBorders>
              <w:top w:val="single" w:sz="4" w:space="0" w:color="002060"/>
              <w:bottom w:val="single" w:sz="4" w:space="0" w:color="002060"/>
            </w:tcBorders>
            <w:noWrap/>
            <w:hideMark/>
          </w:tcPr>
          <w:p w14:paraId="39702639" w14:textId="77777777" w:rsidR="00BB2F03" w:rsidRPr="00DE058F" w:rsidRDefault="00BB2F03" w:rsidP="00C91F83">
            <w:pPr>
              <w:jc w:val="right"/>
              <w:rPr>
                <w:rFonts w:ascii="Calibri" w:hAnsi="Calibri" w:cs="Calibri"/>
                <w:color w:val="002060"/>
                <w:sz w:val="18"/>
                <w:szCs w:val="18"/>
                <w:lang w:val="sr-Cyrl-CS"/>
              </w:rPr>
            </w:pPr>
            <w:r w:rsidRPr="00DE058F">
              <w:rPr>
                <w:rFonts w:ascii="Calibri" w:hAnsi="Calibri" w:cs="Calibri"/>
                <w:color w:val="002060"/>
                <w:sz w:val="18"/>
                <w:szCs w:val="18"/>
                <w:lang w:val="sr-Cyrl-CS"/>
              </w:rPr>
              <w:t>2025 п</w:t>
            </w:r>
          </w:p>
        </w:tc>
      </w:tr>
      <w:tr w:rsidR="00BB2F03" w:rsidRPr="00DE058F" w14:paraId="55A663AF" w14:textId="77777777" w:rsidTr="00C91F83">
        <w:trPr>
          <w:cnfStyle w:val="000000100000" w:firstRow="0" w:lastRow="0" w:firstColumn="0" w:lastColumn="0" w:oddVBand="0" w:evenVBand="0" w:oddHBand="1" w:evenHBand="0" w:firstRowFirstColumn="0" w:firstRowLastColumn="0" w:lastRowFirstColumn="0" w:lastRowLastColumn="0"/>
          <w:trHeight w:val="20"/>
        </w:trPr>
        <w:tc>
          <w:tcPr>
            <w:tcW w:w="2724" w:type="pct"/>
            <w:tcBorders>
              <w:top w:val="nil"/>
              <w:bottom w:val="nil"/>
            </w:tcBorders>
            <w:shd w:val="clear" w:color="auto" w:fill="E7E6E6" w:themeFill="background2"/>
            <w:noWrap/>
            <w:hideMark/>
          </w:tcPr>
          <w:p w14:paraId="5C626779" w14:textId="77777777" w:rsidR="00BB2F03" w:rsidRPr="00DE058F" w:rsidRDefault="00BB2F03" w:rsidP="00C91F83">
            <w:pPr>
              <w:spacing w:line="240" w:lineRule="auto"/>
              <w:rPr>
                <w:rFonts w:ascii="Calibri" w:hAnsi="Calibri" w:cs="Calibri"/>
                <w:bCs/>
                <w:color w:val="44546A"/>
                <w:sz w:val="18"/>
                <w:szCs w:val="18"/>
                <w:lang w:val="sr-Cyrl-CS"/>
              </w:rPr>
            </w:pPr>
            <w:r w:rsidRPr="00DE058F">
              <w:rPr>
                <w:rFonts w:ascii="Calibri" w:hAnsi="Calibri" w:cs="Calibri"/>
                <w:bCs/>
                <w:color w:val="002060"/>
                <w:sz w:val="18"/>
                <w:szCs w:val="18"/>
                <w:lang w:val="sr-Cyrl-CS"/>
              </w:rPr>
              <w:t>Јавни дуг (централни ниво власти), млрд РСД</w:t>
            </w:r>
          </w:p>
        </w:tc>
        <w:tc>
          <w:tcPr>
            <w:tcW w:w="569" w:type="pct"/>
            <w:tcBorders>
              <w:top w:val="single" w:sz="4" w:space="0" w:color="002060"/>
              <w:bottom w:val="nil"/>
            </w:tcBorders>
            <w:shd w:val="clear" w:color="auto" w:fill="E7E6E6" w:themeFill="background2"/>
            <w:noWrap/>
            <w:hideMark/>
          </w:tcPr>
          <w:p w14:paraId="4628691E"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3.699,9</w:t>
            </w:r>
          </w:p>
        </w:tc>
        <w:tc>
          <w:tcPr>
            <w:tcW w:w="569" w:type="pct"/>
            <w:tcBorders>
              <w:top w:val="single" w:sz="4" w:space="0" w:color="002060"/>
              <w:bottom w:val="nil"/>
            </w:tcBorders>
            <w:shd w:val="clear" w:color="auto" w:fill="E7E6E6" w:themeFill="background2"/>
            <w:noWrap/>
            <w:hideMark/>
          </w:tcPr>
          <w:p w14:paraId="17558DC6"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3.892,4</w:t>
            </w:r>
          </w:p>
        </w:tc>
        <w:tc>
          <w:tcPr>
            <w:tcW w:w="569" w:type="pct"/>
            <w:tcBorders>
              <w:top w:val="single" w:sz="4" w:space="0" w:color="002060"/>
              <w:bottom w:val="nil"/>
            </w:tcBorders>
            <w:shd w:val="clear" w:color="auto" w:fill="E7E6E6" w:themeFill="background2"/>
            <w:noWrap/>
            <w:hideMark/>
          </w:tcPr>
          <w:p w14:paraId="482CB1A8"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4.092,4</w:t>
            </w:r>
          </w:p>
        </w:tc>
        <w:tc>
          <w:tcPr>
            <w:tcW w:w="569" w:type="pct"/>
            <w:tcBorders>
              <w:top w:val="single" w:sz="4" w:space="0" w:color="002060"/>
              <w:bottom w:val="nil"/>
            </w:tcBorders>
            <w:shd w:val="clear" w:color="auto" w:fill="E7E6E6" w:themeFill="background2"/>
            <w:noWrap/>
            <w:hideMark/>
          </w:tcPr>
          <w:p w14:paraId="75A853DE"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4.302,4</w:t>
            </w:r>
          </w:p>
        </w:tc>
      </w:tr>
      <w:tr w:rsidR="00BB2F03" w:rsidRPr="00DE058F" w14:paraId="308605EB" w14:textId="77777777" w:rsidTr="00C91F83">
        <w:trPr>
          <w:trHeight w:val="20"/>
        </w:trPr>
        <w:tc>
          <w:tcPr>
            <w:tcW w:w="2724" w:type="pct"/>
            <w:tcBorders>
              <w:top w:val="nil"/>
              <w:left w:val="nil"/>
              <w:bottom w:val="nil"/>
              <w:right w:val="nil"/>
            </w:tcBorders>
            <w:hideMark/>
          </w:tcPr>
          <w:p w14:paraId="6B4B0A1C" w14:textId="77777777" w:rsidR="00BB2F03" w:rsidRPr="00DE058F" w:rsidRDefault="00BB2F03" w:rsidP="00C91F83">
            <w:pPr>
              <w:spacing w:line="240" w:lineRule="auto"/>
              <w:rPr>
                <w:rFonts w:ascii="Calibri" w:hAnsi="Calibri" w:cs="Calibri"/>
                <w:bCs/>
                <w:color w:val="002060"/>
                <w:sz w:val="18"/>
                <w:szCs w:val="18"/>
                <w:lang w:val="sr-Cyrl-CS"/>
              </w:rPr>
            </w:pPr>
            <w:r w:rsidRPr="00DE058F">
              <w:rPr>
                <w:rFonts w:ascii="Calibri" w:hAnsi="Calibri" w:cs="Calibri"/>
                <w:bCs/>
                <w:color w:val="002060"/>
                <w:sz w:val="18"/>
                <w:szCs w:val="18"/>
                <w:lang w:val="sr-Cyrl-CS"/>
              </w:rPr>
              <w:t>Дуг централне државе, у % БДП</w:t>
            </w:r>
          </w:p>
        </w:tc>
        <w:tc>
          <w:tcPr>
            <w:tcW w:w="569" w:type="pct"/>
            <w:tcBorders>
              <w:top w:val="nil"/>
              <w:left w:val="nil"/>
              <w:bottom w:val="nil"/>
              <w:right w:val="nil"/>
            </w:tcBorders>
            <w:noWrap/>
            <w:hideMark/>
          </w:tcPr>
          <w:p w14:paraId="38CFD6B3"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53,6%</w:t>
            </w:r>
          </w:p>
        </w:tc>
        <w:tc>
          <w:tcPr>
            <w:tcW w:w="569" w:type="pct"/>
            <w:tcBorders>
              <w:top w:val="nil"/>
              <w:left w:val="nil"/>
              <w:bottom w:val="nil"/>
              <w:right w:val="nil"/>
            </w:tcBorders>
            <w:noWrap/>
            <w:hideMark/>
          </w:tcPr>
          <w:p w14:paraId="186C54B1"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52,1%</w:t>
            </w:r>
          </w:p>
        </w:tc>
        <w:tc>
          <w:tcPr>
            <w:tcW w:w="569" w:type="pct"/>
            <w:tcBorders>
              <w:top w:val="nil"/>
              <w:left w:val="nil"/>
              <w:bottom w:val="nil"/>
              <w:right w:val="nil"/>
            </w:tcBorders>
            <w:noWrap/>
            <w:hideMark/>
          </w:tcPr>
          <w:p w14:paraId="0EF9BE9B"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51,0%</w:t>
            </w:r>
          </w:p>
        </w:tc>
        <w:tc>
          <w:tcPr>
            <w:tcW w:w="569" w:type="pct"/>
            <w:tcBorders>
              <w:top w:val="nil"/>
              <w:left w:val="nil"/>
              <w:bottom w:val="nil"/>
              <w:right w:val="nil"/>
            </w:tcBorders>
            <w:noWrap/>
            <w:hideMark/>
          </w:tcPr>
          <w:p w14:paraId="1E11EB8B"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49,7%</w:t>
            </w:r>
          </w:p>
        </w:tc>
      </w:tr>
      <w:tr w:rsidR="00BB2F03" w:rsidRPr="00DE058F" w14:paraId="3067E65B" w14:textId="77777777" w:rsidTr="00C91F83">
        <w:trPr>
          <w:cnfStyle w:val="000000100000" w:firstRow="0" w:lastRow="0" w:firstColumn="0" w:lastColumn="0" w:oddVBand="0" w:evenVBand="0" w:oddHBand="1" w:evenHBand="0" w:firstRowFirstColumn="0" w:firstRowLastColumn="0" w:lastRowFirstColumn="0" w:lastRowLastColumn="0"/>
          <w:trHeight w:val="20"/>
        </w:trPr>
        <w:tc>
          <w:tcPr>
            <w:tcW w:w="2724" w:type="pct"/>
            <w:tcBorders>
              <w:top w:val="nil"/>
              <w:bottom w:val="nil"/>
            </w:tcBorders>
            <w:shd w:val="clear" w:color="auto" w:fill="E7E6E6" w:themeFill="background2"/>
            <w:hideMark/>
          </w:tcPr>
          <w:p w14:paraId="209DDAB8" w14:textId="77777777" w:rsidR="00BB2F03" w:rsidRPr="00DE058F" w:rsidRDefault="00BB2F03" w:rsidP="00C91F83">
            <w:pPr>
              <w:spacing w:line="240" w:lineRule="auto"/>
              <w:rPr>
                <w:rFonts w:ascii="Calibri" w:hAnsi="Calibri" w:cs="Calibri"/>
                <w:bCs/>
                <w:color w:val="002060"/>
                <w:sz w:val="18"/>
                <w:szCs w:val="18"/>
                <w:lang w:val="sr-Cyrl-CS"/>
              </w:rPr>
            </w:pPr>
            <w:r w:rsidRPr="00DE058F">
              <w:rPr>
                <w:rFonts w:ascii="Calibri" w:hAnsi="Calibri" w:cs="Calibri"/>
                <w:bCs/>
                <w:color w:val="002060"/>
                <w:sz w:val="18"/>
                <w:szCs w:val="18"/>
                <w:lang w:val="sr-Cyrl-CS"/>
              </w:rPr>
              <w:t>Негарантовани дуг јединица локалне самоуправе*, у % БДП</w:t>
            </w:r>
          </w:p>
        </w:tc>
        <w:tc>
          <w:tcPr>
            <w:tcW w:w="569" w:type="pct"/>
            <w:tcBorders>
              <w:top w:val="nil"/>
              <w:bottom w:val="nil"/>
            </w:tcBorders>
            <w:shd w:val="clear" w:color="auto" w:fill="E7E6E6" w:themeFill="background2"/>
            <w:noWrap/>
            <w:hideMark/>
          </w:tcPr>
          <w:p w14:paraId="62DC9038"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1,0%</w:t>
            </w:r>
          </w:p>
        </w:tc>
        <w:tc>
          <w:tcPr>
            <w:tcW w:w="569" w:type="pct"/>
            <w:tcBorders>
              <w:top w:val="nil"/>
              <w:bottom w:val="nil"/>
            </w:tcBorders>
            <w:shd w:val="clear" w:color="auto" w:fill="E7E6E6" w:themeFill="background2"/>
            <w:noWrap/>
            <w:hideMark/>
          </w:tcPr>
          <w:p w14:paraId="4295AA35"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1,0%</w:t>
            </w:r>
          </w:p>
        </w:tc>
        <w:tc>
          <w:tcPr>
            <w:tcW w:w="569" w:type="pct"/>
            <w:tcBorders>
              <w:top w:val="nil"/>
              <w:bottom w:val="nil"/>
            </w:tcBorders>
            <w:shd w:val="clear" w:color="auto" w:fill="E7E6E6" w:themeFill="background2"/>
            <w:noWrap/>
            <w:hideMark/>
          </w:tcPr>
          <w:p w14:paraId="02AF8262"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1,0%</w:t>
            </w:r>
          </w:p>
        </w:tc>
        <w:tc>
          <w:tcPr>
            <w:tcW w:w="569" w:type="pct"/>
            <w:tcBorders>
              <w:top w:val="nil"/>
              <w:bottom w:val="nil"/>
            </w:tcBorders>
            <w:shd w:val="clear" w:color="auto" w:fill="E7E6E6" w:themeFill="background2"/>
            <w:noWrap/>
            <w:hideMark/>
          </w:tcPr>
          <w:p w14:paraId="222995E3"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1,0%</w:t>
            </w:r>
          </w:p>
        </w:tc>
      </w:tr>
      <w:tr w:rsidR="00BB2F03" w:rsidRPr="00DE058F" w14:paraId="69949FB4" w14:textId="77777777" w:rsidTr="00C91F83">
        <w:trPr>
          <w:trHeight w:val="20"/>
        </w:trPr>
        <w:tc>
          <w:tcPr>
            <w:tcW w:w="2724" w:type="pct"/>
            <w:tcBorders>
              <w:top w:val="nil"/>
              <w:left w:val="nil"/>
              <w:bottom w:val="single" w:sz="4" w:space="0" w:color="002060"/>
              <w:right w:val="nil"/>
            </w:tcBorders>
            <w:hideMark/>
          </w:tcPr>
          <w:p w14:paraId="1CFD0714" w14:textId="77777777" w:rsidR="00BB2F03" w:rsidRPr="00DE058F" w:rsidRDefault="00BB2F03" w:rsidP="00C91F83">
            <w:pPr>
              <w:spacing w:line="240" w:lineRule="auto"/>
              <w:rPr>
                <w:rFonts w:ascii="Calibri" w:hAnsi="Calibri" w:cs="Calibri"/>
                <w:bCs/>
                <w:color w:val="002060"/>
                <w:sz w:val="18"/>
                <w:szCs w:val="18"/>
                <w:lang w:val="sr-Cyrl-CS"/>
              </w:rPr>
            </w:pPr>
            <w:r w:rsidRPr="00DE058F">
              <w:rPr>
                <w:rFonts w:ascii="Calibri" w:hAnsi="Calibri" w:cs="Calibri"/>
                <w:bCs/>
                <w:color w:val="002060"/>
                <w:sz w:val="18"/>
                <w:szCs w:val="18"/>
                <w:lang w:val="sr-Cyrl-CS"/>
              </w:rPr>
              <w:t>Дуг опште државе, у % БДП</w:t>
            </w:r>
          </w:p>
        </w:tc>
        <w:tc>
          <w:tcPr>
            <w:tcW w:w="569" w:type="pct"/>
            <w:tcBorders>
              <w:top w:val="nil"/>
              <w:left w:val="nil"/>
              <w:bottom w:val="single" w:sz="4" w:space="0" w:color="002060"/>
              <w:right w:val="nil"/>
            </w:tcBorders>
            <w:noWrap/>
            <w:hideMark/>
          </w:tcPr>
          <w:p w14:paraId="320551D3"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54,6%</w:t>
            </w:r>
          </w:p>
        </w:tc>
        <w:tc>
          <w:tcPr>
            <w:tcW w:w="569" w:type="pct"/>
            <w:tcBorders>
              <w:top w:val="nil"/>
              <w:left w:val="nil"/>
              <w:bottom w:val="single" w:sz="4" w:space="0" w:color="002060"/>
              <w:right w:val="nil"/>
            </w:tcBorders>
            <w:noWrap/>
            <w:hideMark/>
          </w:tcPr>
          <w:p w14:paraId="1120D10A"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53,1%</w:t>
            </w:r>
          </w:p>
        </w:tc>
        <w:tc>
          <w:tcPr>
            <w:tcW w:w="569" w:type="pct"/>
            <w:tcBorders>
              <w:top w:val="nil"/>
              <w:left w:val="nil"/>
              <w:bottom w:val="single" w:sz="4" w:space="0" w:color="002060"/>
              <w:right w:val="nil"/>
            </w:tcBorders>
            <w:noWrap/>
            <w:hideMark/>
          </w:tcPr>
          <w:p w14:paraId="330027C1"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52,0%</w:t>
            </w:r>
          </w:p>
        </w:tc>
        <w:tc>
          <w:tcPr>
            <w:tcW w:w="569" w:type="pct"/>
            <w:tcBorders>
              <w:top w:val="nil"/>
              <w:left w:val="nil"/>
              <w:bottom w:val="single" w:sz="4" w:space="0" w:color="002060"/>
              <w:right w:val="nil"/>
            </w:tcBorders>
            <w:noWrap/>
            <w:hideMark/>
          </w:tcPr>
          <w:p w14:paraId="2801D6A7" w14:textId="77777777" w:rsidR="00BB2F03" w:rsidRPr="00DE058F" w:rsidRDefault="00BB2F03" w:rsidP="00C91F83">
            <w:pPr>
              <w:spacing w:line="240" w:lineRule="auto"/>
              <w:jc w:val="right"/>
              <w:rPr>
                <w:rFonts w:ascii="Calibri" w:hAnsi="Calibri" w:cs="Calibri"/>
                <w:bCs/>
                <w:color w:val="002060"/>
                <w:sz w:val="18"/>
                <w:szCs w:val="18"/>
                <w:lang w:val="sr-Cyrl-CS"/>
              </w:rPr>
            </w:pPr>
            <w:r w:rsidRPr="00DE058F">
              <w:rPr>
                <w:rFonts w:ascii="Calibri" w:hAnsi="Calibri" w:cs="Calibri"/>
                <w:bCs/>
                <w:color w:val="002060"/>
                <w:sz w:val="18"/>
                <w:szCs w:val="18"/>
                <w:lang w:val="sr-Cyrl-CS"/>
              </w:rPr>
              <w:t>50,7%</w:t>
            </w:r>
          </w:p>
        </w:tc>
      </w:tr>
    </w:tbl>
    <w:p w14:paraId="05BFB0D5" w14:textId="77777777" w:rsidR="00BB2F03" w:rsidRPr="00DE058F" w:rsidRDefault="00BB2F03" w:rsidP="00C91F83">
      <w:pPr>
        <w:spacing w:after="240" w:line="240" w:lineRule="auto"/>
        <w:rPr>
          <w:rFonts w:ascii="Calibri" w:eastAsia="Calibri" w:hAnsi="Calibri" w:cs="Calibri"/>
          <w:bCs/>
          <w:sz w:val="18"/>
          <w:szCs w:val="18"/>
          <w:lang w:val="sr-Cyrl-CS"/>
        </w:rPr>
        <w:sectPr w:rsidR="00BB2F03" w:rsidRPr="00DE058F">
          <w:type w:val="continuous"/>
          <w:pgSz w:w="12240" w:h="15840"/>
          <w:pgMar w:top="1440" w:right="1440" w:bottom="1440" w:left="1440" w:header="720" w:footer="720" w:gutter="0"/>
          <w:cols w:space="720"/>
        </w:sectPr>
      </w:pPr>
      <w:r w:rsidRPr="00DE058F">
        <w:rPr>
          <w:rFonts w:ascii="Calibri" w:eastAsia="Calibri" w:hAnsi="Calibri" w:cs="Calibri"/>
          <w:bCs/>
          <w:sz w:val="18"/>
          <w:szCs w:val="18"/>
          <w:lang w:val="sr-Cyrl-CS"/>
        </w:rPr>
        <w:t>*</w:t>
      </w:r>
      <w:r w:rsidRPr="00DE058F">
        <w:rPr>
          <w:lang w:val="sr-Cyrl-CS"/>
        </w:rPr>
        <w:t xml:space="preserve"> </w:t>
      </w:r>
      <w:r w:rsidRPr="00DE058F">
        <w:rPr>
          <w:rFonts w:ascii="Calibri" w:eastAsia="Calibri" w:hAnsi="Calibri" w:cs="Calibri"/>
          <w:bCs/>
          <w:sz w:val="18"/>
          <w:szCs w:val="18"/>
          <w:lang w:val="sr-Cyrl-CS"/>
        </w:rPr>
        <w:t>и осталог сектора државе</w:t>
      </w:r>
    </w:p>
    <w:p w14:paraId="25EF9932" w14:textId="77777777" w:rsidR="00BB2F03" w:rsidRPr="00DE058F" w:rsidRDefault="00BB2F03" w:rsidP="00C91F83">
      <w:pPr>
        <w:rPr>
          <w:rFonts w:ascii="Calibri" w:eastAsia="Calibri" w:hAnsi="Calibri" w:cs="Calibri"/>
          <w:bCs/>
          <w:spacing w:val="-2"/>
          <w:szCs w:val="72"/>
          <w:lang w:val="sr-Cyrl-CS"/>
        </w:rPr>
      </w:pPr>
      <w:r w:rsidRPr="00DE058F">
        <w:rPr>
          <w:rFonts w:ascii="Calibri" w:eastAsia="Calibri" w:hAnsi="Calibri" w:cs="Calibri"/>
          <w:bCs/>
          <w:spacing w:val="-2"/>
          <w:szCs w:val="72"/>
          <w:lang w:val="sr-Cyrl-CS"/>
        </w:rPr>
        <w:t xml:space="preserve">У 2022. години очекује се пад рација учешћа јавног дуга општег нивоа државе у БДП на 54,6%. У наредним годинама се очекује даљи пад рација, који би у основном сценарију требало на крају 2023. године да износи 53,1%, на крају 2024. године 52,0%, а на крају 2025. године 50,7%. У датом периоду се очекује реализација великих инфраструктурних пројеката који ће бити финансирани углавном из пројектних зајмова, те њихова интензивнија реализација у односу на претходни период. Ово је управо једна од тачака где се може видети јасна координација фискалних и развојних циљева. Води се рачуна о одрживости јавног дуга и постепеном паду његовог учешћа у БДП, уз истовремено коришћење новог задуживања за побољшање инфраструктурних </w:t>
      </w:r>
      <w:r w:rsidRPr="00DE058F">
        <w:rPr>
          <w:rFonts w:ascii="Calibri" w:eastAsia="Calibri" w:hAnsi="Calibri" w:cs="Calibri"/>
          <w:bCs/>
          <w:spacing w:val="-2"/>
          <w:szCs w:val="72"/>
          <w:lang w:val="sr-Cyrl-CS"/>
        </w:rPr>
        <w:t>услова који доводе до раста БДП, животног стандарда и нових инвестиција. Предвиђа се да ће негарантовани дуг јединица локалне самоуправе и осталог сектора државе у наредном периоду бити на релативно стабилном нивоу од око 1,0% БДП.</w:t>
      </w:r>
    </w:p>
    <w:p w14:paraId="73D4E761" w14:textId="77777777" w:rsidR="00BB2F03" w:rsidRPr="00DE058F" w:rsidRDefault="00BB2F03" w:rsidP="00C91F83">
      <w:pPr>
        <w:spacing w:line="256" w:lineRule="auto"/>
        <w:rPr>
          <w:rFonts w:ascii="Calibri" w:eastAsia="Calibri" w:hAnsi="Calibri" w:cs="Times New Roman"/>
          <w:b/>
          <w:color w:val="2F5496" w:themeColor="accent1" w:themeShade="BF"/>
          <w:sz w:val="22"/>
          <w:lang w:val="sr-Cyrl-CS"/>
        </w:rPr>
      </w:pPr>
      <w:r w:rsidRPr="00DE058F">
        <w:rPr>
          <w:rFonts w:ascii="Calibri" w:eastAsia="Calibri" w:hAnsi="Calibri" w:cs="Times New Roman"/>
          <w:b/>
          <w:color w:val="2F5496" w:themeColor="accent1" w:themeShade="BF"/>
          <w:sz w:val="22"/>
          <w:lang w:val="sr-Cyrl-CS"/>
        </w:rPr>
        <w:t>Принципи управљања јавним дугом</w:t>
      </w:r>
    </w:p>
    <w:p w14:paraId="49BD7ABC"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Према Закону о јавном дугу, примарни циљ задуживања Републике Србије и управљања јавним дугом је обезбеђивање средстава за редовно сервисирање буџетских потреба по најповољнијим условима и трошковима финансирања уз прихватљив ниво ризика. На основу тога, Стратегија управљања јавним дугом Републике Србије дефинише следеће опште циљеве и принципе:</w:t>
      </w:r>
    </w:p>
    <w:p w14:paraId="051A59F0"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lastRenderedPageBreak/>
        <w:t>1) Осигурати финансирање фискалног дефицита и редовно сервисирање обавеза по основу јавног дуга Републике Србије;</w:t>
      </w:r>
    </w:p>
    <w:p w14:paraId="5EF90548"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2) Дефинисати прихватљив ниво ризика који треба да буде одређен у условима циљане структуре портфолија дуга у смислу валутне структуре дуга, структуре каматних стопа, структуре рочности и структуре дуга према инструментима;</w:t>
      </w:r>
    </w:p>
    <w:p w14:paraId="124C84BC"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3) Наставити развој тржишта државних хартија од вредности које се емитују на домаћем и међународном тржишту, што би помогло у смањењу трошкова задуживања у средњем и дугом року;</w:t>
      </w:r>
    </w:p>
    <w:p w14:paraId="1C8CD127"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4) Омогућити транспарентност и предвидивост процеса задуживања.</w:t>
      </w:r>
    </w:p>
    <w:p w14:paraId="61408920"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Стратегија управљања јавним дугом конзистентна је са општим средњорочним макроекономским и фискалним оквиром.</w:t>
      </w:r>
    </w:p>
    <w:p w14:paraId="03D9872A" w14:textId="77777777" w:rsidR="00BB2F03" w:rsidRPr="00DE058F" w:rsidRDefault="00BB2F03" w:rsidP="00C91F83">
      <w:pPr>
        <w:rPr>
          <w:rFonts w:ascii="Calibri" w:eastAsia="Calibri" w:hAnsi="Calibri" w:cs="Calibri"/>
          <w:bCs/>
          <w:spacing w:val="-2"/>
          <w:szCs w:val="72"/>
          <w:lang w:val="sr-Cyrl-CS"/>
        </w:rPr>
      </w:pPr>
      <w:r w:rsidRPr="00DE058F">
        <w:rPr>
          <w:rFonts w:ascii="Calibri" w:eastAsia="Calibri" w:hAnsi="Calibri" w:cs="Calibri"/>
          <w:bCs/>
          <w:spacing w:val="-2"/>
          <w:szCs w:val="72"/>
          <w:lang w:val="sr-Cyrl-CS"/>
        </w:rPr>
        <w:t>Стратегија управљања јавним дугом у наредном средњорочном периоду базира се на финансирању дефицита и главнице дуга буџета Републике Србије путем емисија државних хартија од вредности на домаћем и међународном тржишту капитала како би било испуњено редовно сервисирање обавеза. Флексибилност ће се огледати у домену избора тржишта на коме ће се вршити задуживање, валуте задуживања и инструмената финансирања. Избор структуре финансирања узимаће у обзир тренутно стање и тренд развоја домаћег и међународног финансијског тржишта (ниво каматних стопа, премије ризика, криву приноса, девизне курсеве референтних валута) и прихватљив ниво изложености финансијским ризицима.</w:t>
      </w:r>
    </w:p>
    <w:p w14:paraId="4B23175F"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 xml:space="preserve">Циљ је да се у наредном дугорочном периоду финансирање обавља пре свега емитовањем динарских хартија од вредности на домаћем тржишту. Део финансирања може бити обезбеђен и на међународном финансијском тржишту у средњорочном периоду. Успостављање </w:t>
      </w:r>
      <w:r w:rsidRPr="00DE058F">
        <w:rPr>
          <w:rFonts w:ascii="Calibri" w:eastAsia="Calibri" w:hAnsi="Calibri" w:cs="Calibri"/>
          <w:bCs/>
          <w:i/>
          <w:szCs w:val="72"/>
          <w:lang w:val="sr-Cyrl-CS"/>
        </w:rPr>
        <w:t>GMTN</w:t>
      </w:r>
      <w:r w:rsidRPr="00DE058F">
        <w:rPr>
          <w:rFonts w:ascii="Calibri" w:eastAsia="Calibri" w:hAnsi="Calibri" w:cs="Calibri"/>
          <w:bCs/>
          <w:szCs w:val="72"/>
          <w:lang w:val="sr-Cyrl-CS"/>
        </w:rPr>
        <w:t xml:space="preserve"> програма у 2020. години омогућило је флексибилност у избору финансирања и бржи приступ финансирању на међунарoдном тржишту.</w:t>
      </w:r>
    </w:p>
    <w:p w14:paraId="1C446B6F"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 xml:space="preserve">Позајмљивање у страној валути, као нпр. у америчким доларима, за собом повлачи и девизни ризик услед промене курсa евро – </w:t>
      </w:r>
      <w:r w:rsidRPr="00DE058F">
        <w:rPr>
          <w:rFonts w:ascii="Calibri" w:eastAsia="Calibri" w:hAnsi="Calibri" w:cs="Calibri"/>
          <w:bCs/>
          <w:szCs w:val="72"/>
          <w:lang w:val="sr-Cyrl-CS"/>
        </w:rPr>
        <w:t>амерички долар, те ће се из тог разлога користити могућност хеџинга.</w:t>
      </w:r>
    </w:p>
    <w:p w14:paraId="07DA4596"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Политика управљања јавним дугом мора да узме у обзир дугорочну перспективу, али се одлука о финансирању буџетских издатака мора доносити годишње. Одлука о годишњем задуживању се доноси у оквиру Закона о буџету за одређену фискалну годину. У зависности од промене основних фискалних агрегата могућа је корекција плана задуживања током фискалне године.</w:t>
      </w:r>
    </w:p>
    <w:p w14:paraId="5BAC512D" w14:textId="77777777" w:rsidR="00BB2F03" w:rsidRPr="00DE058F" w:rsidRDefault="00BB2F03" w:rsidP="00C91F83">
      <w:pPr>
        <w:spacing w:line="256" w:lineRule="auto"/>
        <w:rPr>
          <w:rFonts w:ascii="Calibri" w:eastAsia="Calibri" w:hAnsi="Calibri" w:cs="Times New Roman"/>
          <w:b/>
          <w:color w:val="2F5496" w:themeColor="accent1" w:themeShade="BF"/>
          <w:sz w:val="22"/>
          <w:lang w:val="sr-Cyrl-CS"/>
        </w:rPr>
      </w:pPr>
      <w:r w:rsidRPr="00DE058F">
        <w:rPr>
          <w:rFonts w:ascii="Calibri" w:eastAsia="Calibri" w:hAnsi="Calibri" w:cs="Times New Roman"/>
          <w:b/>
          <w:color w:val="2F5496" w:themeColor="accent1" w:themeShade="BF"/>
          <w:sz w:val="22"/>
          <w:lang w:val="sr-Cyrl-CS"/>
        </w:rPr>
        <w:t>Финансијски ризици и мере за управљање финансијским ризицима</w:t>
      </w:r>
    </w:p>
    <w:p w14:paraId="7CB30256"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Утицај финансијских и фискалних ризика може довести до већег раста јавног дуга него што предвиђа основни сценарио. Ризици који су присутни и који могу да доведу до раста задужености и трошкова сервисирања јавног дуга су: ризик рефинансирања, девизни ризик, тржишни ризик (ризик каматних стопа, ризик инфлације), ризик ликвидности, кредитни и оперативни ризици и ризици везани за дистрибуцију трошкова сервисирања (структура дуга, концентрација обавеза).</w:t>
      </w:r>
    </w:p>
    <w:p w14:paraId="7A6D9905" w14:textId="77777777" w:rsidR="00BB2F03" w:rsidRPr="00DE058F" w:rsidRDefault="00BB2F03" w:rsidP="00C91F83">
      <w:pPr>
        <w:spacing w:after="120"/>
        <w:rPr>
          <w:rFonts w:ascii="Calibri" w:eastAsia="Calibri" w:hAnsi="Calibri" w:cs="Calibri"/>
          <w:bCs/>
          <w:szCs w:val="72"/>
          <w:lang w:val="sr-Cyrl-CS"/>
        </w:rPr>
      </w:pPr>
      <w:r w:rsidRPr="00DE058F">
        <w:rPr>
          <w:rFonts w:ascii="Calibri" w:eastAsia="Calibri" w:hAnsi="Calibri" w:cs="Calibri"/>
          <w:bCs/>
          <w:szCs w:val="72"/>
          <w:lang w:val="sr-Cyrl-CS"/>
        </w:rPr>
        <w:t>У циљу смањења изложености финансијским ризицима потребно је спроводити следеће мере:</w:t>
      </w:r>
    </w:p>
    <w:p w14:paraId="599457B7" w14:textId="77777777" w:rsidR="00BB2F03" w:rsidRPr="00DE058F" w:rsidRDefault="00BB2F03" w:rsidP="00C91F83">
      <w:pPr>
        <w:spacing w:after="60"/>
        <w:rPr>
          <w:rFonts w:ascii="Calibri" w:eastAsia="Calibri" w:hAnsi="Calibri" w:cs="Calibri"/>
          <w:bCs/>
          <w:szCs w:val="72"/>
          <w:lang w:val="sr-Cyrl-CS"/>
        </w:rPr>
      </w:pPr>
      <w:r w:rsidRPr="00DE058F">
        <w:rPr>
          <w:rFonts w:ascii="Calibri" w:eastAsia="Calibri" w:hAnsi="Calibri" w:cs="Calibri"/>
          <w:bCs/>
          <w:szCs w:val="72"/>
          <w:lang w:val="sr-Cyrl-CS"/>
        </w:rPr>
        <w:t>1. ризик рефинансирања</w:t>
      </w:r>
    </w:p>
    <w:p w14:paraId="2AF5EDE9" w14:textId="77777777" w:rsidR="00BB2F03" w:rsidRPr="00DE058F" w:rsidRDefault="00BB2F03" w:rsidP="00DB0157">
      <w:pPr>
        <w:numPr>
          <w:ilvl w:val="0"/>
          <w:numId w:val="8"/>
        </w:numPr>
        <w:ind w:left="180" w:hanging="180"/>
        <w:contextualSpacing/>
        <w:rPr>
          <w:rFonts w:ascii="Calibri" w:eastAsia="Calibri" w:hAnsi="Calibri" w:cs="Calibri"/>
          <w:bCs/>
          <w:szCs w:val="72"/>
          <w:lang w:val="sr-Cyrl-CS"/>
        </w:rPr>
      </w:pPr>
      <w:r w:rsidRPr="00DE058F">
        <w:rPr>
          <w:rFonts w:ascii="Calibri" w:eastAsia="Calibri" w:hAnsi="Calibri" w:cs="Calibri"/>
          <w:bCs/>
          <w:szCs w:val="72"/>
          <w:lang w:val="sr-Cyrl-CS"/>
        </w:rPr>
        <w:t>повећање учешћа средњорочних и дугорочних финансијских инструмената деноминованих у динарима на домаћем финансијском тржишту;</w:t>
      </w:r>
    </w:p>
    <w:p w14:paraId="37B4C2BC" w14:textId="77777777" w:rsidR="00BB2F03" w:rsidRPr="00DE058F" w:rsidRDefault="00BB2F03" w:rsidP="00DB0157">
      <w:pPr>
        <w:numPr>
          <w:ilvl w:val="0"/>
          <w:numId w:val="8"/>
        </w:numPr>
        <w:ind w:left="180" w:hanging="180"/>
        <w:contextualSpacing/>
        <w:rPr>
          <w:rFonts w:ascii="Calibri" w:eastAsia="Calibri" w:hAnsi="Calibri" w:cs="Calibri"/>
          <w:bCs/>
          <w:szCs w:val="72"/>
          <w:lang w:val="sr-Cyrl-CS"/>
        </w:rPr>
      </w:pPr>
      <w:r w:rsidRPr="00DE058F">
        <w:rPr>
          <w:rFonts w:ascii="Calibri" w:eastAsia="Calibri" w:hAnsi="Calibri" w:cs="Calibri"/>
          <w:bCs/>
          <w:szCs w:val="72"/>
          <w:lang w:val="sr-Cyrl-CS"/>
        </w:rPr>
        <w:t>равномерна расподела обавеза по основу јавног дуга на годишњем нивоу у наредном дугорочном периоду;</w:t>
      </w:r>
    </w:p>
    <w:p w14:paraId="2C9F7DE4" w14:textId="77777777" w:rsidR="00BB2F03" w:rsidRPr="00DE058F" w:rsidRDefault="00BB2F03" w:rsidP="00DB0157">
      <w:pPr>
        <w:numPr>
          <w:ilvl w:val="0"/>
          <w:numId w:val="8"/>
        </w:numPr>
        <w:spacing w:after="120"/>
        <w:ind w:left="181" w:hanging="181"/>
        <w:rPr>
          <w:rFonts w:ascii="Calibri" w:eastAsia="Calibri" w:hAnsi="Calibri" w:cs="Calibri"/>
          <w:bCs/>
          <w:szCs w:val="72"/>
          <w:lang w:val="sr-Cyrl-CS"/>
        </w:rPr>
      </w:pPr>
      <w:r w:rsidRPr="00DE058F">
        <w:rPr>
          <w:rFonts w:ascii="Calibri" w:eastAsia="Calibri" w:hAnsi="Calibri" w:cs="Calibri"/>
          <w:bCs/>
          <w:szCs w:val="72"/>
          <w:lang w:val="sr-Cyrl-CS"/>
        </w:rPr>
        <w:t>продужавање просечне рочности дуга који се емитује у хартијама од вредности;</w:t>
      </w:r>
    </w:p>
    <w:p w14:paraId="7DAD5443" w14:textId="77777777" w:rsidR="00BB2F03" w:rsidRPr="00DE058F" w:rsidRDefault="00BB2F03" w:rsidP="00C91F83">
      <w:pPr>
        <w:spacing w:after="60"/>
        <w:rPr>
          <w:rFonts w:ascii="Calibri" w:eastAsia="Calibri" w:hAnsi="Calibri" w:cs="Calibri"/>
          <w:bCs/>
          <w:szCs w:val="72"/>
          <w:lang w:val="sr-Cyrl-CS"/>
        </w:rPr>
      </w:pPr>
      <w:r w:rsidRPr="00DE058F">
        <w:rPr>
          <w:rFonts w:ascii="Calibri" w:eastAsia="Calibri" w:hAnsi="Calibri" w:cs="Calibri"/>
          <w:bCs/>
          <w:szCs w:val="72"/>
          <w:lang w:val="sr-Cyrl-CS"/>
        </w:rPr>
        <w:t>2. девизни ризик</w:t>
      </w:r>
    </w:p>
    <w:p w14:paraId="7D8696A2" w14:textId="77777777" w:rsidR="00BB2F03" w:rsidRPr="00DE058F" w:rsidRDefault="00BB2F03" w:rsidP="00DB0157">
      <w:pPr>
        <w:numPr>
          <w:ilvl w:val="1"/>
          <w:numId w:val="9"/>
        </w:numPr>
        <w:ind w:left="180" w:hanging="180"/>
        <w:contextualSpacing/>
        <w:rPr>
          <w:rFonts w:ascii="Calibri" w:eastAsia="Calibri" w:hAnsi="Calibri" w:cs="Calibri"/>
          <w:bCs/>
          <w:szCs w:val="72"/>
          <w:lang w:val="sr-Cyrl-CS"/>
        </w:rPr>
      </w:pPr>
      <w:r w:rsidRPr="00DE058F">
        <w:rPr>
          <w:rFonts w:ascii="Calibri" w:eastAsia="Calibri" w:hAnsi="Calibri" w:cs="Calibri"/>
          <w:bCs/>
          <w:szCs w:val="72"/>
          <w:lang w:val="sr-Cyrl-CS"/>
        </w:rPr>
        <w:t>настојање да се смањи учешће дуга деноминованог у ино-валути уз уважавање трошкова новог дуга (трошкови динаризације дуга);</w:t>
      </w:r>
    </w:p>
    <w:p w14:paraId="2F4DAE47" w14:textId="77777777" w:rsidR="00BB2F03" w:rsidRPr="00DE058F" w:rsidRDefault="00BB2F03" w:rsidP="00DB0157">
      <w:pPr>
        <w:numPr>
          <w:ilvl w:val="1"/>
          <w:numId w:val="9"/>
        </w:numPr>
        <w:ind w:left="180" w:hanging="180"/>
        <w:contextualSpacing/>
        <w:rPr>
          <w:rFonts w:ascii="Calibri" w:eastAsia="Calibri" w:hAnsi="Calibri" w:cs="Calibri"/>
          <w:bCs/>
          <w:szCs w:val="72"/>
          <w:lang w:val="sr-Cyrl-CS"/>
        </w:rPr>
      </w:pPr>
      <w:r w:rsidRPr="00DE058F">
        <w:rPr>
          <w:rFonts w:ascii="Calibri" w:eastAsia="Calibri" w:hAnsi="Calibri" w:cs="Calibri"/>
          <w:bCs/>
          <w:szCs w:val="72"/>
          <w:lang w:val="sr-Cyrl-CS"/>
        </w:rPr>
        <w:t>коришћење финансијских деривата у циљу лимитирања ефеката промене курсева референтних валута;</w:t>
      </w:r>
    </w:p>
    <w:p w14:paraId="5223A326" w14:textId="77777777" w:rsidR="00BB2F03" w:rsidRPr="00DE058F" w:rsidRDefault="00BB2F03" w:rsidP="00DB0157">
      <w:pPr>
        <w:numPr>
          <w:ilvl w:val="1"/>
          <w:numId w:val="9"/>
        </w:numPr>
        <w:spacing w:after="120"/>
        <w:ind w:left="181" w:hanging="181"/>
        <w:rPr>
          <w:rFonts w:ascii="Calibri" w:eastAsia="Calibri" w:hAnsi="Calibri" w:cs="Calibri"/>
          <w:bCs/>
          <w:szCs w:val="72"/>
          <w:lang w:val="sr-Cyrl-CS"/>
        </w:rPr>
      </w:pPr>
      <w:r w:rsidRPr="00DE058F">
        <w:rPr>
          <w:rFonts w:ascii="Calibri" w:eastAsia="Calibri" w:hAnsi="Calibri" w:cs="Calibri"/>
          <w:bCs/>
          <w:szCs w:val="72"/>
          <w:lang w:val="sr-Cyrl-CS"/>
        </w:rPr>
        <w:t xml:space="preserve">настојање да спољни дуг буде углавном у еврима и да се доларски дуг користи само ако је финансирање на међународном тржишту у </w:t>
      </w:r>
      <w:r w:rsidRPr="00DE058F">
        <w:rPr>
          <w:rFonts w:ascii="Calibri" w:eastAsia="Calibri" w:hAnsi="Calibri" w:cs="Calibri"/>
          <w:bCs/>
          <w:szCs w:val="72"/>
          <w:lang w:val="sr-Cyrl-CS"/>
        </w:rPr>
        <w:lastRenderedPageBreak/>
        <w:t>доларима јефтиније уз коришћење финансијских деривата за лимитирање ризика;</w:t>
      </w:r>
    </w:p>
    <w:p w14:paraId="3C36BBFA" w14:textId="77777777" w:rsidR="00BB2F03" w:rsidRPr="00DE058F" w:rsidRDefault="00BB2F03" w:rsidP="00C91F83">
      <w:pPr>
        <w:spacing w:after="60"/>
        <w:rPr>
          <w:rFonts w:ascii="Calibri" w:eastAsia="Calibri" w:hAnsi="Calibri" w:cs="Calibri"/>
          <w:bCs/>
          <w:szCs w:val="72"/>
          <w:lang w:val="sr-Cyrl-CS"/>
        </w:rPr>
      </w:pPr>
      <w:r w:rsidRPr="00DE058F">
        <w:rPr>
          <w:rFonts w:ascii="Calibri" w:eastAsia="Calibri" w:hAnsi="Calibri" w:cs="Calibri"/>
          <w:bCs/>
          <w:szCs w:val="72"/>
          <w:lang w:val="sr-Cyrl-CS"/>
        </w:rPr>
        <w:t>3. тржишни ризик (ризик каматних стопа, ризик инфлације)</w:t>
      </w:r>
    </w:p>
    <w:p w14:paraId="1AD63120" w14:textId="77777777" w:rsidR="00BB2F03" w:rsidRPr="00DE058F" w:rsidRDefault="00BB2F03" w:rsidP="00DB0157">
      <w:pPr>
        <w:numPr>
          <w:ilvl w:val="1"/>
          <w:numId w:val="10"/>
        </w:numPr>
        <w:ind w:left="180" w:hanging="180"/>
        <w:contextualSpacing/>
        <w:rPr>
          <w:rFonts w:ascii="Calibri" w:eastAsia="Calibri" w:hAnsi="Calibri" w:cs="Calibri"/>
          <w:bCs/>
          <w:szCs w:val="72"/>
          <w:lang w:val="sr-Cyrl-CS"/>
        </w:rPr>
      </w:pPr>
      <w:r w:rsidRPr="00DE058F">
        <w:rPr>
          <w:rFonts w:ascii="Calibri" w:eastAsia="Calibri" w:hAnsi="Calibri" w:cs="Calibri"/>
          <w:bCs/>
          <w:szCs w:val="72"/>
          <w:lang w:val="sr-Cyrl-CS"/>
        </w:rPr>
        <w:t>настојање да се продужи просечна рочност домаћег дуга у динарима;</w:t>
      </w:r>
    </w:p>
    <w:p w14:paraId="26276128" w14:textId="77777777" w:rsidR="00BB2F03" w:rsidRPr="00DE058F" w:rsidRDefault="00BB2F03" w:rsidP="00DB0157">
      <w:pPr>
        <w:numPr>
          <w:ilvl w:val="1"/>
          <w:numId w:val="10"/>
        </w:numPr>
        <w:spacing w:after="120"/>
        <w:ind w:left="181" w:hanging="181"/>
        <w:rPr>
          <w:rFonts w:ascii="Calibri" w:eastAsia="Calibri" w:hAnsi="Calibri" w:cs="Calibri"/>
          <w:bCs/>
          <w:szCs w:val="72"/>
          <w:lang w:val="sr-Cyrl-CS"/>
        </w:rPr>
      </w:pPr>
      <w:r w:rsidRPr="00DE058F">
        <w:rPr>
          <w:rFonts w:ascii="Calibri" w:eastAsia="Calibri" w:hAnsi="Calibri" w:cs="Calibri"/>
          <w:bCs/>
          <w:szCs w:val="72"/>
          <w:lang w:val="sr-Cyrl-CS"/>
        </w:rPr>
        <w:t>настојање да ризик по основу каматних стопа на спољни дуг не угрожава дугорочни циљ минимизације трошкова јавног дуга;</w:t>
      </w:r>
    </w:p>
    <w:p w14:paraId="4FC70EC7" w14:textId="77777777" w:rsidR="00BB2F03" w:rsidRPr="00DE058F" w:rsidRDefault="00BB2F03" w:rsidP="00C91F83">
      <w:pPr>
        <w:spacing w:after="60"/>
        <w:rPr>
          <w:rFonts w:ascii="Calibri" w:eastAsia="Calibri" w:hAnsi="Calibri" w:cs="Calibri"/>
          <w:bCs/>
          <w:szCs w:val="72"/>
          <w:lang w:val="sr-Cyrl-CS"/>
        </w:rPr>
      </w:pPr>
      <w:r w:rsidRPr="00DE058F">
        <w:rPr>
          <w:rFonts w:ascii="Calibri" w:eastAsia="Calibri" w:hAnsi="Calibri" w:cs="Calibri"/>
          <w:bCs/>
          <w:szCs w:val="72"/>
          <w:lang w:val="sr-Cyrl-CS"/>
        </w:rPr>
        <w:t>4. ризик ликвидности</w:t>
      </w:r>
    </w:p>
    <w:p w14:paraId="228EBA91" w14:textId="77777777" w:rsidR="00BB2F03" w:rsidRPr="00DE058F" w:rsidRDefault="00BB2F03" w:rsidP="00DB0157">
      <w:pPr>
        <w:numPr>
          <w:ilvl w:val="1"/>
          <w:numId w:val="11"/>
        </w:numPr>
        <w:ind w:left="180" w:hanging="180"/>
        <w:contextualSpacing/>
        <w:rPr>
          <w:rFonts w:ascii="Calibri" w:eastAsia="Calibri" w:hAnsi="Calibri" w:cs="Calibri"/>
          <w:bCs/>
          <w:szCs w:val="72"/>
          <w:lang w:val="sr-Cyrl-CS"/>
        </w:rPr>
      </w:pPr>
      <w:r w:rsidRPr="00DE058F">
        <w:rPr>
          <w:rFonts w:ascii="Calibri" w:eastAsia="Calibri" w:hAnsi="Calibri" w:cs="Calibri"/>
          <w:bCs/>
          <w:szCs w:val="72"/>
          <w:lang w:val="sr-Cyrl-CS"/>
        </w:rPr>
        <w:t>перманентно одржавање нивоа готовине на рачунима Републике Србије на нивоу који омогућава несметано финансирање обавеза у минимуму од четири месеца и на нивоу који омогућава апсорпцију евентуалних мањих прилива по основу задуживања у односу на план;</w:t>
      </w:r>
    </w:p>
    <w:p w14:paraId="58981116" w14:textId="77777777" w:rsidR="00BB2F03" w:rsidRPr="00DE058F" w:rsidRDefault="00BB2F03" w:rsidP="00DB0157">
      <w:pPr>
        <w:numPr>
          <w:ilvl w:val="1"/>
          <w:numId w:val="11"/>
        </w:numPr>
        <w:spacing w:after="120"/>
        <w:ind w:left="181" w:hanging="181"/>
        <w:rPr>
          <w:rFonts w:ascii="Calibri" w:eastAsia="Calibri" w:hAnsi="Calibri" w:cs="Calibri"/>
          <w:bCs/>
          <w:szCs w:val="72"/>
          <w:lang w:val="sr-Cyrl-CS"/>
        </w:rPr>
      </w:pPr>
      <w:r w:rsidRPr="00DE058F">
        <w:rPr>
          <w:rFonts w:ascii="Calibri" w:eastAsia="Calibri" w:hAnsi="Calibri" w:cs="Calibri"/>
          <w:bCs/>
          <w:szCs w:val="72"/>
          <w:lang w:val="sr-Cyrl-CS"/>
        </w:rPr>
        <w:t>адекватно управљање слободним готовинским средствима на рачунима Републике Србије у складу са принципима asset-liability management и у складу са могућностима;</w:t>
      </w:r>
    </w:p>
    <w:p w14:paraId="5CD44C9C" w14:textId="77777777" w:rsidR="00BB2F03" w:rsidRPr="00DE058F" w:rsidRDefault="00BB2F03" w:rsidP="00C91F83">
      <w:pPr>
        <w:spacing w:after="60"/>
        <w:rPr>
          <w:rFonts w:ascii="Calibri" w:eastAsia="Calibri" w:hAnsi="Calibri" w:cs="Calibri"/>
          <w:bCs/>
          <w:szCs w:val="72"/>
          <w:lang w:val="sr-Cyrl-CS"/>
        </w:rPr>
      </w:pPr>
      <w:r w:rsidRPr="00DE058F">
        <w:rPr>
          <w:rFonts w:ascii="Calibri" w:eastAsia="Calibri" w:hAnsi="Calibri" w:cs="Calibri"/>
          <w:bCs/>
          <w:szCs w:val="72"/>
          <w:lang w:val="sr-Cyrl-CS"/>
        </w:rPr>
        <w:t>5. кредитни и оперативни ризици</w:t>
      </w:r>
    </w:p>
    <w:p w14:paraId="578BF1C9" w14:textId="77777777" w:rsidR="00BB2F03" w:rsidRPr="00DE058F" w:rsidRDefault="00BB2F03" w:rsidP="00DB0157">
      <w:pPr>
        <w:numPr>
          <w:ilvl w:val="1"/>
          <w:numId w:val="12"/>
        </w:numPr>
        <w:ind w:left="180" w:hanging="180"/>
        <w:contextualSpacing/>
        <w:rPr>
          <w:rFonts w:ascii="Calibri" w:eastAsia="Calibri" w:hAnsi="Calibri" w:cs="Calibri"/>
          <w:bCs/>
          <w:szCs w:val="72"/>
          <w:lang w:val="sr-Cyrl-CS"/>
        </w:rPr>
      </w:pPr>
      <w:r w:rsidRPr="00DE058F">
        <w:rPr>
          <w:rFonts w:ascii="Calibri" w:eastAsia="Calibri" w:hAnsi="Calibri" w:cs="Calibri"/>
          <w:bCs/>
          <w:szCs w:val="72"/>
          <w:lang w:val="sr-Cyrl-CS"/>
        </w:rPr>
        <w:t>спровођење трансакција са финансијским дериватима само са финансијским институцијама које имају висок кредитни рејтинг;</w:t>
      </w:r>
    </w:p>
    <w:p w14:paraId="2EC78230" w14:textId="77777777" w:rsidR="00BB2F03" w:rsidRPr="00DE058F" w:rsidRDefault="00BB2F03" w:rsidP="00DB0157">
      <w:pPr>
        <w:numPr>
          <w:ilvl w:val="1"/>
          <w:numId w:val="12"/>
        </w:numPr>
        <w:ind w:left="180" w:hanging="180"/>
        <w:contextualSpacing/>
        <w:rPr>
          <w:rFonts w:ascii="Calibri" w:eastAsia="Calibri" w:hAnsi="Calibri" w:cs="Calibri"/>
          <w:bCs/>
          <w:szCs w:val="72"/>
          <w:lang w:val="sr-Cyrl-CS"/>
        </w:rPr>
      </w:pPr>
      <w:r w:rsidRPr="00DE058F">
        <w:rPr>
          <w:rFonts w:ascii="Calibri" w:eastAsia="Calibri" w:hAnsi="Calibri" w:cs="Calibri"/>
          <w:bCs/>
          <w:szCs w:val="72"/>
          <w:lang w:val="sr-Cyrl-CS"/>
        </w:rPr>
        <w:t>коришћење финансијских инструмената који лимитирају кредитни ризик;</w:t>
      </w:r>
    </w:p>
    <w:p w14:paraId="36DA40EE" w14:textId="77777777" w:rsidR="00BB2F03" w:rsidRPr="00DE058F" w:rsidRDefault="00BB2F03" w:rsidP="00DB0157">
      <w:pPr>
        <w:numPr>
          <w:ilvl w:val="1"/>
          <w:numId w:val="12"/>
        </w:numPr>
        <w:ind w:left="180" w:hanging="180"/>
        <w:contextualSpacing/>
        <w:rPr>
          <w:rFonts w:ascii="Calibri" w:eastAsia="Calibri" w:hAnsi="Calibri" w:cs="Calibri"/>
          <w:bCs/>
          <w:szCs w:val="72"/>
          <w:lang w:val="sr-Cyrl-CS"/>
        </w:rPr>
      </w:pPr>
      <w:r w:rsidRPr="00DE058F">
        <w:rPr>
          <w:rFonts w:ascii="Calibri" w:eastAsia="Calibri" w:hAnsi="Calibri" w:cs="Calibri"/>
          <w:bCs/>
          <w:szCs w:val="72"/>
          <w:lang w:val="sr-Cyrl-CS"/>
        </w:rPr>
        <w:t>давање гаранција и одобравање новог дуга јединицама локалне самоуправе само ако постоји адекватна анализа о релативно ниском степену вероватноће да се реализује гаранција или да јединица локалне самоуправе постане несолвентна у средњорочном периоду;</w:t>
      </w:r>
    </w:p>
    <w:p w14:paraId="6DF9CDF7" w14:textId="77777777" w:rsidR="00BB2F03" w:rsidRPr="00DE058F" w:rsidRDefault="00BB2F03" w:rsidP="00DB0157">
      <w:pPr>
        <w:numPr>
          <w:ilvl w:val="0"/>
          <w:numId w:val="5"/>
        </w:numPr>
        <w:tabs>
          <w:tab w:val="left" w:pos="90"/>
        </w:tabs>
        <w:spacing w:after="120"/>
        <w:ind w:left="181" w:hanging="272"/>
        <w:rPr>
          <w:rFonts w:ascii="Calibri" w:eastAsia="Calibri" w:hAnsi="Calibri" w:cs="Calibri"/>
          <w:bCs/>
          <w:szCs w:val="72"/>
          <w:lang w:val="sr-Cyrl-CS"/>
        </w:rPr>
      </w:pPr>
      <w:r w:rsidRPr="00DE058F">
        <w:rPr>
          <w:rFonts w:ascii="Calibri" w:eastAsia="Calibri" w:hAnsi="Calibri" w:cs="Calibri"/>
          <w:bCs/>
          <w:szCs w:val="72"/>
          <w:lang w:val="sr-Cyrl-CS"/>
        </w:rPr>
        <w:t>увођење адекватне контроле у свим пословним активностима у Управи за јавни дуг и унапређење знања запослених;</w:t>
      </w:r>
    </w:p>
    <w:p w14:paraId="235F5EF7" w14:textId="77777777" w:rsidR="00BB2F03" w:rsidRPr="00DE058F" w:rsidRDefault="00BB2F03" w:rsidP="00C91F83">
      <w:pPr>
        <w:tabs>
          <w:tab w:val="left" w:pos="90"/>
        </w:tabs>
        <w:spacing w:after="60"/>
        <w:ind w:left="-91"/>
        <w:rPr>
          <w:rFonts w:ascii="Calibri" w:eastAsia="Calibri" w:hAnsi="Calibri" w:cs="Calibri"/>
          <w:bCs/>
          <w:szCs w:val="72"/>
          <w:lang w:val="sr-Cyrl-CS"/>
        </w:rPr>
      </w:pPr>
      <w:r w:rsidRPr="00DE058F">
        <w:rPr>
          <w:rFonts w:ascii="Calibri" w:eastAsia="Calibri" w:hAnsi="Calibri" w:cs="Calibri"/>
          <w:bCs/>
          <w:szCs w:val="72"/>
          <w:lang w:val="sr-Cyrl-CS"/>
        </w:rPr>
        <w:t>6. ризици везани за дистрибуцију трошкова сервисирања</w:t>
      </w:r>
    </w:p>
    <w:p w14:paraId="1CCAE24E" w14:textId="77777777" w:rsidR="00BB2F03" w:rsidRPr="00DE058F" w:rsidRDefault="00BB2F03" w:rsidP="00DB0157">
      <w:pPr>
        <w:numPr>
          <w:ilvl w:val="0"/>
          <w:numId w:val="5"/>
        </w:numPr>
        <w:tabs>
          <w:tab w:val="left" w:pos="90"/>
        </w:tabs>
        <w:ind w:left="180" w:hanging="270"/>
        <w:contextualSpacing/>
        <w:rPr>
          <w:rFonts w:ascii="Calibri" w:eastAsia="Calibri" w:hAnsi="Calibri" w:cs="Calibri"/>
          <w:bCs/>
          <w:szCs w:val="72"/>
          <w:lang w:val="sr-Cyrl-CS"/>
        </w:rPr>
      </w:pPr>
      <w:r w:rsidRPr="00DE058F">
        <w:rPr>
          <w:rFonts w:ascii="Calibri" w:eastAsia="Calibri" w:hAnsi="Calibri" w:cs="Calibri"/>
          <w:bCs/>
          <w:szCs w:val="72"/>
          <w:lang w:val="sr-Cyrl-CS"/>
        </w:rPr>
        <w:t>адекватно планирање задуживања на годишњем нивоу и равномерна расподела у наредним годинама и током фискалне године како би се избегао ризик велике концентрације обавеза за рефинансирање;</w:t>
      </w:r>
    </w:p>
    <w:p w14:paraId="2E588322" w14:textId="77777777" w:rsidR="00BB2F03" w:rsidRPr="00DE058F" w:rsidRDefault="00BB2F03" w:rsidP="00DB0157">
      <w:pPr>
        <w:numPr>
          <w:ilvl w:val="0"/>
          <w:numId w:val="5"/>
        </w:numPr>
        <w:tabs>
          <w:tab w:val="left" w:pos="90"/>
        </w:tabs>
        <w:ind w:left="181" w:hanging="272"/>
        <w:rPr>
          <w:rFonts w:ascii="Calibri" w:eastAsia="Calibri" w:hAnsi="Calibri" w:cs="Calibri"/>
          <w:bCs/>
          <w:szCs w:val="72"/>
          <w:lang w:val="sr-Cyrl-CS"/>
        </w:rPr>
      </w:pPr>
      <w:r w:rsidRPr="00DE058F">
        <w:rPr>
          <w:rFonts w:ascii="Calibri" w:eastAsia="Calibri" w:hAnsi="Calibri" w:cs="Calibri"/>
          <w:bCs/>
          <w:szCs w:val="72"/>
          <w:lang w:val="sr-Cyrl-CS"/>
        </w:rPr>
        <w:t xml:space="preserve">избегавање концентрације обавеза по основу јавног дуга на месечном нивоу, који не би могао </w:t>
      </w:r>
      <w:r w:rsidRPr="00DE058F">
        <w:rPr>
          <w:rFonts w:ascii="Calibri" w:eastAsia="Calibri" w:hAnsi="Calibri" w:cs="Calibri"/>
          <w:bCs/>
          <w:szCs w:val="72"/>
          <w:lang w:val="sr-Cyrl-CS"/>
        </w:rPr>
        <w:t>бити амортизован слободним новчаним средствима на рачунима Републике Србије.</w:t>
      </w:r>
    </w:p>
    <w:p w14:paraId="14AB7D0E" w14:textId="77777777" w:rsidR="00BB2F03" w:rsidRPr="00DE058F" w:rsidRDefault="00BB2F03" w:rsidP="00C91F83">
      <w:pPr>
        <w:tabs>
          <w:tab w:val="left" w:pos="90"/>
        </w:tabs>
        <w:rPr>
          <w:rFonts w:ascii="Calibri" w:eastAsia="Calibri" w:hAnsi="Calibri" w:cs="Calibri"/>
          <w:bCs/>
          <w:szCs w:val="72"/>
          <w:lang w:val="sr-Cyrl-CS"/>
        </w:rPr>
      </w:pPr>
      <w:r w:rsidRPr="00DE058F">
        <w:rPr>
          <w:rFonts w:ascii="Calibri" w:eastAsia="Calibri" w:hAnsi="Calibri" w:cs="Calibri"/>
          <w:bCs/>
          <w:szCs w:val="72"/>
          <w:lang w:val="sr-Cyrl-CS"/>
        </w:rPr>
        <w:t>Захваљујући спровођењу дефинисаних мера у претходних неколико година дошло је до значајног побољшања структуре јавног дуга у скоро свим сегментима – побољшане су валутна структура и структура каматних стопа, значајно повећана рочност, смањени трошкови задуживања, смањен гарантовани јавни дуг, долази до равномерније расподеле обавеза уз перманентно одржавање адекватног нивоа ликвидности. Примера ради, на централном нивоу власти удео јавног дуга у динарима је порастао са 20,9%, колико је износио на крају 2016. године, на 26,1% на крају марта 2022. године. У истом временском интервалу удео јавног дуга у америчким доларима се смањио са 33,9% на 10,9%. Удео дуга са фиксном каматном стопом је у периоду од 2013. године до марта 2022. године порастао са 73,2% на 83,6%. У истом периоду је дошло до пада гарантованог дуга са 2,8 млрд евра на 1,6 млрд евра и пада просечно пондерисане каматне стопе на јавни дуг са 5,64% на 2,35%.</w:t>
      </w:r>
    </w:p>
    <w:p w14:paraId="11E9436D" w14:textId="77777777" w:rsidR="00BB2F03" w:rsidRPr="00DE058F" w:rsidRDefault="00BB2F03" w:rsidP="00C91F83">
      <w:pPr>
        <w:spacing w:line="256" w:lineRule="auto"/>
        <w:rPr>
          <w:rFonts w:ascii="Calibri" w:eastAsia="Calibri" w:hAnsi="Calibri" w:cs="Times New Roman"/>
          <w:b/>
          <w:color w:val="2F5496" w:themeColor="accent1" w:themeShade="BF"/>
          <w:sz w:val="22"/>
          <w:lang w:val="sr-Cyrl-CS"/>
        </w:rPr>
      </w:pPr>
      <w:r w:rsidRPr="00DE058F">
        <w:rPr>
          <w:rFonts w:ascii="Calibri" w:eastAsia="Calibri" w:hAnsi="Calibri" w:cs="Times New Roman"/>
          <w:b/>
          <w:color w:val="2F5496" w:themeColor="accent1" w:themeShade="BF"/>
          <w:sz w:val="22"/>
          <w:lang w:val="sr-Cyrl-CS"/>
        </w:rPr>
        <w:t>Анализе коришћене приликом израде Стратегије за управљање јавним дугом</w:t>
      </w:r>
    </w:p>
    <w:p w14:paraId="3CCC6F0F"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За формулисање Стратегије за управљање јавним дугом коришћен је квантитативни приступ у анализи трошкова и ризика који утичу на управљање јавним дугом.</w:t>
      </w:r>
    </w:p>
    <w:p w14:paraId="09CD70B6"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Имајући у виду макроекономско окружење и тржишне услове, упоредно се разматрају алтернативни извори финансирања.</w:t>
      </w:r>
    </w:p>
    <w:p w14:paraId="2969BCED"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У сврху анализе коришћени су инструменти доступни на домаћем и међународном финансијском тржишту.</w:t>
      </w:r>
    </w:p>
    <w:p w14:paraId="58819C86"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Извори финансирања деноминовани у страној валути:</w:t>
      </w:r>
    </w:p>
    <w:p w14:paraId="7F5EA501" w14:textId="77777777" w:rsidR="00BB2F03" w:rsidRPr="00DE058F" w:rsidRDefault="00BB2F03" w:rsidP="00DB0157">
      <w:pPr>
        <w:numPr>
          <w:ilvl w:val="0"/>
          <w:numId w:val="6"/>
        </w:numPr>
        <w:ind w:left="180" w:hanging="180"/>
        <w:contextualSpacing/>
        <w:rPr>
          <w:rFonts w:ascii="Calibri" w:eastAsia="Calibri" w:hAnsi="Calibri" w:cs="Calibri"/>
          <w:bCs/>
          <w:szCs w:val="72"/>
          <w:lang w:val="sr-Cyrl-CS"/>
        </w:rPr>
      </w:pPr>
      <w:r w:rsidRPr="00DE058F">
        <w:rPr>
          <w:rFonts w:ascii="Calibri" w:eastAsia="Calibri" w:hAnsi="Calibri" w:cs="Calibri"/>
          <w:bCs/>
          <w:szCs w:val="72"/>
          <w:lang w:val="sr-Cyrl-CS"/>
        </w:rPr>
        <w:t>Зајмови страних влада и међународних финансијских институција, као и домаћих пословних банака – приказани као концесионални инструменти деноминовани у еврима или америчким доларима, са фиксном или варијабилном каматном стопом;</w:t>
      </w:r>
    </w:p>
    <w:p w14:paraId="6CED1FE1" w14:textId="77777777" w:rsidR="00BB2F03" w:rsidRPr="00DE058F" w:rsidRDefault="00BB2F03" w:rsidP="00DB0157">
      <w:pPr>
        <w:numPr>
          <w:ilvl w:val="0"/>
          <w:numId w:val="6"/>
        </w:numPr>
        <w:ind w:left="180" w:hanging="180"/>
        <w:contextualSpacing/>
        <w:rPr>
          <w:rFonts w:ascii="Calibri" w:eastAsia="Calibri" w:hAnsi="Calibri" w:cs="Calibri"/>
          <w:bCs/>
          <w:szCs w:val="72"/>
          <w:lang w:val="sr-Cyrl-CS"/>
        </w:rPr>
      </w:pPr>
      <w:r w:rsidRPr="00DE058F">
        <w:rPr>
          <w:rFonts w:ascii="Calibri" w:eastAsia="Calibri" w:hAnsi="Calibri" w:cs="Calibri"/>
          <w:bCs/>
          <w:szCs w:val="72"/>
          <w:lang w:val="sr-Cyrl-CS"/>
        </w:rPr>
        <w:lastRenderedPageBreak/>
        <w:t>Домаћи дуг деноминован у еврима исказан кроз два инструмента – државни записи и државне обвезнице емитоване на домаћем финансијском тржишту;</w:t>
      </w:r>
    </w:p>
    <w:p w14:paraId="5FECF924" w14:textId="77777777" w:rsidR="00BB2F03" w:rsidRPr="00DE058F" w:rsidRDefault="00BB2F03" w:rsidP="00DB0157">
      <w:pPr>
        <w:numPr>
          <w:ilvl w:val="0"/>
          <w:numId w:val="6"/>
        </w:numPr>
        <w:ind w:left="180" w:hanging="180"/>
        <w:contextualSpacing/>
        <w:rPr>
          <w:rFonts w:ascii="Calibri" w:eastAsia="Calibri" w:hAnsi="Calibri" w:cs="Calibri"/>
          <w:bCs/>
          <w:szCs w:val="72"/>
          <w:lang w:val="sr-Cyrl-CS"/>
        </w:rPr>
      </w:pPr>
      <w:r w:rsidRPr="00DE058F">
        <w:rPr>
          <w:rFonts w:ascii="Calibri" w:eastAsia="Calibri" w:hAnsi="Calibri" w:cs="Calibri"/>
          <w:bCs/>
          <w:szCs w:val="72"/>
          <w:lang w:val="sr-Cyrl-CS"/>
        </w:rPr>
        <w:t>Еврообвезница (еуробонд) – емитована у еврима или америчким доларима на међународном финансијском тржишту.</w:t>
      </w:r>
    </w:p>
    <w:p w14:paraId="211EC467" w14:textId="77777777" w:rsidR="00BB2F03" w:rsidRPr="00DE058F" w:rsidRDefault="00BB2F03" w:rsidP="00C91F83">
      <w:pPr>
        <w:ind w:left="180"/>
        <w:contextualSpacing/>
        <w:rPr>
          <w:rFonts w:ascii="Calibri" w:eastAsia="Calibri" w:hAnsi="Calibri" w:cs="Calibri"/>
          <w:bCs/>
          <w:szCs w:val="72"/>
          <w:lang w:val="sr-Cyrl-CS"/>
        </w:rPr>
      </w:pPr>
    </w:p>
    <w:p w14:paraId="34617398"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Извори финансирања у домаћој валути:</w:t>
      </w:r>
    </w:p>
    <w:p w14:paraId="199C4F56" w14:textId="6934090E" w:rsidR="00BB2F03" w:rsidRPr="00DE058F" w:rsidRDefault="00BB2F03" w:rsidP="00DB0157">
      <w:pPr>
        <w:numPr>
          <w:ilvl w:val="1"/>
          <w:numId w:val="7"/>
        </w:numPr>
        <w:ind w:left="181" w:hanging="181"/>
        <w:rPr>
          <w:rFonts w:ascii="Calibri" w:eastAsia="Calibri" w:hAnsi="Calibri" w:cs="Calibri"/>
          <w:bCs/>
          <w:szCs w:val="72"/>
          <w:lang w:val="sr-Cyrl-CS"/>
        </w:rPr>
      </w:pPr>
      <w:r w:rsidRPr="00DE058F">
        <w:rPr>
          <w:rFonts w:ascii="Calibri" w:eastAsia="Calibri" w:hAnsi="Calibri" w:cs="Calibri"/>
          <w:bCs/>
          <w:szCs w:val="72"/>
          <w:lang w:val="sr-Cyrl-CS"/>
        </w:rPr>
        <w:t>Све државне хартије од вредности деноминоване у динарима груписане су на државне записе (са роковима доспећа до 53 недеље) и државне обв</w:t>
      </w:r>
      <w:r w:rsidR="006A12BC" w:rsidRPr="00DE058F">
        <w:rPr>
          <w:rFonts w:ascii="Calibri" w:eastAsia="Calibri" w:hAnsi="Calibri" w:cs="Calibri"/>
          <w:bCs/>
          <w:szCs w:val="72"/>
          <w:lang w:val="sr-Cyrl-CS"/>
        </w:rPr>
        <w:t>езнице (са роковима доспећа од две</w:t>
      </w:r>
      <w:r w:rsidRPr="00DE058F">
        <w:rPr>
          <w:rFonts w:ascii="Calibri" w:eastAsia="Calibri" w:hAnsi="Calibri" w:cs="Calibri"/>
          <w:bCs/>
          <w:szCs w:val="72"/>
          <w:lang w:val="sr-Cyrl-CS"/>
        </w:rPr>
        <w:t xml:space="preserve"> године и више).</w:t>
      </w:r>
    </w:p>
    <w:p w14:paraId="1C9C43CD" w14:textId="77777777" w:rsidR="00BB2F03" w:rsidRPr="00DE058F" w:rsidRDefault="00BB2F03" w:rsidP="00C91F83">
      <w:pPr>
        <w:spacing w:line="256" w:lineRule="auto"/>
        <w:rPr>
          <w:rFonts w:ascii="Calibri" w:eastAsia="Calibri" w:hAnsi="Calibri" w:cs="Times New Roman"/>
          <w:b/>
          <w:color w:val="2F5496" w:themeColor="accent1" w:themeShade="BF"/>
          <w:sz w:val="22"/>
          <w:lang w:val="sr-Cyrl-CS"/>
        </w:rPr>
      </w:pPr>
      <w:r w:rsidRPr="00DE058F">
        <w:rPr>
          <w:rFonts w:ascii="Calibri" w:eastAsia="Calibri" w:hAnsi="Calibri" w:cs="Times New Roman"/>
          <w:b/>
          <w:color w:val="2F5496" w:themeColor="accent1" w:themeShade="BF"/>
          <w:sz w:val="22"/>
          <w:lang w:val="sr-Cyrl-CS"/>
        </w:rPr>
        <w:t>Будуће тржишне каматне стопе и сценарио анализа</w:t>
      </w:r>
    </w:p>
    <w:p w14:paraId="31E1D3BC"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Након избора одговарајуће композиције извора финансирања (изабране и компаративних стратегија финансирања), приступа се анализи трошкова и ризика полазећи од основног (највероватнијег) сценарија, након чега се врши стрес тестирање за додатне врсте сценарија –шокова, како би се добио преглед ефеката коштања разматраних стратегија.</w:t>
      </w:r>
    </w:p>
    <w:p w14:paraId="3F8498FB"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Основни сценарио се базира на највише вероватним тржишним условима за три групе тржишних варијабли: девизни курс, каматне стопе на међународном тржишту и каматне стопе на домаћем тржишту. Приступ за динарске и евро каматне стопе заснива се на стопама оствареним током претходне и текуће године.</w:t>
      </w:r>
    </w:p>
    <w:p w14:paraId="5CEDAC2D"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Након дефинисања основног сценарија, у циљу стрес тестирања одабране су додатне врсте сценарија – шокова:</w:t>
      </w:r>
    </w:p>
    <w:p w14:paraId="24F30FC5" w14:textId="77777777" w:rsidR="00BB2F03" w:rsidRPr="00DE058F" w:rsidRDefault="00BB2F03" w:rsidP="00DB0157">
      <w:pPr>
        <w:pStyle w:val="ListParagraph"/>
        <w:numPr>
          <w:ilvl w:val="2"/>
          <w:numId w:val="6"/>
        </w:numPr>
        <w:spacing w:after="60"/>
        <w:ind w:left="227" w:hanging="227"/>
        <w:contextualSpacing w:val="0"/>
        <w:rPr>
          <w:rFonts w:ascii="Calibri" w:eastAsia="Calibri" w:hAnsi="Calibri" w:cs="Calibri"/>
          <w:bCs/>
          <w:szCs w:val="72"/>
          <w:lang w:val="sr-Cyrl-CS"/>
        </w:rPr>
      </w:pPr>
      <w:r w:rsidRPr="00DE058F">
        <w:rPr>
          <w:rFonts w:ascii="Calibri" w:eastAsia="Calibri" w:hAnsi="Calibri" w:cs="Calibri"/>
          <w:bCs/>
          <w:szCs w:val="72"/>
          <w:lang w:val="sr-Cyrl-CS"/>
        </w:rPr>
        <w:t>Депрецијација динара у односу на све валуте од 15% у 2024.</w:t>
      </w:r>
      <w:r w:rsidRPr="00DE058F">
        <w:rPr>
          <w:rFonts w:ascii="Calibri" w:eastAsia="Calibri" w:hAnsi="Calibri" w:cs="Calibri"/>
          <w:bCs/>
          <w:color w:val="FF0000"/>
          <w:szCs w:val="72"/>
          <w:lang w:val="sr-Cyrl-CS"/>
        </w:rPr>
        <w:t xml:space="preserve"> </w:t>
      </w:r>
      <w:r w:rsidRPr="00DE058F">
        <w:rPr>
          <w:rFonts w:ascii="Calibri" w:eastAsia="Calibri" w:hAnsi="Calibri" w:cs="Calibri"/>
          <w:bCs/>
          <w:szCs w:val="72"/>
          <w:lang w:val="sr-Cyrl-CS"/>
        </w:rPr>
        <w:t>години. У овом сценарију однос евра и америчког долара би остао стабилан, док би само динар депрецирао у односу на обе валуте;</w:t>
      </w:r>
    </w:p>
    <w:p w14:paraId="1BB0AEBE" w14:textId="77777777" w:rsidR="00BB2F03" w:rsidRPr="00DE058F" w:rsidRDefault="00BB2F03" w:rsidP="00DB0157">
      <w:pPr>
        <w:pStyle w:val="ListParagraph"/>
        <w:numPr>
          <w:ilvl w:val="2"/>
          <w:numId w:val="6"/>
        </w:numPr>
        <w:spacing w:after="60"/>
        <w:ind w:left="227" w:hanging="227"/>
        <w:contextualSpacing w:val="0"/>
        <w:rPr>
          <w:rFonts w:ascii="Calibri" w:eastAsia="Calibri" w:hAnsi="Calibri" w:cs="Calibri"/>
          <w:bCs/>
          <w:szCs w:val="72"/>
          <w:lang w:val="sr-Cyrl-CS"/>
        </w:rPr>
      </w:pPr>
      <w:r w:rsidRPr="00DE058F">
        <w:rPr>
          <w:rFonts w:ascii="Calibri" w:eastAsia="Calibri" w:hAnsi="Calibri" w:cs="Calibri"/>
          <w:bCs/>
          <w:szCs w:val="72"/>
          <w:lang w:val="sr-Cyrl-CS"/>
        </w:rPr>
        <w:t>Повећање каматних стопа на домаћем и међународном тржишту за око 2 п.п.;</w:t>
      </w:r>
    </w:p>
    <w:p w14:paraId="642C6F03" w14:textId="77777777" w:rsidR="00BB2F03" w:rsidRPr="00DE058F" w:rsidRDefault="00BB2F03" w:rsidP="00DB0157">
      <w:pPr>
        <w:pStyle w:val="ListParagraph"/>
        <w:numPr>
          <w:ilvl w:val="2"/>
          <w:numId w:val="6"/>
        </w:numPr>
        <w:spacing w:after="60"/>
        <w:ind w:left="227" w:hanging="227"/>
        <w:contextualSpacing w:val="0"/>
        <w:rPr>
          <w:rFonts w:ascii="Calibri" w:eastAsia="Calibri" w:hAnsi="Calibri" w:cs="Calibri"/>
          <w:bCs/>
          <w:spacing w:val="-4"/>
          <w:szCs w:val="72"/>
          <w:lang w:val="sr-Cyrl-CS"/>
        </w:rPr>
      </w:pPr>
      <w:r w:rsidRPr="00DE058F">
        <w:rPr>
          <w:rFonts w:ascii="Calibri" w:eastAsia="Calibri" w:hAnsi="Calibri" w:cs="Calibri"/>
          <w:bCs/>
          <w:spacing w:val="-4"/>
          <w:szCs w:val="72"/>
          <w:lang w:val="sr-Cyrl-CS"/>
        </w:rPr>
        <w:t>Повећање каматних стопа на међународном тржишту до 3 п.п., а на домаћем тржишту до 4 п.п.;</w:t>
      </w:r>
    </w:p>
    <w:p w14:paraId="17ABA494" w14:textId="71BBE8D2" w:rsidR="00BB2F03" w:rsidRPr="00DE058F" w:rsidRDefault="00BB2F03" w:rsidP="00DB0157">
      <w:pPr>
        <w:pStyle w:val="ListParagraph"/>
        <w:numPr>
          <w:ilvl w:val="2"/>
          <w:numId w:val="6"/>
        </w:numPr>
        <w:ind w:left="227" w:hanging="227"/>
        <w:rPr>
          <w:rFonts w:ascii="Calibri" w:eastAsia="Calibri" w:hAnsi="Calibri" w:cs="Calibri"/>
          <w:bCs/>
          <w:szCs w:val="72"/>
          <w:lang w:val="sr-Cyrl-CS"/>
        </w:rPr>
      </w:pPr>
      <w:r w:rsidRPr="00DE058F">
        <w:rPr>
          <w:rFonts w:ascii="Calibri" w:eastAsia="Calibri" w:hAnsi="Calibri" w:cs="Calibri"/>
          <w:bCs/>
          <w:szCs w:val="72"/>
          <w:lang w:val="sr-Cyrl-CS"/>
        </w:rPr>
        <w:t>Комбиновани шок који се односи на депрецијацију динара у односу на долар 15% у 2024. години и раст каматних</w:t>
      </w:r>
      <w:r w:rsidR="004B1AEE" w:rsidRPr="00DE058F">
        <w:rPr>
          <w:rFonts w:ascii="Calibri" w:eastAsia="Calibri" w:hAnsi="Calibri" w:cs="Calibri"/>
          <w:bCs/>
          <w:szCs w:val="72"/>
          <w:lang w:val="sr-Cyrl-CS"/>
        </w:rPr>
        <w:t xml:space="preserve"> стопа за око 2 п.п.</w:t>
      </w:r>
    </w:p>
    <w:p w14:paraId="2ED5771E" w14:textId="77777777" w:rsidR="00BB2F03" w:rsidRPr="00DE058F" w:rsidRDefault="00BB2F03" w:rsidP="00C91F83">
      <w:pPr>
        <w:spacing w:line="256" w:lineRule="auto"/>
        <w:rPr>
          <w:rFonts w:ascii="Calibri" w:eastAsia="Calibri" w:hAnsi="Calibri" w:cs="Times New Roman"/>
          <w:b/>
          <w:color w:val="2F5496" w:themeColor="accent1" w:themeShade="BF"/>
          <w:sz w:val="22"/>
          <w:lang w:val="sr-Cyrl-CS"/>
        </w:rPr>
      </w:pPr>
      <w:r w:rsidRPr="00DE058F">
        <w:rPr>
          <w:rFonts w:ascii="Calibri" w:eastAsia="Calibri" w:hAnsi="Calibri" w:cs="Times New Roman"/>
          <w:b/>
          <w:color w:val="2F5496" w:themeColor="accent1" w:themeShade="BF"/>
          <w:sz w:val="22"/>
          <w:lang w:val="sr-Cyrl-CS"/>
        </w:rPr>
        <w:t>Алтернативне стратегије задуживања за период 2023–2025. година</w:t>
      </w:r>
    </w:p>
    <w:p w14:paraId="4E4779F6"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 xml:space="preserve">На бази модела Светске банке </w:t>
      </w:r>
      <w:r w:rsidRPr="00DE058F">
        <w:rPr>
          <w:rFonts w:ascii="Calibri" w:eastAsia="Calibri" w:hAnsi="Calibri" w:cs="Calibri"/>
          <w:bCs/>
          <w:i/>
          <w:szCs w:val="72"/>
          <w:lang w:val="sr-Cyrl-CS"/>
        </w:rPr>
        <w:t>Medium Term Debt Strategy Model</w:t>
      </w:r>
      <w:r w:rsidRPr="00DE058F">
        <w:rPr>
          <w:rFonts w:ascii="Calibri" w:eastAsia="Calibri" w:hAnsi="Calibri" w:cs="Calibri"/>
          <w:bCs/>
          <w:szCs w:val="72"/>
          <w:lang w:val="sr-Cyrl-CS"/>
        </w:rPr>
        <w:t xml:space="preserve"> – MTDS, анализиране алтернативне стратегије задуживања су:</w:t>
      </w:r>
    </w:p>
    <w:p w14:paraId="271EB7D2" w14:textId="2641304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Основна стратегија (С1): представља стратегију која укупне потребе за финансирањем покрива нешто већим делом из извора финансира</w:t>
      </w:r>
      <w:r w:rsidR="00525A10" w:rsidRPr="00DE058F">
        <w:rPr>
          <w:rFonts w:ascii="Calibri" w:eastAsia="Calibri" w:hAnsi="Calibri" w:cs="Calibri"/>
          <w:bCs/>
          <w:szCs w:val="72"/>
          <w:lang w:val="sr-Cyrl-CS"/>
        </w:rPr>
        <w:t>ња у страној валути у току 2023.</w:t>
      </w:r>
      <w:r w:rsidRPr="00DE058F">
        <w:rPr>
          <w:rFonts w:ascii="Calibri" w:eastAsia="Calibri" w:hAnsi="Calibri" w:cs="Calibri"/>
          <w:bCs/>
          <w:szCs w:val="72"/>
          <w:lang w:val="sr-Cyrl-CS"/>
        </w:rPr>
        <w:t xml:space="preserve"> - 70% и 2024. - 60%, док се у 2025. години поново планира успостављање уравнотеженог финансирања из извора у домаћој и страној ва</w:t>
      </w:r>
      <w:r w:rsidR="006A12BC" w:rsidRPr="00DE058F">
        <w:rPr>
          <w:rFonts w:ascii="Calibri" w:eastAsia="Calibri" w:hAnsi="Calibri" w:cs="Calibri"/>
          <w:bCs/>
          <w:szCs w:val="72"/>
          <w:lang w:val="sr-Cyrl-CS"/>
        </w:rPr>
        <w:t>лути. Буџетско финансирање 2023</w:t>
      </w:r>
      <w:r w:rsidRPr="00DE058F">
        <w:rPr>
          <w:rFonts w:ascii="Calibri" w:eastAsia="Calibri" w:hAnsi="Calibri" w:cs="Calibri"/>
          <w:bCs/>
          <w:szCs w:val="72"/>
          <w:lang w:val="sr-Cyrl-CS"/>
        </w:rPr>
        <w:t xml:space="preserve"> -2025. година планирано је из емисија државних хартија од вредности на домаћем (највећим делом из динарских хартија од вредности) и међународном финансијском тржишту. Током 2023. године буџетско финансирање предвиђа уравнотежени износ емисија динарских обвезница и еврообвезница, док 2024. </w:t>
      </w:r>
      <w:r w:rsidR="00525A10" w:rsidRPr="00DE058F">
        <w:rPr>
          <w:rFonts w:cstheme="minorHAnsi"/>
          <w:bCs/>
          <w:szCs w:val="72"/>
          <w:lang w:val="sr-Cyrl-CS"/>
        </w:rPr>
        <w:t>године</w:t>
      </w:r>
      <w:r w:rsidR="00525A10" w:rsidRPr="00DE058F">
        <w:rPr>
          <w:rFonts w:ascii="Calibri" w:eastAsia="Calibri" w:hAnsi="Calibri" w:cs="Calibri"/>
          <w:bCs/>
          <w:szCs w:val="72"/>
          <w:lang w:val="sr-Cyrl-CS"/>
        </w:rPr>
        <w:t xml:space="preserve"> </w:t>
      </w:r>
      <w:r w:rsidRPr="00DE058F">
        <w:rPr>
          <w:rFonts w:ascii="Calibri" w:eastAsia="Calibri" w:hAnsi="Calibri" w:cs="Calibri"/>
          <w:bCs/>
          <w:szCs w:val="72"/>
          <w:lang w:val="sr-Cyrl-CS"/>
        </w:rPr>
        <w:t>долази до повећања емисије динарских хартија од вредности у буџетском финансирању у односу на емисије хартија од вредности на иностраном тржишту, а 2025. године оне постају доминантан извор финансирања. Пројектно финансирање, као и у претходним годинама, обезбеђује се највећим делом из кредита деноминованих у страној валути од иностраних поверилаца.</w:t>
      </w:r>
    </w:p>
    <w:p w14:paraId="607ECAE1"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Стратегија (С2): у односу на стратегију С1, целокупне потребе за финансирањем задовољавају се емисијом еврообвезница у доларима, рочности дванаест и петнаест година.</w:t>
      </w:r>
    </w:p>
    <w:p w14:paraId="7B3A0089"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Стратегија (С3): у односу на стратегију С1, представља стратегију која целокупно финансирање заснива на емисијама еврообвезница у еврима рочности дванаест и петнаест година.</w:t>
      </w:r>
    </w:p>
    <w:p w14:paraId="7B339010"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Стратегија додатне динаризације (С4): представља стратегију која целокупно финансирање заснива на емисијама динарских хартија од вредности дужих рочности.</w:t>
      </w:r>
    </w:p>
    <w:p w14:paraId="042A9F3E" w14:textId="77777777" w:rsidR="00BB2F03" w:rsidRPr="00DE058F" w:rsidRDefault="00BB2F03" w:rsidP="00C91F83">
      <w:pPr>
        <w:rPr>
          <w:rFonts w:ascii="Calibri" w:eastAsia="Calibri" w:hAnsi="Calibri" w:cs="Calibri"/>
          <w:bCs/>
          <w:szCs w:val="72"/>
          <w:lang w:val="sr-Cyrl-CS"/>
        </w:rPr>
      </w:pPr>
    </w:p>
    <w:p w14:paraId="722BB083" w14:textId="77777777" w:rsidR="00BB2F03" w:rsidRPr="00DE058F" w:rsidRDefault="00BB2F03" w:rsidP="00C91F83">
      <w:pPr>
        <w:spacing w:line="256" w:lineRule="auto"/>
        <w:rPr>
          <w:rFonts w:ascii="Calibri" w:eastAsia="Calibri" w:hAnsi="Calibri" w:cs="Calibri"/>
          <w:bCs/>
          <w:szCs w:val="72"/>
          <w:lang w:val="sr-Cyrl-CS"/>
        </w:rPr>
      </w:pPr>
      <w:r w:rsidRPr="00DE058F">
        <w:rPr>
          <w:rFonts w:ascii="Calibri" w:eastAsia="Calibri" w:hAnsi="Calibri" w:cs="Times New Roman"/>
          <w:b/>
          <w:color w:val="2F5496" w:themeColor="accent1" w:themeShade="BF"/>
          <w:sz w:val="22"/>
          <w:lang w:val="sr-Cyrl-CS"/>
        </w:rPr>
        <w:lastRenderedPageBreak/>
        <w:t>Поређење алтернативних стратегија</w:t>
      </w:r>
    </w:p>
    <w:p w14:paraId="111F8B20"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За поређење алтернативних стратегија задуживања примењене су две мере трошкова: однос јавног дуга према БДП и номинална камата као проценат БДП. Први однос је индикатор стања, а други индикатор тока. У циљу поређења, пажња је усмерена на резултате разматраних стратегија на крају 2025. године.</w:t>
      </w:r>
    </w:p>
    <w:p w14:paraId="02291615"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pacing w:val="-2"/>
          <w:szCs w:val="72"/>
          <w:lang w:val="sr-Cyrl-CS"/>
        </w:rPr>
        <w:t xml:space="preserve">На основу графикона јасно се уочавају трошкови које свака од разматраних стратегија носи са собом. </w:t>
      </w:r>
      <w:r w:rsidRPr="00DE058F">
        <w:rPr>
          <w:rFonts w:ascii="Calibri" w:eastAsia="Calibri" w:hAnsi="Calibri" w:cs="Calibri"/>
          <w:bCs/>
          <w:szCs w:val="72"/>
          <w:lang w:val="sr-Cyrl-CS"/>
        </w:rPr>
        <w:t>Трошак алтернативних стратегија при основном макроекономском сценарију приказан је на вертикалној оси графикона трошкова, док се на хоризонталној оси налази потенцијални трошак одређене стратегије задуживања (резултат стрес теста).</w:t>
      </w:r>
    </w:p>
    <w:p w14:paraId="7D40D3BB"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При основном макроекономском сценарију на крају 2025. године, стратегија С4 има највиши рацио учешћа дуга у БДП јер се заснива на емисији динарских хартија због чега је скупља од стратегија за задуживање које комбинују инструменте у домаћој и страној валути (С1) и оних које се заснивају само на финансирању из инструмената у страној валути (С2 и С3). Сличну трошковну позицију мерено учешћем дуга у БДП имају стратегије С1 и С3, које имају високо учешће инструмената у еврима, док је стратегија С2 нешто скупља јер се њено финансирање заснива на инструментима у доларима. Са друге стране највећи ризик на однос дуга и БДП, ако се одступи од основног макроекономског сценарија, има промена девизног курса. Посматрано са аспекта утицаја шокова девизног курса на рацио дуга и БДП, најбољи положај има стратегија С4 јер је целокупно финансирање у динарима, док стратегије С1, С2 и С3 имају већу изложеност ризику промени девизног курса. Стратегија С1 у погледу ризика промене девизног курса има нешто повољнији положај у односу на стратегију С2 и С3, из разлога што комбинује финансирање у домаћој и страној валути, у односу поменуте стратегије код којих је целокупно финансирање у страној валути.</w:t>
      </w:r>
    </w:p>
    <w:p w14:paraId="3B079E4E"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 xml:space="preserve">Са аспекта учешћа камата у БДП, стратегија С4 која се заснива на домаћим изворима финансирања је релативно скупља и има већи ризик од повећања </w:t>
      </w:r>
      <w:r w:rsidRPr="00DE058F">
        <w:rPr>
          <w:rFonts w:ascii="Calibri" w:eastAsia="Calibri" w:hAnsi="Calibri" w:cs="Calibri"/>
          <w:bCs/>
          <w:szCs w:val="72"/>
          <w:lang w:val="sr-Cyrl-CS"/>
        </w:rPr>
        <w:t>учешћа камата у БДП јер је изложена осцилацијама динарских каматних стопа. Стратегија С3 је повољнија од стратегије С1 и С2, јер су емисије еврообвезница у еврима јефтинији извор финансирања од комбинованог финансирања домаћој и страној валути (С1), односно од финансирања у доларима (С2). Резултати стрес анализе показали су да највећи ризик за промену односа камате и БДП, ако се промени основни сценарио, долази од шока промене каматних стопа који је већи на домаћем него на међународном тржишту. Уколико би се реализовао наведени сценарио шока каматних стопа највише би порастао однос камате и БДП код стратегије С4 која се заснива на домаћим изворима финансирања и подложна је осцилацијама каматних стопа на домаћем тржишту, док би код стратегија С1, С2 и С3 ризик промене каматних стопа био на нижем нивоу.</w:t>
      </w:r>
    </w:p>
    <w:p w14:paraId="2E50D9FF"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Имајући у виду наведено, евидентно је да ће задуживање у наредном периоду применом изабране стратегије С1 имати задовољавајуће резултате са аспекта квантификације трошкова и ризика који из њих произилазе.</w:t>
      </w:r>
    </w:p>
    <w:p w14:paraId="6EC7E64C" w14:textId="77777777" w:rsidR="00BB2F03" w:rsidRPr="00DE058F" w:rsidRDefault="00BB2F03" w:rsidP="00C91F83">
      <w:pPr>
        <w:spacing w:line="256" w:lineRule="auto"/>
        <w:jc w:val="center"/>
        <w:rPr>
          <w:rFonts w:ascii="Calibri" w:eastAsia="Calibri" w:hAnsi="Calibri" w:cs="Times New Roman"/>
          <w:b/>
          <w:color w:val="002060"/>
          <w:lang w:val="sr-Cyrl-CS"/>
        </w:rPr>
      </w:pPr>
      <w:r w:rsidRPr="00DE058F">
        <w:rPr>
          <w:noProof/>
        </w:rPr>
        <w:drawing>
          <wp:anchor distT="0" distB="0" distL="114300" distR="114300" simplePos="0" relativeHeight="251679232" behindDoc="0" locked="0" layoutInCell="1" allowOverlap="1" wp14:anchorId="283A70EC" wp14:editId="650ADB0F">
            <wp:simplePos x="0" y="0"/>
            <wp:positionH relativeFrom="column">
              <wp:posOffset>171450</wp:posOffset>
            </wp:positionH>
            <wp:positionV relativeFrom="paragraph">
              <wp:posOffset>241300</wp:posOffset>
            </wp:positionV>
            <wp:extent cx="2685600" cy="1620000"/>
            <wp:effectExtent l="0" t="0" r="635" b="0"/>
            <wp:wrapNone/>
            <wp:docPr id="90" name="Chart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14:sizeRelH relativeFrom="margin">
              <wp14:pctWidth>0</wp14:pctWidth>
            </wp14:sizeRelH>
            <wp14:sizeRelV relativeFrom="margin">
              <wp14:pctHeight>0</wp14:pctHeight>
            </wp14:sizeRelV>
          </wp:anchor>
        </w:drawing>
      </w:r>
      <w:r w:rsidRPr="00DE058F">
        <w:rPr>
          <w:rFonts w:ascii="Calibri" w:eastAsia="Calibri" w:hAnsi="Calibri" w:cs="Times New Roman"/>
          <w:b/>
          <w:color w:val="002060"/>
          <w:lang w:val="sr-Cyrl-CS"/>
        </w:rPr>
        <w:t>Однос дуга и БДП на крају 2025. године</w:t>
      </w:r>
    </w:p>
    <w:p w14:paraId="05DAE993" w14:textId="77777777" w:rsidR="00BB2F03" w:rsidRPr="00DE058F" w:rsidRDefault="00BB2F03" w:rsidP="00C91F83">
      <w:pPr>
        <w:spacing w:line="256" w:lineRule="auto"/>
        <w:rPr>
          <w:rFonts w:ascii="Calibri" w:eastAsia="Calibri" w:hAnsi="Calibri" w:cs="Times New Roman"/>
          <w:b/>
          <w:color w:val="002060"/>
          <w:lang w:val="sr-Cyrl-CS"/>
        </w:rPr>
      </w:pPr>
    </w:p>
    <w:p w14:paraId="3A3F5889" w14:textId="77777777" w:rsidR="00BB2F03" w:rsidRPr="00DE058F" w:rsidRDefault="00BB2F03" w:rsidP="00C91F83">
      <w:pPr>
        <w:spacing w:line="256" w:lineRule="auto"/>
        <w:rPr>
          <w:rFonts w:ascii="Calibri" w:eastAsia="Calibri" w:hAnsi="Calibri" w:cs="Times New Roman"/>
          <w:b/>
          <w:color w:val="002060"/>
          <w:lang w:val="sr-Cyrl-CS"/>
        </w:rPr>
      </w:pPr>
    </w:p>
    <w:p w14:paraId="2B345916" w14:textId="77777777" w:rsidR="00BB2F03" w:rsidRPr="00DE058F" w:rsidRDefault="00BB2F03" w:rsidP="00C91F83">
      <w:pPr>
        <w:spacing w:line="256" w:lineRule="auto"/>
        <w:rPr>
          <w:rFonts w:ascii="Calibri" w:eastAsia="Calibri" w:hAnsi="Calibri" w:cs="Times New Roman"/>
          <w:b/>
          <w:color w:val="002060"/>
          <w:lang w:val="sr-Cyrl-CS"/>
        </w:rPr>
      </w:pPr>
    </w:p>
    <w:p w14:paraId="124A6841" w14:textId="77777777" w:rsidR="00BB2F03" w:rsidRPr="00DE058F" w:rsidRDefault="00BB2F03" w:rsidP="00C91F83">
      <w:pPr>
        <w:spacing w:line="256" w:lineRule="auto"/>
        <w:rPr>
          <w:rFonts w:ascii="Calibri" w:eastAsia="Calibri" w:hAnsi="Calibri" w:cs="Times New Roman"/>
          <w:b/>
          <w:color w:val="002060"/>
          <w:lang w:val="sr-Cyrl-CS"/>
        </w:rPr>
      </w:pPr>
    </w:p>
    <w:p w14:paraId="4B8E2F20" w14:textId="77777777" w:rsidR="00BB2F03" w:rsidRPr="00DE058F" w:rsidRDefault="00BB2F03" w:rsidP="00C91F83">
      <w:pPr>
        <w:spacing w:line="256" w:lineRule="auto"/>
        <w:rPr>
          <w:rFonts w:ascii="Calibri" w:eastAsia="Calibri" w:hAnsi="Calibri" w:cs="Times New Roman"/>
          <w:b/>
          <w:color w:val="002060"/>
          <w:lang w:val="sr-Cyrl-CS"/>
        </w:rPr>
      </w:pPr>
    </w:p>
    <w:p w14:paraId="28B2AA3B" w14:textId="77777777" w:rsidR="00BB2F03" w:rsidRPr="00DE058F" w:rsidRDefault="00BB2F03" w:rsidP="00C91F83">
      <w:pPr>
        <w:spacing w:line="256" w:lineRule="auto"/>
        <w:rPr>
          <w:rFonts w:ascii="Calibri" w:eastAsia="Calibri" w:hAnsi="Calibri" w:cs="Times New Roman"/>
          <w:b/>
          <w:color w:val="002060"/>
          <w:lang w:val="sr-Cyrl-CS"/>
        </w:rPr>
      </w:pPr>
    </w:p>
    <w:p w14:paraId="69395779" w14:textId="77777777" w:rsidR="00BB2F03" w:rsidRPr="00DE058F" w:rsidRDefault="00BB2F03" w:rsidP="00C91F83">
      <w:pPr>
        <w:spacing w:line="256" w:lineRule="auto"/>
        <w:rPr>
          <w:rFonts w:ascii="Calibri" w:eastAsia="Calibri" w:hAnsi="Calibri" w:cs="Times New Roman"/>
          <w:b/>
          <w:color w:val="002060"/>
          <w:lang w:val="sr-Cyrl-CS"/>
        </w:rPr>
      </w:pPr>
    </w:p>
    <w:p w14:paraId="57DDA615" w14:textId="77777777" w:rsidR="00BB2F03" w:rsidRPr="00DE058F" w:rsidRDefault="00BB2F03" w:rsidP="00C91F83">
      <w:pPr>
        <w:spacing w:line="256" w:lineRule="auto"/>
        <w:jc w:val="center"/>
        <w:rPr>
          <w:rFonts w:ascii="Calibri" w:eastAsia="Calibri" w:hAnsi="Calibri" w:cs="Times New Roman"/>
          <w:b/>
          <w:color w:val="002060"/>
          <w:lang w:val="sr-Cyrl-CS"/>
        </w:rPr>
      </w:pPr>
      <w:r w:rsidRPr="00DE058F">
        <w:rPr>
          <w:noProof/>
        </w:rPr>
        <w:drawing>
          <wp:anchor distT="0" distB="0" distL="114300" distR="114300" simplePos="0" relativeHeight="251680256" behindDoc="0" locked="0" layoutInCell="1" allowOverlap="1" wp14:anchorId="6C82B9AB" wp14:editId="6E19D28C">
            <wp:simplePos x="0" y="0"/>
            <wp:positionH relativeFrom="column">
              <wp:posOffset>57150</wp:posOffset>
            </wp:positionH>
            <wp:positionV relativeFrom="paragraph">
              <wp:posOffset>234950</wp:posOffset>
            </wp:positionV>
            <wp:extent cx="2685600" cy="1620000"/>
            <wp:effectExtent l="0" t="0" r="635" b="0"/>
            <wp:wrapNone/>
            <wp:docPr id="91" name="Chart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14:sizeRelH relativeFrom="margin">
              <wp14:pctWidth>0</wp14:pctWidth>
            </wp14:sizeRelH>
            <wp14:sizeRelV relativeFrom="margin">
              <wp14:pctHeight>0</wp14:pctHeight>
            </wp14:sizeRelV>
          </wp:anchor>
        </w:drawing>
      </w:r>
      <w:r w:rsidRPr="00DE058F">
        <w:rPr>
          <w:rFonts w:ascii="Calibri" w:eastAsia="Calibri" w:hAnsi="Calibri" w:cs="Times New Roman"/>
          <w:b/>
          <w:color w:val="002060"/>
          <w:lang w:val="sr-Cyrl-CS"/>
        </w:rPr>
        <w:t>Однос камата и БДП на крају 2025. године</w:t>
      </w:r>
    </w:p>
    <w:p w14:paraId="6D394765" w14:textId="77777777" w:rsidR="00BB2F03" w:rsidRPr="00DE058F" w:rsidRDefault="00BB2F03" w:rsidP="00C91F83">
      <w:pPr>
        <w:spacing w:line="256" w:lineRule="auto"/>
        <w:rPr>
          <w:rFonts w:ascii="Calibri" w:eastAsia="Calibri" w:hAnsi="Calibri" w:cs="Times New Roman"/>
          <w:b/>
          <w:lang w:val="sr-Cyrl-CS"/>
        </w:rPr>
      </w:pPr>
    </w:p>
    <w:p w14:paraId="4974F0BE" w14:textId="77777777" w:rsidR="00BB2F03" w:rsidRPr="00DE058F" w:rsidRDefault="00BB2F03" w:rsidP="00C91F83">
      <w:pPr>
        <w:spacing w:line="256" w:lineRule="auto"/>
        <w:jc w:val="center"/>
        <w:rPr>
          <w:rFonts w:ascii="Calibri" w:eastAsia="Calibri" w:hAnsi="Calibri" w:cs="Times New Roman"/>
          <w:b/>
          <w:color w:val="002060"/>
          <w:lang w:val="sr-Cyrl-CS"/>
        </w:rPr>
      </w:pPr>
    </w:p>
    <w:p w14:paraId="26447707" w14:textId="77777777" w:rsidR="00BB2F03" w:rsidRPr="00DE058F" w:rsidRDefault="00BB2F03" w:rsidP="00C91F83">
      <w:pPr>
        <w:spacing w:line="256" w:lineRule="auto"/>
        <w:jc w:val="center"/>
        <w:rPr>
          <w:rFonts w:ascii="Calibri" w:eastAsia="Calibri" w:hAnsi="Calibri" w:cs="Times New Roman"/>
          <w:b/>
          <w:color w:val="002060"/>
          <w:lang w:val="sr-Cyrl-CS"/>
        </w:rPr>
      </w:pPr>
    </w:p>
    <w:p w14:paraId="2B96FE64" w14:textId="77777777" w:rsidR="00BB2F03" w:rsidRPr="00DE058F" w:rsidRDefault="00BB2F03" w:rsidP="00C91F83">
      <w:pPr>
        <w:spacing w:line="256" w:lineRule="auto"/>
        <w:jc w:val="center"/>
        <w:rPr>
          <w:rFonts w:ascii="Calibri" w:eastAsia="Calibri" w:hAnsi="Calibri" w:cs="Times New Roman"/>
          <w:b/>
          <w:color w:val="002060"/>
          <w:lang w:val="sr-Cyrl-CS"/>
        </w:rPr>
      </w:pPr>
    </w:p>
    <w:p w14:paraId="5AAA1AAB" w14:textId="77777777" w:rsidR="00BB2F03" w:rsidRPr="00DE058F" w:rsidRDefault="00BB2F03" w:rsidP="00C91F83">
      <w:pPr>
        <w:spacing w:line="256" w:lineRule="auto"/>
        <w:jc w:val="center"/>
        <w:rPr>
          <w:rFonts w:ascii="Calibri" w:eastAsia="Calibri" w:hAnsi="Calibri" w:cs="Times New Roman"/>
          <w:b/>
          <w:color w:val="002060"/>
          <w:lang w:val="sr-Cyrl-CS"/>
        </w:rPr>
      </w:pPr>
    </w:p>
    <w:p w14:paraId="4ACDF1E1" w14:textId="77777777" w:rsidR="00BB2F03" w:rsidRPr="00DE058F" w:rsidRDefault="00BB2F03" w:rsidP="00C91F83">
      <w:pPr>
        <w:spacing w:line="256" w:lineRule="auto"/>
        <w:jc w:val="center"/>
        <w:rPr>
          <w:rFonts w:ascii="Calibri" w:eastAsia="Calibri" w:hAnsi="Calibri" w:cs="Times New Roman"/>
          <w:b/>
          <w:color w:val="002060"/>
          <w:lang w:val="sr-Cyrl-CS"/>
        </w:rPr>
      </w:pPr>
    </w:p>
    <w:p w14:paraId="59C523D2" w14:textId="77777777" w:rsidR="00BB2F03" w:rsidRPr="00DE058F" w:rsidRDefault="00BB2F03" w:rsidP="00C91F83">
      <w:pPr>
        <w:spacing w:after="0" w:line="256" w:lineRule="auto"/>
        <w:jc w:val="left"/>
        <w:rPr>
          <w:rFonts w:ascii="Calibri" w:eastAsia="Calibri" w:hAnsi="Calibri" w:cs="Calibri"/>
          <w:bCs/>
          <w:szCs w:val="72"/>
          <w:lang w:val="sr-Cyrl-CS"/>
        </w:rPr>
        <w:sectPr w:rsidR="00BB2F03" w:rsidRPr="00DE058F">
          <w:type w:val="continuous"/>
          <w:pgSz w:w="12240" w:h="15840"/>
          <w:pgMar w:top="1440" w:right="1440" w:bottom="1440" w:left="1440" w:header="720" w:footer="720" w:gutter="0"/>
          <w:cols w:num="2" w:space="720"/>
        </w:sectPr>
      </w:pPr>
    </w:p>
    <w:p w14:paraId="7AFC1C62" w14:textId="140FA11A" w:rsidR="00BB2F03" w:rsidRPr="00DE058F" w:rsidRDefault="00BB2F03" w:rsidP="00C91F83">
      <w:pPr>
        <w:spacing w:line="256" w:lineRule="auto"/>
        <w:jc w:val="center"/>
        <w:rPr>
          <w:rFonts w:ascii="Calibri" w:eastAsia="Calibri" w:hAnsi="Calibri" w:cs="Times New Roman"/>
          <w:b/>
          <w:color w:val="002060"/>
          <w:lang w:val="sr-Cyrl-CS"/>
        </w:rPr>
      </w:pPr>
      <w:r w:rsidRPr="00DE058F">
        <w:rPr>
          <w:rFonts w:ascii="Calibri" w:eastAsia="Calibri" w:hAnsi="Calibri" w:cs="Times New Roman"/>
          <w:b/>
          <w:color w:val="002060"/>
          <w:lang w:val="sr-Cyrl-CS"/>
        </w:rPr>
        <w:lastRenderedPageBreak/>
        <w:t>Табела 2</w:t>
      </w:r>
      <w:r w:rsidR="00623E62" w:rsidRPr="00DE058F">
        <w:rPr>
          <w:rFonts w:ascii="Calibri" w:eastAsia="Calibri" w:hAnsi="Calibri" w:cs="Times New Roman"/>
          <w:b/>
          <w:color w:val="002060"/>
          <w:lang w:val="sr-Cyrl-CS"/>
        </w:rPr>
        <w:t>7</w:t>
      </w:r>
      <w:r w:rsidRPr="00DE058F">
        <w:rPr>
          <w:rFonts w:ascii="Calibri" w:eastAsia="Calibri" w:hAnsi="Calibri" w:cs="Times New Roman"/>
          <w:b/>
          <w:color w:val="002060"/>
          <w:lang w:val="sr-Cyrl-CS"/>
        </w:rPr>
        <w:t>. Однос јавног дуга и БДП на крају 2025. године</w:t>
      </w:r>
    </w:p>
    <w:tbl>
      <w:tblPr>
        <w:tblStyle w:val="LightShading-Accent1222"/>
        <w:tblW w:w="5000" w:type="pct"/>
        <w:tblInd w:w="0" w:type="dxa"/>
        <w:tblLook w:val="04A0" w:firstRow="1" w:lastRow="0" w:firstColumn="1" w:lastColumn="0" w:noHBand="0" w:noVBand="1"/>
      </w:tblPr>
      <w:tblGrid>
        <w:gridCol w:w="5032"/>
        <w:gridCol w:w="1082"/>
        <w:gridCol w:w="1082"/>
        <w:gridCol w:w="1082"/>
        <w:gridCol w:w="1082"/>
      </w:tblGrid>
      <w:tr w:rsidR="00BB2F03" w:rsidRPr="00DE058F" w14:paraId="16757B89" w14:textId="77777777" w:rsidTr="00C91F83">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single" w:sz="4" w:space="0" w:color="002060"/>
              <w:bottom w:val="nil"/>
            </w:tcBorders>
            <w:noWrap/>
            <w:hideMark/>
          </w:tcPr>
          <w:p w14:paraId="34D9C76D" w14:textId="77777777" w:rsidR="00BB2F03" w:rsidRPr="00DE058F" w:rsidRDefault="00BB2F03" w:rsidP="00C91F83">
            <w:pPr>
              <w:rPr>
                <w:rFonts w:ascii="Calibri" w:hAnsi="Calibri" w:cs="Calibri"/>
                <w:color w:val="002060"/>
                <w:sz w:val="18"/>
                <w:szCs w:val="18"/>
                <w:lang w:val="sr-Cyrl-CS"/>
              </w:rPr>
            </w:pPr>
            <w:r w:rsidRPr="00DE058F">
              <w:rPr>
                <w:rFonts w:ascii="Calibri" w:hAnsi="Calibri" w:cs="Calibri"/>
                <w:color w:val="002060"/>
                <w:sz w:val="18"/>
                <w:szCs w:val="18"/>
                <w:lang w:val="sr-Cyrl-CS"/>
              </w:rPr>
              <w:t>Сценарији</w:t>
            </w:r>
          </w:p>
        </w:tc>
        <w:tc>
          <w:tcPr>
            <w:tcW w:w="578" w:type="pct"/>
            <w:tcBorders>
              <w:top w:val="single" w:sz="4" w:space="0" w:color="002060"/>
              <w:bottom w:val="single" w:sz="4" w:space="0" w:color="002060"/>
            </w:tcBorders>
            <w:noWrap/>
            <w:hideMark/>
          </w:tcPr>
          <w:p w14:paraId="21C462C3" w14:textId="77777777" w:rsidR="00BB2F03" w:rsidRPr="00DE058F" w:rsidRDefault="00BB2F03"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C1</w:t>
            </w:r>
          </w:p>
        </w:tc>
        <w:tc>
          <w:tcPr>
            <w:tcW w:w="578" w:type="pct"/>
            <w:tcBorders>
              <w:top w:val="single" w:sz="4" w:space="0" w:color="002060"/>
              <w:bottom w:val="single" w:sz="4" w:space="0" w:color="002060"/>
            </w:tcBorders>
            <w:noWrap/>
            <w:hideMark/>
          </w:tcPr>
          <w:p w14:paraId="060D953B" w14:textId="77777777" w:rsidR="00BB2F03" w:rsidRPr="00DE058F" w:rsidRDefault="00BB2F03"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C2</w:t>
            </w:r>
          </w:p>
        </w:tc>
        <w:tc>
          <w:tcPr>
            <w:tcW w:w="578" w:type="pct"/>
            <w:tcBorders>
              <w:top w:val="single" w:sz="4" w:space="0" w:color="002060"/>
              <w:bottom w:val="single" w:sz="4" w:space="0" w:color="002060"/>
            </w:tcBorders>
            <w:noWrap/>
            <w:hideMark/>
          </w:tcPr>
          <w:p w14:paraId="5222A95C" w14:textId="77777777" w:rsidR="00BB2F03" w:rsidRPr="00DE058F" w:rsidRDefault="00BB2F03"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C3</w:t>
            </w:r>
          </w:p>
        </w:tc>
        <w:tc>
          <w:tcPr>
            <w:tcW w:w="578" w:type="pct"/>
            <w:tcBorders>
              <w:top w:val="single" w:sz="4" w:space="0" w:color="002060"/>
              <w:bottom w:val="single" w:sz="4" w:space="0" w:color="002060"/>
            </w:tcBorders>
            <w:noWrap/>
            <w:hideMark/>
          </w:tcPr>
          <w:p w14:paraId="16C81FB7" w14:textId="77777777" w:rsidR="00BB2F03" w:rsidRPr="00DE058F" w:rsidRDefault="00BB2F03"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C4</w:t>
            </w:r>
          </w:p>
        </w:tc>
      </w:tr>
      <w:tr w:rsidR="00BB2F03" w:rsidRPr="00DE058F" w14:paraId="158FF4D6" w14:textId="77777777" w:rsidTr="00C91F83">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3410F842"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 xml:space="preserve"> Основни сценарио</w:t>
            </w:r>
          </w:p>
        </w:tc>
        <w:tc>
          <w:tcPr>
            <w:tcW w:w="578" w:type="pct"/>
            <w:tcBorders>
              <w:top w:val="nil"/>
              <w:bottom w:val="nil"/>
            </w:tcBorders>
            <w:shd w:val="clear" w:color="auto" w:fill="E7E6E6" w:themeFill="background2"/>
            <w:noWrap/>
            <w:hideMark/>
          </w:tcPr>
          <w:p w14:paraId="0A10CC61"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48,5</w:t>
            </w:r>
          </w:p>
        </w:tc>
        <w:tc>
          <w:tcPr>
            <w:tcW w:w="578" w:type="pct"/>
            <w:tcBorders>
              <w:top w:val="nil"/>
              <w:bottom w:val="nil"/>
            </w:tcBorders>
            <w:shd w:val="clear" w:color="auto" w:fill="E7E6E6" w:themeFill="background2"/>
            <w:noWrap/>
            <w:hideMark/>
          </w:tcPr>
          <w:p w14:paraId="417D54E5"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48,7</w:t>
            </w:r>
          </w:p>
        </w:tc>
        <w:tc>
          <w:tcPr>
            <w:tcW w:w="578" w:type="pct"/>
            <w:tcBorders>
              <w:top w:val="nil"/>
              <w:bottom w:val="nil"/>
            </w:tcBorders>
            <w:shd w:val="clear" w:color="auto" w:fill="E7E6E6" w:themeFill="background2"/>
            <w:noWrap/>
            <w:hideMark/>
          </w:tcPr>
          <w:p w14:paraId="002E9CC1"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48,5</w:t>
            </w:r>
          </w:p>
        </w:tc>
        <w:tc>
          <w:tcPr>
            <w:tcW w:w="578" w:type="pct"/>
            <w:tcBorders>
              <w:top w:val="nil"/>
              <w:bottom w:val="nil"/>
            </w:tcBorders>
            <w:shd w:val="clear" w:color="auto" w:fill="E7E6E6" w:themeFill="background2"/>
            <w:noWrap/>
            <w:hideMark/>
          </w:tcPr>
          <w:p w14:paraId="17403723"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48,8</w:t>
            </w:r>
          </w:p>
        </w:tc>
      </w:tr>
      <w:tr w:rsidR="00BB2F03" w:rsidRPr="00DE058F" w14:paraId="23BE434C" w14:textId="77777777" w:rsidTr="00C91F83">
        <w:trPr>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4EB083A6"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 xml:space="preserve"> Шок девизног курса (15% све валуте) </w:t>
            </w:r>
          </w:p>
        </w:tc>
        <w:tc>
          <w:tcPr>
            <w:tcW w:w="578" w:type="pct"/>
            <w:tcBorders>
              <w:top w:val="nil"/>
              <w:left w:val="nil"/>
              <w:bottom w:val="nil"/>
              <w:right w:val="nil"/>
            </w:tcBorders>
            <w:shd w:val="clear" w:color="auto" w:fill="FFFFFF" w:themeFill="background1"/>
            <w:noWrap/>
            <w:hideMark/>
          </w:tcPr>
          <w:p w14:paraId="64B75565"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54,2</w:t>
            </w:r>
          </w:p>
        </w:tc>
        <w:tc>
          <w:tcPr>
            <w:tcW w:w="578" w:type="pct"/>
            <w:tcBorders>
              <w:top w:val="nil"/>
              <w:left w:val="nil"/>
              <w:bottom w:val="nil"/>
              <w:right w:val="nil"/>
            </w:tcBorders>
            <w:shd w:val="clear" w:color="auto" w:fill="FFFFFF" w:themeFill="background1"/>
            <w:noWrap/>
            <w:hideMark/>
          </w:tcPr>
          <w:p w14:paraId="6853EACA"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54,7</w:t>
            </w:r>
          </w:p>
        </w:tc>
        <w:tc>
          <w:tcPr>
            <w:tcW w:w="578" w:type="pct"/>
            <w:tcBorders>
              <w:top w:val="nil"/>
              <w:left w:val="nil"/>
              <w:bottom w:val="nil"/>
              <w:right w:val="nil"/>
            </w:tcBorders>
            <w:shd w:val="clear" w:color="auto" w:fill="FFFFFF" w:themeFill="background1"/>
            <w:noWrap/>
            <w:hideMark/>
          </w:tcPr>
          <w:p w14:paraId="7663452F"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54,5</w:t>
            </w:r>
          </w:p>
        </w:tc>
        <w:tc>
          <w:tcPr>
            <w:tcW w:w="578" w:type="pct"/>
            <w:tcBorders>
              <w:top w:val="nil"/>
              <w:left w:val="nil"/>
              <w:bottom w:val="nil"/>
              <w:right w:val="nil"/>
            </w:tcBorders>
            <w:shd w:val="clear" w:color="auto" w:fill="FFFFFF" w:themeFill="background1"/>
            <w:noWrap/>
            <w:hideMark/>
          </w:tcPr>
          <w:p w14:paraId="59621B4D"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53,7</w:t>
            </w:r>
          </w:p>
        </w:tc>
      </w:tr>
      <w:tr w:rsidR="00BB2F03" w:rsidRPr="00DE058F" w14:paraId="1E94208A" w14:textId="77777777" w:rsidTr="00C91F83">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55288AC8"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 xml:space="preserve"> Каматни шок (сценарио 1) </w:t>
            </w:r>
          </w:p>
        </w:tc>
        <w:tc>
          <w:tcPr>
            <w:tcW w:w="578" w:type="pct"/>
            <w:tcBorders>
              <w:top w:val="nil"/>
              <w:bottom w:val="nil"/>
            </w:tcBorders>
            <w:shd w:val="clear" w:color="auto" w:fill="E7E6E6" w:themeFill="background2"/>
            <w:noWrap/>
            <w:hideMark/>
          </w:tcPr>
          <w:p w14:paraId="0F610223"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49,1</w:t>
            </w:r>
          </w:p>
        </w:tc>
        <w:tc>
          <w:tcPr>
            <w:tcW w:w="578" w:type="pct"/>
            <w:tcBorders>
              <w:top w:val="nil"/>
              <w:bottom w:val="nil"/>
            </w:tcBorders>
            <w:shd w:val="clear" w:color="auto" w:fill="E7E6E6" w:themeFill="background2"/>
            <w:noWrap/>
            <w:hideMark/>
          </w:tcPr>
          <w:p w14:paraId="179BA646"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49,3</w:t>
            </w:r>
          </w:p>
        </w:tc>
        <w:tc>
          <w:tcPr>
            <w:tcW w:w="578" w:type="pct"/>
            <w:tcBorders>
              <w:top w:val="nil"/>
              <w:bottom w:val="nil"/>
            </w:tcBorders>
            <w:shd w:val="clear" w:color="auto" w:fill="E7E6E6" w:themeFill="background2"/>
            <w:noWrap/>
            <w:hideMark/>
          </w:tcPr>
          <w:p w14:paraId="49468FB0"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49,2</w:t>
            </w:r>
          </w:p>
        </w:tc>
        <w:tc>
          <w:tcPr>
            <w:tcW w:w="578" w:type="pct"/>
            <w:tcBorders>
              <w:top w:val="nil"/>
              <w:bottom w:val="nil"/>
            </w:tcBorders>
            <w:shd w:val="clear" w:color="auto" w:fill="E7E6E6" w:themeFill="background2"/>
            <w:noWrap/>
            <w:hideMark/>
          </w:tcPr>
          <w:p w14:paraId="33033EFC"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49,5</w:t>
            </w:r>
          </w:p>
        </w:tc>
      </w:tr>
      <w:tr w:rsidR="00BB2F03" w:rsidRPr="00DE058F" w14:paraId="066846EB" w14:textId="77777777" w:rsidTr="00C91F83">
        <w:trPr>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33B1238D"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 xml:space="preserve"> Каматни шок (сценарио 2)</w:t>
            </w:r>
          </w:p>
        </w:tc>
        <w:tc>
          <w:tcPr>
            <w:tcW w:w="578" w:type="pct"/>
            <w:tcBorders>
              <w:top w:val="nil"/>
              <w:left w:val="nil"/>
              <w:bottom w:val="nil"/>
              <w:right w:val="nil"/>
            </w:tcBorders>
            <w:shd w:val="clear" w:color="auto" w:fill="FFFFFF" w:themeFill="background1"/>
            <w:noWrap/>
            <w:hideMark/>
          </w:tcPr>
          <w:p w14:paraId="2DADB4C3"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49,5</w:t>
            </w:r>
          </w:p>
        </w:tc>
        <w:tc>
          <w:tcPr>
            <w:tcW w:w="578" w:type="pct"/>
            <w:tcBorders>
              <w:top w:val="nil"/>
              <w:left w:val="nil"/>
              <w:bottom w:val="nil"/>
              <w:right w:val="nil"/>
            </w:tcBorders>
            <w:shd w:val="clear" w:color="auto" w:fill="FFFFFF" w:themeFill="background1"/>
            <w:noWrap/>
            <w:hideMark/>
          </w:tcPr>
          <w:p w14:paraId="7BFC5CD3"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49,7</w:t>
            </w:r>
          </w:p>
        </w:tc>
        <w:tc>
          <w:tcPr>
            <w:tcW w:w="578" w:type="pct"/>
            <w:tcBorders>
              <w:top w:val="nil"/>
              <w:left w:val="nil"/>
              <w:bottom w:val="nil"/>
              <w:right w:val="nil"/>
            </w:tcBorders>
            <w:shd w:val="clear" w:color="auto" w:fill="FFFFFF" w:themeFill="background1"/>
            <w:noWrap/>
            <w:hideMark/>
          </w:tcPr>
          <w:p w14:paraId="1B820F81"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49,5</w:t>
            </w:r>
          </w:p>
        </w:tc>
        <w:tc>
          <w:tcPr>
            <w:tcW w:w="578" w:type="pct"/>
            <w:tcBorders>
              <w:top w:val="nil"/>
              <w:left w:val="nil"/>
              <w:bottom w:val="nil"/>
              <w:right w:val="nil"/>
            </w:tcBorders>
            <w:shd w:val="clear" w:color="auto" w:fill="FFFFFF" w:themeFill="background1"/>
            <w:noWrap/>
            <w:hideMark/>
          </w:tcPr>
          <w:p w14:paraId="67997D49"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50,0</w:t>
            </w:r>
          </w:p>
        </w:tc>
      </w:tr>
      <w:tr w:rsidR="00BB2F03" w:rsidRPr="00DE058F" w14:paraId="70AEB48A" w14:textId="77777777" w:rsidTr="00C91F83">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69756056"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 xml:space="preserve"> Комбиновани шок (15% УСД и каматни шок1) </w:t>
            </w:r>
          </w:p>
        </w:tc>
        <w:tc>
          <w:tcPr>
            <w:tcW w:w="578" w:type="pct"/>
            <w:tcBorders>
              <w:top w:val="nil"/>
              <w:bottom w:val="single" w:sz="4" w:space="0" w:color="auto"/>
            </w:tcBorders>
            <w:shd w:val="clear" w:color="auto" w:fill="E7E6E6" w:themeFill="background2"/>
            <w:noWrap/>
            <w:hideMark/>
          </w:tcPr>
          <w:p w14:paraId="56FDC192"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50,2</w:t>
            </w:r>
          </w:p>
        </w:tc>
        <w:tc>
          <w:tcPr>
            <w:tcW w:w="578" w:type="pct"/>
            <w:tcBorders>
              <w:top w:val="nil"/>
              <w:bottom w:val="single" w:sz="4" w:space="0" w:color="auto"/>
            </w:tcBorders>
            <w:shd w:val="clear" w:color="auto" w:fill="E7E6E6" w:themeFill="background2"/>
            <w:noWrap/>
            <w:hideMark/>
          </w:tcPr>
          <w:p w14:paraId="5FF7E151"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51,7</w:t>
            </w:r>
          </w:p>
        </w:tc>
        <w:tc>
          <w:tcPr>
            <w:tcW w:w="578" w:type="pct"/>
            <w:tcBorders>
              <w:top w:val="nil"/>
              <w:bottom w:val="single" w:sz="4" w:space="0" w:color="auto"/>
            </w:tcBorders>
            <w:shd w:val="clear" w:color="auto" w:fill="E7E6E6" w:themeFill="background2"/>
            <w:noWrap/>
            <w:hideMark/>
          </w:tcPr>
          <w:p w14:paraId="438BD41D"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50,2</w:t>
            </w:r>
          </w:p>
        </w:tc>
        <w:tc>
          <w:tcPr>
            <w:tcW w:w="578" w:type="pct"/>
            <w:tcBorders>
              <w:top w:val="nil"/>
              <w:bottom w:val="single" w:sz="4" w:space="0" w:color="auto"/>
            </w:tcBorders>
            <w:shd w:val="clear" w:color="auto" w:fill="E7E6E6" w:themeFill="background2"/>
            <w:noWrap/>
            <w:hideMark/>
          </w:tcPr>
          <w:p w14:paraId="665547C1"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50,6</w:t>
            </w:r>
          </w:p>
        </w:tc>
      </w:tr>
      <w:tr w:rsidR="00BB2F03" w:rsidRPr="00DE058F" w14:paraId="2AD72104" w14:textId="77777777" w:rsidTr="00C91F83">
        <w:trPr>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single" w:sz="4" w:space="0" w:color="auto"/>
              <w:right w:val="nil"/>
            </w:tcBorders>
            <w:noWrap/>
            <w:hideMark/>
          </w:tcPr>
          <w:p w14:paraId="795114E1"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 xml:space="preserve"> Максимални ризик </w:t>
            </w:r>
          </w:p>
        </w:tc>
        <w:tc>
          <w:tcPr>
            <w:tcW w:w="578" w:type="pct"/>
            <w:tcBorders>
              <w:top w:val="single" w:sz="4" w:space="0" w:color="auto"/>
              <w:left w:val="nil"/>
              <w:bottom w:val="single" w:sz="4" w:space="0" w:color="002060"/>
              <w:right w:val="nil"/>
            </w:tcBorders>
            <w:shd w:val="clear" w:color="auto" w:fill="FFFFFF" w:themeFill="background1"/>
            <w:noWrap/>
            <w:hideMark/>
          </w:tcPr>
          <w:p w14:paraId="369AFA98"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5,7</w:t>
            </w:r>
          </w:p>
        </w:tc>
        <w:tc>
          <w:tcPr>
            <w:tcW w:w="578" w:type="pct"/>
            <w:tcBorders>
              <w:top w:val="single" w:sz="4" w:space="0" w:color="auto"/>
              <w:left w:val="nil"/>
              <w:bottom w:val="single" w:sz="4" w:space="0" w:color="002060"/>
              <w:right w:val="nil"/>
            </w:tcBorders>
            <w:shd w:val="clear" w:color="auto" w:fill="FFFFFF" w:themeFill="background1"/>
            <w:noWrap/>
            <w:hideMark/>
          </w:tcPr>
          <w:p w14:paraId="728C609F"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6,1</w:t>
            </w:r>
          </w:p>
        </w:tc>
        <w:tc>
          <w:tcPr>
            <w:tcW w:w="578" w:type="pct"/>
            <w:tcBorders>
              <w:top w:val="single" w:sz="4" w:space="0" w:color="auto"/>
              <w:left w:val="nil"/>
              <w:bottom w:val="single" w:sz="4" w:space="0" w:color="002060"/>
              <w:right w:val="nil"/>
            </w:tcBorders>
            <w:shd w:val="clear" w:color="auto" w:fill="FFFFFF" w:themeFill="background1"/>
            <w:noWrap/>
            <w:hideMark/>
          </w:tcPr>
          <w:p w14:paraId="0E63B7F0"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6,0</w:t>
            </w:r>
          </w:p>
        </w:tc>
        <w:tc>
          <w:tcPr>
            <w:tcW w:w="578" w:type="pct"/>
            <w:tcBorders>
              <w:top w:val="single" w:sz="4" w:space="0" w:color="auto"/>
              <w:left w:val="nil"/>
              <w:bottom w:val="single" w:sz="4" w:space="0" w:color="002060"/>
              <w:right w:val="nil"/>
            </w:tcBorders>
            <w:shd w:val="clear" w:color="auto" w:fill="FFFFFF" w:themeFill="background1"/>
            <w:noWrap/>
            <w:hideMark/>
          </w:tcPr>
          <w:p w14:paraId="2294358D"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4,9</w:t>
            </w:r>
          </w:p>
        </w:tc>
      </w:tr>
    </w:tbl>
    <w:p w14:paraId="1A1A522C" w14:textId="77777777" w:rsidR="00BB2F03" w:rsidRPr="00DE058F" w:rsidRDefault="00BB2F03" w:rsidP="00C91F83">
      <w:pPr>
        <w:spacing w:line="256" w:lineRule="auto"/>
        <w:jc w:val="center"/>
        <w:rPr>
          <w:rFonts w:ascii="Calibri" w:eastAsia="Calibri" w:hAnsi="Calibri" w:cs="Times New Roman"/>
          <w:b/>
          <w:color w:val="002060"/>
          <w:lang w:val="sr-Cyrl-CS"/>
        </w:rPr>
      </w:pPr>
    </w:p>
    <w:p w14:paraId="7ECF32E7" w14:textId="6FAEF62D" w:rsidR="00BB2F03" w:rsidRPr="00DE058F" w:rsidRDefault="00BB2F03" w:rsidP="00C91F83">
      <w:pPr>
        <w:spacing w:line="256" w:lineRule="auto"/>
        <w:jc w:val="center"/>
        <w:rPr>
          <w:rFonts w:ascii="Calibri" w:eastAsia="Calibri" w:hAnsi="Calibri" w:cs="Times New Roman"/>
          <w:b/>
          <w:color w:val="002060"/>
          <w:lang w:val="sr-Cyrl-CS"/>
        </w:rPr>
      </w:pPr>
      <w:r w:rsidRPr="00DE058F">
        <w:rPr>
          <w:rFonts w:ascii="Calibri" w:eastAsia="Calibri" w:hAnsi="Calibri" w:cs="Times New Roman"/>
          <w:b/>
          <w:color w:val="002060"/>
          <w:lang w:val="sr-Cyrl-CS"/>
        </w:rPr>
        <w:t>Табела 2</w:t>
      </w:r>
      <w:r w:rsidR="00623E62" w:rsidRPr="00DE058F">
        <w:rPr>
          <w:rFonts w:ascii="Calibri" w:eastAsia="Calibri" w:hAnsi="Calibri" w:cs="Times New Roman"/>
          <w:b/>
          <w:color w:val="002060"/>
          <w:lang w:val="sr-Cyrl-CS"/>
        </w:rPr>
        <w:t>8</w:t>
      </w:r>
      <w:r w:rsidRPr="00DE058F">
        <w:rPr>
          <w:rFonts w:ascii="Calibri" w:eastAsia="Calibri" w:hAnsi="Calibri" w:cs="Times New Roman"/>
          <w:b/>
          <w:color w:val="002060"/>
          <w:lang w:val="sr-Cyrl-CS"/>
        </w:rPr>
        <w:t>. Однос плаћања по основу камата и БДП на крају 2025. године</w:t>
      </w:r>
    </w:p>
    <w:tbl>
      <w:tblPr>
        <w:tblStyle w:val="LightShading-Accent1222"/>
        <w:tblW w:w="5000" w:type="pct"/>
        <w:tblInd w:w="0" w:type="dxa"/>
        <w:tblLook w:val="04A0" w:firstRow="1" w:lastRow="0" w:firstColumn="1" w:lastColumn="0" w:noHBand="0" w:noVBand="1"/>
      </w:tblPr>
      <w:tblGrid>
        <w:gridCol w:w="5032"/>
        <w:gridCol w:w="1082"/>
        <w:gridCol w:w="1082"/>
        <w:gridCol w:w="1082"/>
        <w:gridCol w:w="1082"/>
      </w:tblGrid>
      <w:tr w:rsidR="00BB2F03" w:rsidRPr="00DE058F" w14:paraId="7A92250A" w14:textId="77777777" w:rsidTr="00C91F83">
        <w:trPr>
          <w:cnfStyle w:val="100000000000" w:firstRow="1" w:lastRow="0" w:firstColumn="0" w:lastColumn="0" w:oddVBand="0" w:evenVBand="0" w:oddHBand="0"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single" w:sz="4" w:space="0" w:color="002060"/>
              <w:bottom w:val="single" w:sz="8" w:space="0" w:color="FFFFFF" w:themeColor="background1"/>
            </w:tcBorders>
            <w:noWrap/>
            <w:hideMark/>
          </w:tcPr>
          <w:p w14:paraId="6DE0CEB6" w14:textId="77777777" w:rsidR="00BB2F03" w:rsidRPr="00DE058F" w:rsidRDefault="00BB2F03" w:rsidP="00C91F83">
            <w:pPr>
              <w:rPr>
                <w:rFonts w:ascii="Calibri" w:hAnsi="Calibri" w:cs="Calibri"/>
                <w:color w:val="002060"/>
                <w:sz w:val="18"/>
                <w:szCs w:val="18"/>
                <w:lang w:val="sr-Cyrl-CS"/>
              </w:rPr>
            </w:pPr>
            <w:r w:rsidRPr="00DE058F">
              <w:rPr>
                <w:rFonts w:ascii="Calibri" w:hAnsi="Calibri" w:cs="Calibri"/>
                <w:color w:val="002060"/>
                <w:sz w:val="18"/>
                <w:szCs w:val="18"/>
                <w:lang w:val="sr-Cyrl-CS"/>
              </w:rPr>
              <w:t>Сценарији</w:t>
            </w:r>
          </w:p>
        </w:tc>
        <w:tc>
          <w:tcPr>
            <w:tcW w:w="578" w:type="pct"/>
            <w:tcBorders>
              <w:top w:val="single" w:sz="4" w:space="0" w:color="002060"/>
              <w:bottom w:val="single" w:sz="4" w:space="0" w:color="002060"/>
            </w:tcBorders>
            <w:noWrap/>
            <w:hideMark/>
          </w:tcPr>
          <w:p w14:paraId="646713A0" w14:textId="77777777" w:rsidR="00BB2F03" w:rsidRPr="00DE058F" w:rsidRDefault="00BB2F03"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C1</w:t>
            </w:r>
          </w:p>
        </w:tc>
        <w:tc>
          <w:tcPr>
            <w:tcW w:w="578" w:type="pct"/>
            <w:tcBorders>
              <w:top w:val="single" w:sz="4" w:space="0" w:color="002060"/>
              <w:bottom w:val="single" w:sz="4" w:space="0" w:color="002060"/>
            </w:tcBorders>
            <w:noWrap/>
            <w:hideMark/>
          </w:tcPr>
          <w:p w14:paraId="6168D689" w14:textId="77777777" w:rsidR="00BB2F03" w:rsidRPr="00DE058F" w:rsidRDefault="00BB2F03"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C2</w:t>
            </w:r>
          </w:p>
        </w:tc>
        <w:tc>
          <w:tcPr>
            <w:tcW w:w="578" w:type="pct"/>
            <w:tcBorders>
              <w:top w:val="single" w:sz="4" w:space="0" w:color="002060"/>
              <w:bottom w:val="single" w:sz="4" w:space="0" w:color="002060"/>
            </w:tcBorders>
            <w:noWrap/>
            <w:hideMark/>
          </w:tcPr>
          <w:p w14:paraId="0DFB37D0" w14:textId="77777777" w:rsidR="00BB2F03" w:rsidRPr="00DE058F" w:rsidRDefault="00BB2F03"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C3</w:t>
            </w:r>
          </w:p>
        </w:tc>
        <w:tc>
          <w:tcPr>
            <w:tcW w:w="578" w:type="pct"/>
            <w:tcBorders>
              <w:top w:val="single" w:sz="4" w:space="0" w:color="002060"/>
              <w:bottom w:val="single" w:sz="4" w:space="0" w:color="002060"/>
            </w:tcBorders>
            <w:noWrap/>
            <w:hideMark/>
          </w:tcPr>
          <w:p w14:paraId="7998EB91" w14:textId="77777777" w:rsidR="00BB2F03" w:rsidRPr="00DE058F" w:rsidRDefault="00BB2F03" w:rsidP="00C91F83">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C4</w:t>
            </w:r>
          </w:p>
        </w:tc>
      </w:tr>
      <w:tr w:rsidR="00BB2F03" w:rsidRPr="00DE058F" w14:paraId="40B80D9A" w14:textId="77777777" w:rsidTr="00C91F83">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single" w:sz="8" w:space="0" w:color="FFFFFF" w:themeColor="background1"/>
              <w:bottom w:val="nil"/>
            </w:tcBorders>
            <w:shd w:val="clear" w:color="auto" w:fill="E7E6E6" w:themeFill="background2"/>
            <w:noWrap/>
            <w:hideMark/>
          </w:tcPr>
          <w:p w14:paraId="53A3EB24"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 xml:space="preserve"> Основни сценарио</w:t>
            </w:r>
          </w:p>
        </w:tc>
        <w:tc>
          <w:tcPr>
            <w:tcW w:w="578" w:type="pct"/>
            <w:tcBorders>
              <w:top w:val="nil"/>
              <w:bottom w:val="nil"/>
            </w:tcBorders>
            <w:shd w:val="clear" w:color="auto" w:fill="E7E6E6" w:themeFill="background2"/>
            <w:noWrap/>
            <w:hideMark/>
          </w:tcPr>
          <w:p w14:paraId="52809D51"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1,5</w:t>
            </w:r>
          </w:p>
        </w:tc>
        <w:tc>
          <w:tcPr>
            <w:tcW w:w="578" w:type="pct"/>
            <w:tcBorders>
              <w:top w:val="nil"/>
              <w:bottom w:val="nil"/>
            </w:tcBorders>
            <w:shd w:val="clear" w:color="auto" w:fill="E7E6E6" w:themeFill="background2"/>
            <w:noWrap/>
            <w:hideMark/>
          </w:tcPr>
          <w:p w14:paraId="2B201314"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1,5</w:t>
            </w:r>
          </w:p>
        </w:tc>
        <w:tc>
          <w:tcPr>
            <w:tcW w:w="578" w:type="pct"/>
            <w:tcBorders>
              <w:top w:val="nil"/>
              <w:bottom w:val="nil"/>
            </w:tcBorders>
            <w:shd w:val="clear" w:color="auto" w:fill="E7E6E6" w:themeFill="background2"/>
            <w:noWrap/>
            <w:hideMark/>
          </w:tcPr>
          <w:p w14:paraId="0888BA44"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1,4</w:t>
            </w:r>
          </w:p>
        </w:tc>
        <w:tc>
          <w:tcPr>
            <w:tcW w:w="578" w:type="pct"/>
            <w:tcBorders>
              <w:top w:val="nil"/>
              <w:bottom w:val="nil"/>
            </w:tcBorders>
            <w:shd w:val="clear" w:color="auto" w:fill="E7E6E6" w:themeFill="background2"/>
            <w:noWrap/>
            <w:hideMark/>
          </w:tcPr>
          <w:p w14:paraId="005E6792"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1,8</w:t>
            </w:r>
          </w:p>
        </w:tc>
      </w:tr>
      <w:tr w:rsidR="00BB2F03" w:rsidRPr="00DE058F" w14:paraId="4C253039" w14:textId="77777777" w:rsidTr="00C91F83">
        <w:trPr>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6FEEA450"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 xml:space="preserve"> Шок девизног курса (15% све валуте) </w:t>
            </w:r>
          </w:p>
        </w:tc>
        <w:tc>
          <w:tcPr>
            <w:tcW w:w="578" w:type="pct"/>
            <w:tcBorders>
              <w:top w:val="nil"/>
              <w:left w:val="nil"/>
              <w:bottom w:val="nil"/>
              <w:right w:val="nil"/>
            </w:tcBorders>
            <w:noWrap/>
            <w:hideMark/>
          </w:tcPr>
          <w:p w14:paraId="31227159"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1,7</w:t>
            </w:r>
          </w:p>
        </w:tc>
        <w:tc>
          <w:tcPr>
            <w:tcW w:w="578" w:type="pct"/>
            <w:tcBorders>
              <w:top w:val="nil"/>
              <w:left w:val="nil"/>
              <w:bottom w:val="nil"/>
              <w:right w:val="nil"/>
            </w:tcBorders>
            <w:noWrap/>
            <w:hideMark/>
          </w:tcPr>
          <w:p w14:paraId="1163268C"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1,7</w:t>
            </w:r>
          </w:p>
        </w:tc>
        <w:tc>
          <w:tcPr>
            <w:tcW w:w="578" w:type="pct"/>
            <w:tcBorders>
              <w:top w:val="nil"/>
              <w:left w:val="nil"/>
              <w:bottom w:val="nil"/>
              <w:right w:val="nil"/>
            </w:tcBorders>
            <w:noWrap/>
            <w:hideMark/>
          </w:tcPr>
          <w:p w14:paraId="23CA79B7"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1,6</w:t>
            </w:r>
          </w:p>
        </w:tc>
        <w:tc>
          <w:tcPr>
            <w:tcW w:w="578" w:type="pct"/>
            <w:tcBorders>
              <w:top w:val="nil"/>
              <w:left w:val="nil"/>
              <w:bottom w:val="nil"/>
              <w:right w:val="nil"/>
            </w:tcBorders>
            <w:noWrap/>
            <w:hideMark/>
          </w:tcPr>
          <w:p w14:paraId="29AC2571"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1,9</w:t>
            </w:r>
          </w:p>
        </w:tc>
      </w:tr>
      <w:tr w:rsidR="00BB2F03" w:rsidRPr="00DE058F" w14:paraId="187E1BAA" w14:textId="77777777" w:rsidTr="00C91F83">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49B7E22F"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 xml:space="preserve"> Каматни шок (сценарио 1) </w:t>
            </w:r>
          </w:p>
        </w:tc>
        <w:tc>
          <w:tcPr>
            <w:tcW w:w="578" w:type="pct"/>
            <w:tcBorders>
              <w:top w:val="nil"/>
              <w:bottom w:val="nil"/>
            </w:tcBorders>
            <w:shd w:val="clear" w:color="auto" w:fill="E7E6E6" w:themeFill="background2"/>
            <w:noWrap/>
            <w:hideMark/>
          </w:tcPr>
          <w:p w14:paraId="2E6CF8FF"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1,8</w:t>
            </w:r>
          </w:p>
        </w:tc>
        <w:tc>
          <w:tcPr>
            <w:tcW w:w="578" w:type="pct"/>
            <w:tcBorders>
              <w:top w:val="nil"/>
              <w:bottom w:val="nil"/>
            </w:tcBorders>
            <w:shd w:val="clear" w:color="auto" w:fill="E7E6E6" w:themeFill="background2"/>
            <w:noWrap/>
            <w:hideMark/>
          </w:tcPr>
          <w:p w14:paraId="259912E6"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1,9</w:t>
            </w:r>
          </w:p>
        </w:tc>
        <w:tc>
          <w:tcPr>
            <w:tcW w:w="578" w:type="pct"/>
            <w:tcBorders>
              <w:top w:val="nil"/>
              <w:bottom w:val="nil"/>
            </w:tcBorders>
            <w:shd w:val="clear" w:color="auto" w:fill="E7E6E6" w:themeFill="background2"/>
            <w:noWrap/>
            <w:hideMark/>
          </w:tcPr>
          <w:p w14:paraId="7C76C73C"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1,8</w:t>
            </w:r>
          </w:p>
        </w:tc>
        <w:tc>
          <w:tcPr>
            <w:tcW w:w="578" w:type="pct"/>
            <w:tcBorders>
              <w:top w:val="nil"/>
              <w:bottom w:val="nil"/>
            </w:tcBorders>
            <w:shd w:val="clear" w:color="auto" w:fill="E7E6E6" w:themeFill="background2"/>
            <w:noWrap/>
            <w:hideMark/>
          </w:tcPr>
          <w:p w14:paraId="73C64626"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2,2</w:t>
            </w:r>
          </w:p>
        </w:tc>
      </w:tr>
      <w:tr w:rsidR="00BB2F03" w:rsidRPr="00DE058F" w14:paraId="28E29965" w14:textId="77777777" w:rsidTr="00C91F83">
        <w:trPr>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38F805FA"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 xml:space="preserve"> Каматни шок (сценарио 2)</w:t>
            </w:r>
          </w:p>
        </w:tc>
        <w:tc>
          <w:tcPr>
            <w:tcW w:w="578" w:type="pct"/>
            <w:tcBorders>
              <w:top w:val="nil"/>
              <w:left w:val="nil"/>
              <w:bottom w:val="nil"/>
              <w:right w:val="nil"/>
            </w:tcBorders>
            <w:noWrap/>
            <w:hideMark/>
          </w:tcPr>
          <w:p w14:paraId="1E0A0AA9"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2,1</w:t>
            </w:r>
          </w:p>
        </w:tc>
        <w:tc>
          <w:tcPr>
            <w:tcW w:w="578" w:type="pct"/>
            <w:tcBorders>
              <w:top w:val="nil"/>
              <w:left w:val="nil"/>
              <w:bottom w:val="nil"/>
              <w:right w:val="nil"/>
            </w:tcBorders>
            <w:noWrap/>
            <w:hideMark/>
          </w:tcPr>
          <w:p w14:paraId="0247A9C6"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2,1</w:t>
            </w:r>
          </w:p>
        </w:tc>
        <w:tc>
          <w:tcPr>
            <w:tcW w:w="578" w:type="pct"/>
            <w:tcBorders>
              <w:top w:val="nil"/>
              <w:left w:val="nil"/>
              <w:bottom w:val="nil"/>
              <w:right w:val="nil"/>
            </w:tcBorders>
            <w:noWrap/>
            <w:hideMark/>
          </w:tcPr>
          <w:p w14:paraId="1248C322"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2,0</w:t>
            </w:r>
          </w:p>
        </w:tc>
        <w:tc>
          <w:tcPr>
            <w:tcW w:w="578" w:type="pct"/>
            <w:tcBorders>
              <w:top w:val="nil"/>
              <w:left w:val="nil"/>
              <w:bottom w:val="nil"/>
              <w:right w:val="nil"/>
            </w:tcBorders>
            <w:noWrap/>
            <w:hideMark/>
          </w:tcPr>
          <w:p w14:paraId="0C72BDA8"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2,5</w:t>
            </w:r>
          </w:p>
        </w:tc>
      </w:tr>
      <w:tr w:rsidR="00BB2F03" w:rsidRPr="00DE058F" w14:paraId="2F6536B0" w14:textId="77777777" w:rsidTr="00C91F83">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1823767C"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 xml:space="preserve"> Комбиновани шок (15% USD и каматни шок сценарио 1) </w:t>
            </w:r>
          </w:p>
        </w:tc>
        <w:tc>
          <w:tcPr>
            <w:tcW w:w="578" w:type="pct"/>
            <w:tcBorders>
              <w:top w:val="nil"/>
              <w:bottom w:val="single" w:sz="4" w:space="0" w:color="auto"/>
            </w:tcBorders>
            <w:shd w:val="clear" w:color="auto" w:fill="E7E6E6" w:themeFill="background2"/>
            <w:noWrap/>
            <w:hideMark/>
          </w:tcPr>
          <w:p w14:paraId="23852EC4"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1,9</w:t>
            </w:r>
          </w:p>
        </w:tc>
        <w:tc>
          <w:tcPr>
            <w:tcW w:w="578" w:type="pct"/>
            <w:tcBorders>
              <w:top w:val="nil"/>
              <w:bottom w:val="single" w:sz="4" w:space="0" w:color="auto"/>
            </w:tcBorders>
            <w:shd w:val="clear" w:color="auto" w:fill="E7E6E6" w:themeFill="background2"/>
            <w:noWrap/>
            <w:hideMark/>
          </w:tcPr>
          <w:p w14:paraId="475FE620"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2,1</w:t>
            </w:r>
          </w:p>
        </w:tc>
        <w:tc>
          <w:tcPr>
            <w:tcW w:w="578" w:type="pct"/>
            <w:tcBorders>
              <w:top w:val="nil"/>
              <w:bottom w:val="single" w:sz="4" w:space="0" w:color="auto"/>
            </w:tcBorders>
            <w:shd w:val="clear" w:color="auto" w:fill="E7E6E6" w:themeFill="background2"/>
            <w:noWrap/>
            <w:hideMark/>
          </w:tcPr>
          <w:p w14:paraId="450C3A0F"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1,9</w:t>
            </w:r>
          </w:p>
        </w:tc>
        <w:tc>
          <w:tcPr>
            <w:tcW w:w="578" w:type="pct"/>
            <w:tcBorders>
              <w:top w:val="nil"/>
              <w:bottom w:val="single" w:sz="4" w:space="0" w:color="auto"/>
            </w:tcBorders>
            <w:shd w:val="clear" w:color="auto" w:fill="E7E6E6" w:themeFill="background2"/>
            <w:noWrap/>
            <w:hideMark/>
          </w:tcPr>
          <w:p w14:paraId="011C2287" w14:textId="77777777" w:rsidR="00BB2F03" w:rsidRPr="00DE058F" w:rsidRDefault="00BB2F03" w:rsidP="00C91F83">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2,2</w:t>
            </w:r>
          </w:p>
        </w:tc>
      </w:tr>
      <w:tr w:rsidR="00BB2F03" w:rsidRPr="00DE058F" w14:paraId="10409FEF" w14:textId="77777777" w:rsidTr="00C91F83">
        <w:trPr>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single" w:sz="4" w:space="0" w:color="002060"/>
              <w:right w:val="nil"/>
            </w:tcBorders>
            <w:noWrap/>
            <w:hideMark/>
          </w:tcPr>
          <w:p w14:paraId="58EFC6C5"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 xml:space="preserve"> Максимални ризик </w:t>
            </w:r>
          </w:p>
        </w:tc>
        <w:tc>
          <w:tcPr>
            <w:tcW w:w="578" w:type="pct"/>
            <w:tcBorders>
              <w:top w:val="single" w:sz="4" w:space="0" w:color="auto"/>
              <w:left w:val="nil"/>
              <w:bottom w:val="single" w:sz="4" w:space="0" w:color="002060"/>
              <w:right w:val="nil"/>
            </w:tcBorders>
            <w:noWrap/>
            <w:hideMark/>
          </w:tcPr>
          <w:p w14:paraId="01A947D4"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0,6</w:t>
            </w:r>
          </w:p>
        </w:tc>
        <w:tc>
          <w:tcPr>
            <w:tcW w:w="578" w:type="pct"/>
            <w:tcBorders>
              <w:top w:val="single" w:sz="4" w:space="0" w:color="auto"/>
              <w:left w:val="nil"/>
              <w:bottom w:val="single" w:sz="4" w:space="0" w:color="002060"/>
              <w:right w:val="nil"/>
            </w:tcBorders>
            <w:noWrap/>
            <w:hideMark/>
          </w:tcPr>
          <w:p w14:paraId="56353A20"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0,6</w:t>
            </w:r>
          </w:p>
        </w:tc>
        <w:tc>
          <w:tcPr>
            <w:tcW w:w="578" w:type="pct"/>
            <w:tcBorders>
              <w:top w:val="single" w:sz="4" w:space="0" w:color="auto"/>
              <w:left w:val="nil"/>
              <w:bottom w:val="single" w:sz="4" w:space="0" w:color="002060"/>
              <w:right w:val="nil"/>
            </w:tcBorders>
            <w:noWrap/>
            <w:hideMark/>
          </w:tcPr>
          <w:p w14:paraId="5303BA9D"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0,6</w:t>
            </w:r>
          </w:p>
        </w:tc>
        <w:tc>
          <w:tcPr>
            <w:tcW w:w="578" w:type="pct"/>
            <w:tcBorders>
              <w:top w:val="single" w:sz="4" w:space="0" w:color="auto"/>
              <w:left w:val="nil"/>
              <w:bottom w:val="single" w:sz="4" w:space="0" w:color="002060"/>
              <w:right w:val="nil"/>
            </w:tcBorders>
            <w:noWrap/>
            <w:hideMark/>
          </w:tcPr>
          <w:p w14:paraId="511AE7EF" w14:textId="77777777" w:rsidR="00BB2F03" w:rsidRPr="00DE058F" w:rsidRDefault="00BB2F03" w:rsidP="00C91F83">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DE058F">
              <w:rPr>
                <w:rFonts w:ascii="Calibri" w:hAnsi="Calibri" w:cs="Calibri"/>
                <w:b/>
                <w:bCs/>
                <w:color w:val="002060"/>
                <w:sz w:val="18"/>
                <w:szCs w:val="18"/>
                <w:lang w:val="sr-Cyrl-CS"/>
              </w:rPr>
              <w:t>0,8</w:t>
            </w:r>
          </w:p>
        </w:tc>
      </w:tr>
    </w:tbl>
    <w:p w14:paraId="1A443AB7" w14:textId="77777777" w:rsidR="00BB2F03" w:rsidRPr="00DE058F" w:rsidRDefault="00BB2F03" w:rsidP="00C91F83">
      <w:pPr>
        <w:spacing w:after="0" w:line="240" w:lineRule="auto"/>
        <w:jc w:val="right"/>
        <w:rPr>
          <w:rFonts w:ascii="Calibri" w:eastAsia="Calibri" w:hAnsi="Calibri" w:cs="Calibri"/>
          <w:b/>
          <w:bCs/>
          <w:color w:val="002060"/>
          <w:sz w:val="18"/>
          <w:szCs w:val="18"/>
          <w:lang w:val="sr-Cyrl-CS" w:eastAsia="sr-Cyrl-CS"/>
        </w:rPr>
      </w:pPr>
    </w:p>
    <w:p w14:paraId="468D3C5F" w14:textId="77777777" w:rsidR="00BB2F03" w:rsidRPr="00DE058F" w:rsidRDefault="00BB2F03" w:rsidP="00C91F83">
      <w:pPr>
        <w:spacing w:after="0" w:line="276" w:lineRule="auto"/>
        <w:jc w:val="left"/>
        <w:rPr>
          <w:rFonts w:ascii="Calibri" w:eastAsia="Calibri" w:hAnsi="Calibri" w:cs="Calibri"/>
          <w:bCs/>
          <w:szCs w:val="72"/>
          <w:lang w:val="sr-Cyrl-CS"/>
        </w:rPr>
        <w:sectPr w:rsidR="00BB2F03" w:rsidRPr="00DE058F">
          <w:type w:val="continuous"/>
          <w:pgSz w:w="12240" w:h="15840"/>
          <w:pgMar w:top="1440" w:right="1440" w:bottom="1440" w:left="1440" w:header="720" w:footer="720" w:gutter="0"/>
          <w:cols w:space="720"/>
        </w:sectPr>
      </w:pPr>
    </w:p>
    <w:p w14:paraId="3351E3B3" w14:textId="77777777" w:rsidR="00BB2F03" w:rsidRPr="00DE058F" w:rsidRDefault="00BB2F03" w:rsidP="00C91F83">
      <w:pPr>
        <w:jc w:val="center"/>
        <w:rPr>
          <w:rFonts w:ascii="Calibri" w:eastAsia="Calibri" w:hAnsi="Calibri" w:cs="Times New Roman"/>
          <w:b/>
          <w:color w:val="002060"/>
          <w:lang w:val="sr-Cyrl-CS"/>
        </w:rPr>
      </w:pPr>
      <w:r w:rsidRPr="00DE058F">
        <w:rPr>
          <w:rFonts w:ascii="Calibri" w:eastAsia="Calibri" w:hAnsi="Calibri" w:cs="Calibri"/>
          <w:bCs/>
          <w:szCs w:val="72"/>
          <w:lang w:val="sr-Cyrl-CS"/>
        </w:rPr>
        <w:t xml:space="preserve">Наредна табела приказује кретања основних параметара јавног дуга по основу све четири </w:t>
      </w:r>
      <w:r w:rsidRPr="00DE058F">
        <w:rPr>
          <w:rFonts w:ascii="Calibri" w:eastAsia="Calibri" w:hAnsi="Calibri" w:cs="Calibri"/>
          <w:bCs/>
          <w:szCs w:val="72"/>
          <w:lang w:val="sr-Cyrl-CS"/>
        </w:rPr>
        <w:t>разматране стратегије, што осликава горе поменуте карактеристике сваке стратегије:</w:t>
      </w:r>
    </w:p>
    <w:p w14:paraId="6799260A" w14:textId="77777777" w:rsidR="00BB2F03" w:rsidRPr="00DE058F" w:rsidRDefault="00BB2F03" w:rsidP="00C91F83">
      <w:pPr>
        <w:spacing w:after="0" w:line="256" w:lineRule="auto"/>
        <w:jc w:val="left"/>
        <w:rPr>
          <w:rFonts w:ascii="Calibri" w:eastAsia="Calibri" w:hAnsi="Calibri" w:cs="Times New Roman"/>
          <w:b/>
          <w:color w:val="002060"/>
          <w:lang w:val="sr-Cyrl-CS"/>
        </w:rPr>
        <w:sectPr w:rsidR="00BB2F03" w:rsidRPr="00DE058F">
          <w:type w:val="continuous"/>
          <w:pgSz w:w="12240" w:h="15840"/>
          <w:pgMar w:top="1440" w:right="1440" w:bottom="1440" w:left="1440" w:header="720" w:footer="720" w:gutter="0"/>
          <w:cols w:num="2" w:space="720"/>
        </w:sectPr>
      </w:pPr>
    </w:p>
    <w:p w14:paraId="79552991" w14:textId="5E42F152" w:rsidR="00BB2F03" w:rsidRPr="00DE058F" w:rsidRDefault="00BB2F03" w:rsidP="00C91F83">
      <w:pPr>
        <w:spacing w:line="256" w:lineRule="auto"/>
        <w:jc w:val="center"/>
        <w:rPr>
          <w:rFonts w:ascii="Calibri" w:eastAsia="Calibri" w:hAnsi="Calibri" w:cs="Times New Roman"/>
          <w:b/>
          <w:color w:val="002060"/>
          <w:lang w:val="sr-Cyrl-CS"/>
        </w:rPr>
      </w:pPr>
      <w:r w:rsidRPr="00DE058F">
        <w:rPr>
          <w:rFonts w:ascii="Calibri" w:eastAsia="Calibri" w:hAnsi="Calibri" w:cs="Times New Roman"/>
          <w:b/>
          <w:color w:val="002060"/>
          <w:lang w:val="sr-Cyrl-CS"/>
        </w:rPr>
        <w:t xml:space="preserve">Табела </w:t>
      </w:r>
      <w:r w:rsidR="00623E62" w:rsidRPr="00DE058F">
        <w:rPr>
          <w:rFonts w:ascii="Calibri" w:eastAsia="Calibri" w:hAnsi="Calibri" w:cs="Times New Roman"/>
          <w:b/>
          <w:color w:val="002060"/>
          <w:lang w:val="sr-Cyrl-CS"/>
        </w:rPr>
        <w:t>29</w:t>
      </w:r>
      <w:r w:rsidRPr="00DE058F">
        <w:rPr>
          <w:rFonts w:ascii="Calibri" w:eastAsia="Calibri" w:hAnsi="Calibri" w:cs="Times New Roman"/>
          <w:b/>
          <w:color w:val="002060"/>
          <w:lang w:val="sr-Cyrl-CS"/>
        </w:rPr>
        <w:t>. Индикатори ризика за алтернативне стратегије на крају 2025. године</w:t>
      </w:r>
    </w:p>
    <w:tbl>
      <w:tblPr>
        <w:tblStyle w:val="LightShading-Accent1222"/>
        <w:tblW w:w="5000" w:type="pct"/>
        <w:tblInd w:w="0" w:type="dxa"/>
        <w:tblLook w:val="04A0" w:firstRow="1" w:lastRow="0" w:firstColumn="1" w:lastColumn="0" w:noHBand="0" w:noVBand="1"/>
      </w:tblPr>
      <w:tblGrid>
        <w:gridCol w:w="2950"/>
        <w:gridCol w:w="3664"/>
        <w:gridCol w:w="685"/>
        <w:gridCol w:w="687"/>
        <w:gridCol w:w="685"/>
        <w:gridCol w:w="689"/>
      </w:tblGrid>
      <w:tr w:rsidR="00BB2F03" w:rsidRPr="00DE058F" w14:paraId="0B7F999A" w14:textId="77777777" w:rsidTr="00C91F83">
        <w:trPr>
          <w:cnfStyle w:val="100000000000" w:firstRow="1" w:lastRow="0" w:firstColumn="0" w:lastColumn="0" w:oddVBand="0" w:evenVBand="0" w:oddHBand="0"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576" w:type="pct"/>
            <w:tcBorders>
              <w:top w:val="single" w:sz="4" w:space="0" w:color="002060"/>
              <w:bottom w:val="nil"/>
            </w:tcBorders>
            <w:noWrap/>
            <w:hideMark/>
          </w:tcPr>
          <w:p w14:paraId="53289B02" w14:textId="77777777" w:rsidR="00BB2F03" w:rsidRPr="00DE058F" w:rsidRDefault="00BB2F03" w:rsidP="00C91F83">
            <w:pPr>
              <w:spacing w:line="256" w:lineRule="auto"/>
              <w:rPr>
                <w:rFonts w:ascii="Calibri" w:hAnsi="Calibri"/>
                <w:color w:val="002060"/>
                <w:lang w:val="sr-Cyrl-CS"/>
              </w:rPr>
            </w:pPr>
          </w:p>
        </w:tc>
        <w:tc>
          <w:tcPr>
            <w:tcW w:w="1957" w:type="pct"/>
            <w:tcBorders>
              <w:top w:val="single" w:sz="4" w:space="0" w:color="002060"/>
              <w:bottom w:val="single" w:sz="4" w:space="0" w:color="auto"/>
            </w:tcBorders>
          </w:tcPr>
          <w:p w14:paraId="57CF74F7" w14:textId="77777777" w:rsidR="00BB2F03" w:rsidRPr="00DE058F" w:rsidRDefault="00BB2F03" w:rsidP="00C91F83">
            <w:pPr>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p>
        </w:tc>
        <w:tc>
          <w:tcPr>
            <w:tcW w:w="1467" w:type="pct"/>
            <w:gridSpan w:val="4"/>
            <w:tcBorders>
              <w:top w:val="single" w:sz="4" w:space="0" w:color="002060"/>
              <w:bottom w:val="single" w:sz="4" w:space="0" w:color="auto"/>
            </w:tcBorders>
            <w:noWrap/>
            <w:hideMark/>
          </w:tcPr>
          <w:p w14:paraId="4CC70E62" w14:textId="77777777" w:rsidR="00BB2F03" w:rsidRPr="00DE058F" w:rsidRDefault="00BB2F03" w:rsidP="00C91F8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C1</w:t>
            </w:r>
            <w:r w:rsidRPr="00DE058F">
              <w:rPr>
                <w:rFonts w:ascii="Calibri" w:hAnsi="Calibri" w:cs="Calibri"/>
                <w:color w:val="002060"/>
                <w:sz w:val="18"/>
                <w:szCs w:val="18"/>
                <w:lang w:val="sr-Cyrl-CS"/>
              </w:rPr>
              <w:tab/>
              <w:t>C2</w:t>
            </w:r>
            <w:r w:rsidRPr="00DE058F">
              <w:rPr>
                <w:rFonts w:ascii="Calibri" w:hAnsi="Calibri" w:cs="Calibri"/>
                <w:color w:val="002060"/>
                <w:sz w:val="18"/>
                <w:szCs w:val="18"/>
                <w:lang w:val="sr-Cyrl-CS"/>
              </w:rPr>
              <w:tab/>
              <w:t>C3</w:t>
            </w:r>
            <w:r w:rsidRPr="00DE058F">
              <w:rPr>
                <w:rFonts w:ascii="Calibri" w:hAnsi="Calibri" w:cs="Calibri"/>
                <w:color w:val="002060"/>
                <w:sz w:val="18"/>
                <w:szCs w:val="18"/>
                <w:lang w:val="sr-Cyrl-CS"/>
              </w:rPr>
              <w:tab/>
              <w:t>C4</w:t>
            </w:r>
          </w:p>
        </w:tc>
      </w:tr>
      <w:tr w:rsidR="00BB2F03" w:rsidRPr="00DE058F" w14:paraId="0E9BDA91" w14:textId="77777777" w:rsidTr="00C91F83">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576" w:type="pct"/>
            <w:tcBorders>
              <w:top w:val="nil"/>
              <w:bottom w:val="nil"/>
            </w:tcBorders>
            <w:shd w:val="clear" w:color="auto" w:fill="E7E6E6" w:themeFill="background2"/>
            <w:noWrap/>
            <w:hideMark/>
          </w:tcPr>
          <w:p w14:paraId="39344DD0"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Номинални дуг (% БДП)</w:t>
            </w:r>
          </w:p>
        </w:tc>
        <w:tc>
          <w:tcPr>
            <w:tcW w:w="1957" w:type="pct"/>
            <w:tcBorders>
              <w:top w:val="single" w:sz="4" w:space="0" w:color="auto"/>
              <w:bottom w:val="nil"/>
            </w:tcBorders>
            <w:shd w:val="clear" w:color="auto" w:fill="E7E6E6" w:themeFill="background2"/>
            <w:noWrap/>
            <w:hideMark/>
          </w:tcPr>
          <w:p w14:paraId="2699E620" w14:textId="77777777" w:rsidR="00BB2F03" w:rsidRPr="00DE058F" w:rsidRDefault="00BB2F03" w:rsidP="00C91F83">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 </w:t>
            </w:r>
          </w:p>
        </w:tc>
        <w:tc>
          <w:tcPr>
            <w:tcW w:w="366" w:type="pct"/>
            <w:tcBorders>
              <w:top w:val="single" w:sz="4" w:space="0" w:color="auto"/>
              <w:bottom w:val="nil"/>
            </w:tcBorders>
            <w:shd w:val="clear" w:color="auto" w:fill="E7E6E6" w:themeFill="background2"/>
            <w:noWrap/>
            <w:hideMark/>
          </w:tcPr>
          <w:p w14:paraId="791E30FD" w14:textId="77777777" w:rsidR="00BB2F03" w:rsidRPr="00DE058F" w:rsidRDefault="00BB2F03" w:rsidP="00C91F83">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48,5</w:t>
            </w:r>
          </w:p>
        </w:tc>
        <w:tc>
          <w:tcPr>
            <w:tcW w:w="367" w:type="pct"/>
            <w:tcBorders>
              <w:top w:val="single" w:sz="4" w:space="0" w:color="auto"/>
              <w:bottom w:val="nil"/>
            </w:tcBorders>
            <w:shd w:val="clear" w:color="auto" w:fill="E7E6E6" w:themeFill="background2"/>
            <w:noWrap/>
            <w:hideMark/>
          </w:tcPr>
          <w:p w14:paraId="164A522C" w14:textId="77777777" w:rsidR="00BB2F03" w:rsidRPr="00DE058F" w:rsidRDefault="00BB2F03" w:rsidP="00C91F83">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48,7</w:t>
            </w:r>
          </w:p>
        </w:tc>
        <w:tc>
          <w:tcPr>
            <w:tcW w:w="366" w:type="pct"/>
            <w:tcBorders>
              <w:top w:val="single" w:sz="4" w:space="0" w:color="auto"/>
              <w:bottom w:val="nil"/>
            </w:tcBorders>
            <w:shd w:val="clear" w:color="auto" w:fill="E7E6E6" w:themeFill="background2"/>
            <w:noWrap/>
            <w:hideMark/>
          </w:tcPr>
          <w:p w14:paraId="3C3F29FE" w14:textId="77777777" w:rsidR="00BB2F03" w:rsidRPr="00DE058F" w:rsidRDefault="00BB2F03" w:rsidP="00C91F83">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48,5</w:t>
            </w:r>
          </w:p>
        </w:tc>
        <w:tc>
          <w:tcPr>
            <w:tcW w:w="368" w:type="pct"/>
            <w:tcBorders>
              <w:top w:val="single" w:sz="4" w:space="0" w:color="auto"/>
              <w:bottom w:val="nil"/>
            </w:tcBorders>
            <w:shd w:val="clear" w:color="auto" w:fill="E7E6E6" w:themeFill="background2"/>
            <w:noWrap/>
            <w:hideMark/>
          </w:tcPr>
          <w:p w14:paraId="5E3ABE1A" w14:textId="77777777" w:rsidR="00BB2F03" w:rsidRPr="00DE058F" w:rsidRDefault="00BB2F03" w:rsidP="00C91F83">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48,8</w:t>
            </w:r>
          </w:p>
        </w:tc>
      </w:tr>
      <w:tr w:rsidR="00BB2F03" w:rsidRPr="00DE058F" w14:paraId="5F46D3B4" w14:textId="77777777" w:rsidTr="00C91F83">
        <w:trPr>
          <w:trHeight w:val="262"/>
        </w:trPr>
        <w:tc>
          <w:tcPr>
            <w:cnfStyle w:val="001000000000" w:firstRow="0" w:lastRow="0" w:firstColumn="1" w:lastColumn="0" w:oddVBand="0" w:evenVBand="0" w:oddHBand="0" w:evenHBand="0" w:firstRowFirstColumn="0" w:firstRowLastColumn="0" w:lastRowFirstColumn="0" w:lastRowLastColumn="0"/>
            <w:tcW w:w="3533" w:type="pct"/>
            <w:gridSpan w:val="2"/>
            <w:tcBorders>
              <w:top w:val="nil"/>
              <w:left w:val="nil"/>
              <w:bottom w:val="nil"/>
              <w:right w:val="nil"/>
            </w:tcBorders>
            <w:noWrap/>
            <w:hideMark/>
          </w:tcPr>
          <w:p w14:paraId="0C1CAE77"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Примењена каматна стопа (%)</w:t>
            </w:r>
          </w:p>
        </w:tc>
        <w:tc>
          <w:tcPr>
            <w:tcW w:w="366" w:type="pct"/>
            <w:tcBorders>
              <w:top w:val="nil"/>
              <w:left w:val="nil"/>
              <w:bottom w:val="nil"/>
              <w:right w:val="nil"/>
            </w:tcBorders>
            <w:noWrap/>
            <w:hideMark/>
          </w:tcPr>
          <w:p w14:paraId="435DD124" w14:textId="77777777" w:rsidR="00BB2F03" w:rsidRPr="00DE058F" w:rsidRDefault="00BB2F03" w:rsidP="00C91F83">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3,2</w:t>
            </w:r>
          </w:p>
        </w:tc>
        <w:tc>
          <w:tcPr>
            <w:tcW w:w="367" w:type="pct"/>
            <w:tcBorders>
              <w:top w:val="nil"/>
              <w:left w:val="nil"/>
              <w:bottom w:val="nil"/>
              <w:right w:val="nil"/>
            </w:tcBorders>
            <w:noWrap/>
            <w:hideMark/>
          </w:tcPr>
          <w:p w14:paraId="012D179E" w14:textId="77777777" w:rsidR="00BB2F03" w:rsidRPr="00DE058F" w:rsidRDefault="00BB2F03" w:rsidP="00C91F83">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3,2</w:t>
            </w:r>
          </w:p>
        </w:tc>
        <w:tc>
          <w:tcPr>
            <w:tcW w:w="366" w:type="pct"/>
            <w:tcBorders>
              <w:top w:val="nil"/>
              <w:left w:val="nil"/>
              <w:bottom w:val="nil"/>
              <w:right w:val="nil"/>
            </w:tcBorders>
            <w:noWrap/>
            <w:hideMark/>
          </w:tcPr>
          <w:p w14:paraId="39EFAB17" w14:textId="77777777" w:rsidR="00BB2F03" w:rsidRPr="00DE058F" w:rsidRDefault="00BB2F03" w:rsidP="00C91F83">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3,0</w:t>
            </w:r>
          </w:p>
        </w:tc>
        <w:tc>
          <w:tcPr>
            <w:tcW w:w="368" w:type="pct"/>
            <w:tcBorders>
              <w:top w:val="nil"/>
              <w:left w:val="nil"/>
              <w:bottom w:val="nil"/>
              <w:right w:val="nil"/>
            </w:tcBorders>
            <w:noWrap/>
            <w:hideMark/>
          </w:tcPr>
          <w:p w14:paraId="3A836F05" w14:textId="77777777" w:rsidR="00BB2F03" w:rsidRPr="00DE058F" w:rsidRDefault="00BB2F03" w:rsidP="00C91F83">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3,7</w:t>
            </w:r>
          </w:p>
        </w:tc>
      </w:tr>
      <w:tr w:rsidR="00BB2F03" w:rsidRPr="00DE058F" w14:paraId="0D2DB92B" w14:textId="77777777" w:rsidTr="00C91F83">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576" w:type="pct"/>
            <w:vMerge w:val="restart"/>
            <w:tcBorders>
              <w:top w:val="nil"/>
              <w:bottom w:val="single" w:sz="4" w:space="0" w:color="002060"/>
            </w:tcBorders>
            <w:shd w:val="clear" w:color="auto" w:fill="E7E6E6" w:themeFill="background2"/>
            <w:noWrap/>
            <w:hideMark/>
          </w:tcPr>
          <w:p w14:paraId="3B3485C5"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Ризик</w:t>
            </w:r>
          </w:p>
          <w:p w14:paraId="68FCA730"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рефинансирања</w:t>
            </w:r>
          </w:p>
        </w:tc>
        <w:tc>
          <w:tcPr>
            <w:tcW w:w="1957" w:type="pct"/>
            <w:tcBorders>
              <w:top w:val="nil"/>
              <w:bottom w:val="nil"/>
            </w:tcBorders>
            <w:shd w:val="clear" w:color="auto" w:fill="E7E6E6" w:themeFill="background2"/>
            <w:noWrap/>
            <w:hideMark/>
          </w:tcPr>
          <w:p w14:paraId="3FA6C75C" w14:textId="77777777" w:rsidR="00BB2F03" w:rsidRPr="00DE058F" w:rsidRDefault="00BB2F03" w:rsidP="00C91F83">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ATM</w:t>
            </w:r>
            <w:r w:rsidRPr="00DE058F">
              <w:rPr>
                <w:rFonts w:ascii="Calibri" w:hAnsi="Calibri" w:cs="Calibri"/>
                <w:color w:val="002060"/>
                <w:sz w:val="18"/>
                <w:szCs w:val="18"/>
                <w:vertAlign w:val="superscript"/>
                <w:lang w:val="sr-Cyrl-CS"/>
              </w:rPr>
              <w:footnoteReference w:id="14"/>
            </w:r>
            <w:r w:rsidRPr="00DE058F">
              <w:rPr>
                <w:rFonts w:ascii="Calibri" w:hAnsi="Calibri" w:cs="Calibri"/>
                <w:color w:val="002060"/>
                <w:sz w:val="18"/>
                <w:szCs w:val="18"/>
                <w:lang w:val="sr-Cyrl-CS"/>
              </w:rPr>
              <w:t xml:space="preserve"> спољни портфолио (у годинама)</w:t>
            </w:r>
          </w:p>
        </w:tc>
        <w:tc>
          <w:tcPr>
            <w:tcW w:w="366" w:type="pct"/>
            <w:tcBorders>
              <w:top w:val="nil"/>
              <w:bottom w:val="nil"/>
            </w:tcBorders>
            <w:shd w:val="clear" w:color="auto" w:fill="E7E6E6" w:themeFill="background2"/>
            <w:noWrap/>
            <w:hideMark/>
          </w:tcPr>
          <w:p w14:paraId="7C3AF5FA" w14:textId="77777777" w:rsidR="00BB2F03" w:rsidRPr="00DE058F" w:rsidRDefault="00BB2F03" w:rsidP="00C91F83">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8,5</w:t>
            </w:r>
          </w:p>
        </w:tc>
        <w:tc>
          <w:tcPr>
            <w:tcW w:w="367" w:type="pct"/>
            <w:tcBorders>
              <w:top w:val="nil"/>
              <w:bottom w:val="nil"/>
            </w:tcBorders>
            <w:shd w:val="clear" w:color="auto" w:fill="E7E6E6" w:themeFill="background2"/>
            <w:noWrap/>
            <w:hideMark/>
          </w:tcPr>
          <w:p w14:paraId="7CFB64B0" w14:textId="77777777" w:rsidR="00BB2F03" w:rsidRPr="00DE058F" w:rsidRDefault="00BB2F03" w:rsidP="00C91F83">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9,7</w:t>
            </w:r>
          </w:p>
        </w:tc>
        <w:tc>
          <w:tcPr>
            <w:tcW w:w="366" w:type="pct"/>
            <w:tcBorders>
              <w:top w:val="nil"/>
              <w:bottom w:val="nil"/>
            </w:tcBorders>
            <w:shd w:val="clear" w:color="auto" w:fill="E7E6E6" w:themeFill="background2"/>
            <w:noWrap/>
            <w:hideMark/>
          </w:tcPr>
          <w:p w14:paraId="5352B14B" w14:textId="77777777" w:rsidR="00BB2F03" w:rsidRPr="00DE058F" w:rsidRDefault="00BB2F03" w:rsidP="00C91F83">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9,9</w:t>
            </w:r>
          </w:p>
        </w:tc>
        <w:tc>
          <w:tcPr>
            <w:tcW w:w="368" w:type="pct"/>
            <w:tcBorders>
              <w:top w:val="nil"/>
              <w:bottom w:val="nil"/>
            </w:tcBorders>
            <w:shd w:val="clear" w:color="auto" w:fill="E7E6E6" w:themeFill="background2"/>
            <w:noWrap/>
            <w:hideMark/>
          </w:tcPr>
          <w:p w14:paraId="26685FBE" w14:textId="77777777" w:rsidR="00BB2F03" w:rsidRPr="00DE058F" w:rsidRDefault="00BB2F03" w:rsidP="00C91F83">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7,7</w:t>
            </w:r>
          </w:p>
        </w:tc>
      </w:tr>
      <w:tr w:rsidR="00BB2F03" w:rsidRPr="00DE058F" w14:paraId="1E0A8631" w14:textId="77777777" w:rsidTr="00C91F83">
        <w:trPr>
          <w:trHeight w:val="262"/>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nil"/>
              <w:bottom w:val="single" w:sz="4" w:space="0" w:color="002060"/>
              <w:right w:val="nil"/>
            </w:tcBorders>
            <w:vAlign w:val="center"/>
            <w:hideMark/>
          </w:tcPr>
          <w:p w14:paraId="2E25627D" w14:textId="77777777" w:rsidR="00BB2F03" w:rsidRPr="00DE058F" w:rsidRDefault="00BB2F03" w:rsidP="00C91F83">
            <w:pPr>
              <w:jc w:val="left"/>
              <w:rPr>
                <w:rFonts w:ascii="Calibri" w:hAnsi="Calibri" w:cs="Calibri"/>
                <w:color w:val="002060"/>
                <w:sz w:val="18"/>
                <w:szCs w:val="18"/>
                <w:lang w:val="sr-Cyrl-CS"/>
              </w:rPr>
            </w:pPr>
          </w:p>
        </w:tc>
        <w:tc>
          <w:tcPr>
            <w:tcW w:w="1957" w:type="pct"/>
            <w:tcBorders>
              <w:top w:val="nil"/>
              <w:left w:val="nil"/>
              <w:bottom w:val="nil"/>
              <w:right w:val="nil"/>
            </w:tcBorders>
            <w:noWrap/>
            <w:hideMark/>
          </w:tcPr>
          <w:p w14:paraId="6B403444" w14:textId="77777777" w:rsidR="00BB2F03" w:rsidRPr="00DE058F" w:rsidRDefault="00BB2F03" w:rsidP="00C91F83">
            <w:pPr>
              <w:spacing w:line="240" w:lineRule="auto"/>
              <w:cnfStyle w:val="000000000000" w:firstRow="0" w:lastRow="0" w:firstColumn="0" w:lastColumn="0" w:oddVBand="0" w:evenVBand="0" w:oddHBand="0" w:evenHBand="0" w:firstRowFirstColumn="0" w:firstRowLastColumn="0" w:lastRowFirstColumn="0" w:lastRowLastColumn="0"/>
              <w:rPr>
                <w:rFonts w:ascii="Calibri" w:hAnsi="Calibri" w:cs="Calibri"/>
                <w:bCs/>
                <w:color w:val="002060"/>
                <w:sz w:val="18"/>
                <w:szCs w:val="18"/>
                <w:lang w:val="sr-Cyrl-CS"/>
              </w:rPr>
            </w:pPr>
            <w:r w:rsidRPr="00DE058F">
              <w:rPr>
                <w:rFonts w:ascii="Calibri" w:hAnsi="Calibri" w:cs="Calibri"/>
                <w:bCs/>
                <w:color w:val="002060"/>
                <w:sz w:val="18"/>
                <w:szCs w:val="18"/>
                <w:lang w:val="sr-Cyrl-CS"/>
              </w:rPr>
              <w:t>ATM домаћи портфолио (у годинама)</w:t>
            </w:r>
          </w:p>
        </w:tc>
        <w:tc>
          <w:tcPr>
            <w:tcW w:w="366" w:type="pct"/>
            <w:tcBorders>
              <w:top w:val="nil"/>
              <w:left w:val="nil"/>
              <w:bottom w:val="nil"/>
              <w:right w:val="nil"/>
            </w:tcBorders>
            <w:noWrap/>
            <w:hideMark/>
          </w:tcPr>
          <w:p w14:paraId="19221342" w14:textId="77777777" w:rsidR="00BB2F03" w:rsidRPr="00DE058F" w:rsidRDefault="00BB2F03" w:rsidP="00C91F83">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6,0</w:t>
            </w:r>
          </w:p>
        </w:tc>
        <w:tc>
          <w:tcPr>
            <w:tcW w:w="367" w:type="pct"/>
            <w:tcBorders>
              <w:top w:val="nil"/>
              <w:left w:val="nil"/>
              <w:bottom w:val="nil"/>
              <w:right w:val="nil"/>
            </w:tcBorders>
            <w:noWrap/>
            <w:hideMark/>
          </w:tcPr>
          <w:p w14:paraId="4B499CDF" w14:textId="77777777" w:rsidR="00BB2F03" w:rsidRPr="00DE058F" w:rsidRDefault="00BB2F03" w:rsidP="00C91F83">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4,0</w:t>
            </w:r>
          </w:p>
        </w:tc>
        <w:tc>
          <w:tcPr>
            <w:tcW w:w="366" w:type="pct"/>
            <w:tcBorders>
              <w:top w:val="nil"/>
              <w:left w:val="nil"/>
              <w:bottom w:val="nil"/>
              <w:right w:val="nil"/>
            </w:tcBorders>
            <w:noWrap/>
            <w:hideMark/>
          </w:tcPr>
          <w:p w14:paraId="6214054E" w14:textId="77777777" w:rsidR="00BB2F03" w:rsidRPr="00DE058F" w:rsidRDefault="00BB2F03" w:rsidP="00C91F83">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4,0</w:t>
            </w:r>
          </w:p>
        </w:tc>
        <w:tc>
          <w:tcPr>
            <w:tcW w:w="368" w:type="pct"/>
            <w:tcBorders>
              <w:top w:val="nil"/>
              <w:left w:val="nil"/>
              <w:bottom w:val="nil"/>
              <w:right w:val="nil"/>
            </w:tcBorders>
            <w:noWrap/>
            <w:hideMark/>
          </w:tcPr>
          <w:p w14:paraId="351C6990" w14:textId="77777777" w:rsidR="00BB2F03" w:rsidRPr="00DE058F" w:rsidRDefault="00BB2F03" w:rsidP="00C91F83">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8,1</w:t>
            </w:r>
          </w:p>
        </w:tc>
      </w:tr>
      <w:tr w:rsidR="00BB2F03" w:rsidRPr="00DE058F" w14:paraId="2D1F6CE9" w14:textId="77777777" w:rsidTr="00C91F83">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0" w:type="auto"/>
            <w:vMerge/>
            <w:tcBorders>
              <w:top w:val="nil"/>
              <w:bottom w:val="single" w:sz="4" w:space="0" w:color="002060"/>
            </w:tcBorders>
            <w:vAlign w:val="center"/>
            <w:hideMark/>
          </w:tcPr>
          <w:p w14:paraId="14CAC737" w14:textId="77777777" w:rsidR="00BB2F03" w:rsidRPr="00DE058F" w:rsidRDefault="00BB2F03" w:rsidP="00C91F83">
            <w:pPr>
              <w:jc w:val="left"/>
              <w:rPr>
                <w:rFonts w:ascii="Calibri" w:hAnsi="Calibri" w:cs="Calibri"/>
                <w:color w:val="002060"/>
                <w:sz w:val="18"/>
                <w:szCs w:val="18"/>
                <w:lang w:val="sr-Cyrl-CS"/>
              </w:rPr>
            </w:pPr>
          </w:p>
        </w:tc>
        <w:tc>
          <w:tcPr>
            <w:tcW w:w="1957" w:type="pct"/>
            <w:tcBorders>
              <w:top w:val="nil"/>
              <w:bottom w:val="single" w:sz="4" w:space="0" w:color="auto"/>
            </w:tcBorders>
            <w:shd w:val="clear" w:color="auto" w:fill="E7E6E6" w:themeFill="background2"/>
            <w:noWrap/>
            <w:hideMark/>
          </w:tcPr>
          <w:p w14:paraId="42495269" w14:textId="77777777" w:rsidR="00BB2F03" w:rsidRPr="00DE058F" w:rsidRDefault="00BB2F03" w:rsidP="00C91F83">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ATM укупан портфолио (у годинама)</w:t>
            </w:r>
          </w:p>
        </w:tc>
        <w:tc>
          <w:tcPr>
            <w:tcW w:w="366" w:type="pct"/>
            <w:tcBorders>
              <w:top w:val="nil"/>
              <w:bottom w:val="single" w:sz="4" w:space="0" w:color="auto"/>
            </w:tcBorders>
            <w:shd w:val="clear" w:color="auto" w:fill="E7E6E6" w:themeFill="background2"/>
            <w:noWrap/>
            <w:hideMark/>
          </w:tcPr>
          <w:p w14:paraId="11EB6049" w14:textId="77777777" w:rsidR="00BB2F03" w:rsidRPr="00DE058F" w:rsidRDefault="00BB2F03" w:rsidP="00C91F83">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7,9</w:t>
            </w:r>
          </w:p>
        </w:tc>
        <w:tc>
          <w:tcPr>
            <w:tcW w:w="367" w:type="pct"/>
            <w:tcBorders>
              <w:top w:val="nil"/>
              <w:bottom w:val="single" w:sz="4" w:space="0" w:color="auto"/>
            </w:tcBorders>
            <w:shd w:val="clear" w:color="auto" w:fill="E7E6E6" w:themeFill="background2"/>
            <w:noWrap/>
            <w:hideMark/>
          </w:tcPr>
          <w:p w14:paraId="0DD997B4" w14:textId="77777777" w:rsidR="00BB2F03" w:rsidRPr="00DE058F" w:rsidRDefault="00BB2F03" w:rsidP="00C91F83">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9,1</w:t>
            </w:r>
          </w:p>
        </w:tc>
        <w:tc>
          <w:tcPr>
            <w:tcW w:w="366" w:type="pct"/>
            <w:tcBorders>
              <w:top w:val="nil"/>
              <w:bottom w:val="single" w:sz="4" w:space="0" w:color="auto"/>
            </w:tcBorders>
            <w:shd w:val="clear" w:color="auto" w:fill="E7E6E6" w:themeFill="background2"/>
            <w:noWrap/>
            <w:hideMark/>
          </w:tcPr>
          <w:p w14:paraId="6F9D9D4B" w14:textId="77777777" w:rsidR="00BB2F03" w:rsidRPr="00DE058F" w:rsidRDefault="00BB2F03" w:rsidP="00C91F83">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9,3</w:t>
            </w:r>
          </w:p>
        </w:tc>
        <w:tc>
          <w:tcPr>
            <w:tcW w:w="368" w:type="pct"/>
            <w:tcBorders>
              <w:top w:val="nil"/>
              <w:bottom w:val="single" w:sz="4" w:space="0" w:color="auto"/>
            </w:tcBorders>
            <w:shd w:val="clear" w:color="auto" w:fill="E7E6E6" w:themeFill="background2"/>
            <w:noWrap/>
            <w:hideMark/>
          </w:tcPr>
          <w:p w14:paraId="0CA83C56" w14:textId="77777777" w:rsidR="00BB2F03" w:rsidRPr="00DE058F" w:rsidRDefault="00BB2F03" w:rsidP="00C91F83">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7,9</w:t>
            </w:r>
          </w:p>
        </w:tc>
      </w:tr>
      <w:tr w:rsidR="00BB2F03" w:rsidRPr="00DE058F" w14:paraId="5F945615" w14:textId="77777777" w:rsidTr="00C91F83">
        <w:trPr>
          <w:trHeight w:val="262"/>
        </w:trPr>
        <w:tc>
          <w:tcPr>
            <w:cnfStyle w:val="001000000000" w:firstRow="0" w:lastRow="0" w:firstColumn="1" w:lastColumn="0" w:oddVBand="0" w:evenVBand="0" w:oddHBand="0" w:evenHBand="0" w:firstRowFirstColumn="0" w:firstRowLastColumn="0" w:lastRowFirstColumn="0" w:lastRowLastColumn="0"/>
            <w:tcW w:w="1576" w:type="pct"/>
            <w:vMerge w:val="restart"/>
            <w:tcBorders>
              <w:top w:val="single" w:sz="4" w:space="0" w:color="002060"/>
              <w:left w:val="nil"/>
              <w:bottom w:val="nil"/>
              <w:right w:val="nil"/>
            </w:tcBorders>
            <w:noWrap/>
            <w:hideMark/>
          </w:tcPr>
          <w:p w14:paraId="29A1ECEE"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Ризик каматних стопа</w:t>
            </w:r>
          </w:p>
        </w:tc>
        <w:tc>
          <w:tcPr>
            <w:tcW w:w="1957" w:type="pct"/>
            <w:tcBorders>
              <w:top w:val="single" w:sz="4" w:space="0" w:color="auto"/>
              <w:left w:val="nil"/>
              <w:bottom w:val="nil"/>
              <w:right w:val="nil"/>
            </w:tcBorders>
            <w:noWrap/>
            <w:hideMark/>
          </w:tcPr>
          <w:p w14:paraId="440B2879" w14:textId="77777777" w:rsidR="00BB2F03" w:rsidRPr="00DE058F" w:rsidRDefault="00BB2F03" w:rsidP="00C91F83">
            <w:pPr>
              <w:spacing w:line="240" w:lineRule="auto"/>
              <w:cnfStyle w:val="000000000000" w:firstRow="0" w:lastRow="0" w:firstColumn="0" w:lastColumn="0" w:oddVBand="0" w:evenVBand="0" w:oddHBand="0" w:evenHBand="0" w:firstRowFirstColumn="0" w:firstRowLastColumn="0" w:lastRowFirstColumn="0" w:lastRowLastColumn="0"/>
              <w:rPr>
                <w:rFonts w:ascii="Calibri" w:hAnsi="Calibri" w:cs="Calibri"/>
                <w:bCs/>
                <w:color w:val="002060"/>
                <w:sz w:val="18"/>
                <w:szCs w:val="18"/>
                <w:lang w:val="sr-Cyrl-CS"/>
              </w:rPr>
            </w:pPr>
            <w:r w:rsidRPr="00DE058F">
              <w:rPr>
                <w:rFonts w:ascii="Calibri" w:hAnsi="Calibri" w:cs="Calibri"/>
                <w:bCs/>
                <w:color w:val="002060"/>
                <w:sz w:val="18"/>
                <w:szCs w:val="18"/>
                <w:lang w:val="sr-Cyrl-CS"/>
              </w:rPr>
              <w:t>АТR</w:t>
            </w:r>
            <w:r w:rsidRPr="00DE058F">
              <w:rPr>
                <w:rFonts w:ascii="Calibri" w:hAnsi="Calibri" w:cs="Calibri"/>
                <w:bCs/>
                <w:color w:val="002060"/>
                <w:sz w:val="18"/>
                <w:szCs w:val="18"/>
                <w:vertAlign w:val="superscript"/>
                <w:lang w:val="sr-Cyrl-CS"/>
              </w:rPr>
              <w:footnoteReference w:id="15"/>
            </w:r>
            <w:r w:rsidRPr="00DE058F">
              <w:rPr>
                <w:rFonts w:ascii="Calibri" w:hAnsi="Calibri" w:cs="Calibri"/>
                <w:bCs/>
                <w:color w:val="002060"/>
                <w:sz w:val="18"/>
                <w:szCs w:val="18"/>
                <w:lang w:val="sr-Cyrl-CS"/>
              </w:rPr>
              <w:t xml:space="preserve"> (у годинама)</w:t>
            </w:r>
          </w:p>
        </w:tc>
        <w:tc>
          <w:tcPr>
            <w:tcW w:w="366" w:type="pct"/>
            <w:tcBorders>
              <w:top w:val="single" w:sz="4" w:space="0" w:color="auto"/>
              <w:left w:val="nil"/>
              <w:bottom w:val="nil"/>
              <w:right w:val="nil"/>
            </w:tcBorders>
            <w:noWrap/>
            <w:hideMark/>
          </w:tcPr>
          <w:p w14:paraId="7B1C84C4" w14:textId="77777777" w:rsidR="00BB2F03" w:rsidRPr="00DE058F" w:rsidRDefault="00BB2F03" w:rsidP="00C91F83">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5,6</w:t>
            </w:r>
          </w:p>
        </w:tc>
        <w:tc>
          <w:tcPr>
            <w:tcW w:w="367" w:type="pct"/>
            <w:tcBorders>
              <w:top w:val="single" w:sz="4" w:space="0" w:color="auto"/>
              <w:left w:val="nil"/>
              <w:bottom w:val="nil"/>
              <w:right w:val="nil"/>
            </w:tcBorders>
            <w:noWrap/>
            <w:hideMark/>
          </w:tcPr>
          <w:p w14:paraId="101E591A" w14:textId="77777777" w:rsidR="00BB2F03" w:rsidRPr="00DE058F" w:rsidRDefault="00BB2F03" w:rsidP="00C91F83">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7,6</w:t>
            </w:r>
          </w:p>
        </w:tc>
        <w:tc>
          <w:tcPr>
            <w:tcW w:w="366" w:type="pct"/>
            <w:tcBorders>
              <w:top w:val="single" w:sz="4" w:space="0" w:color="auto"/>
              <w:left w:val="nil"/>
              <w:bottom w:val="nil"/>
              <w:right w:val="nil"/>
            </w:tcBorders>
            <w:noWrap/>
            <w:hideMark/>
          </w:tcPr>
          <w:p w14:paraId="774D04B2" w14:textId="77777777" w:rsidR="00BB2F03" w:rsidRPr="00DE058F" w:rsidRDefault="00BB2F03" w:rsidP="00C91F83">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7,8</w:t>
            </w:r>
          </w:p>
        </w:tc>
        <w:tc>
          <w:tcPr>
            <w:tcW w:w="368" w:type="pct"/>
            <w:tcBorders>
              <w:top w:val="single" w:sz="4" w:space="0" w:color="auto"/>
              <w:left w:val="nil"/>
              <w:bottom w:val="nil"/>
              <w:right w:val="nil"/>
            </w:tcBorders>
            <w:noWrap/>
            <w:hideMark/>
          </w:tcPr>
          <w:p w14:paraId="60BA2117" w14:textId="77777777" w:rsidR="00BB2F03" w:rsidRPr="00DE058F" w:rsidRDefault="00BB2F03" w:rsidP="00C91F83">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6,4</w:t>
            </w:r>
          </w:p>
        </w:tc>
      </w:tr>
      <w:tr w:rsidR="00BB2F03" w:rsidRPr="00DE058F" w14:paraId="6B7F352B" w14:textId="77777777" w:rsidTr="00C91F83">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002060"/>
              <w:bottom w:val="nil"/>
            </w:tcBorders>
            <w:vAlign w:val="center"/>
            <w:hideMark/>
          </w:tcPr>
          <w:p w14:paraId="58B73E97" w14:textId="77777777" w:rsidR="00BB2F03" w:rsidRPr="00DE058F" w:rsidRDefault="00BB2F03" w:rsidP="00C91F83">
            <w:pPr>
              <w:jc w:val="left"/>
              <w:rPr>
                <w:rFonts w:ascii="Calibri" w:hAnsi="Calibri" w:cs="Calibri"/>
                <w:color w:val="002060"/>
                <w:sz w:val="18"/>
                <w:szCs w:val="18"/>
                <w:lang w:val="sr-Cyrl-CS"/>
              </w:rPr>
            </w:pPr>
          </w:p>
        </w:tc>
        <w:tc>
          <w:tcPr>
            <w:tcW w:w="1957" w:type="pct"/>
            <w:tcBorders>
              <w:top w:val="nil"/>
              <w:bottom w:val="nil"/>
            </w:tcBorders>
            <w:shd w:val="clear" w:color="auto" w:fill="E7E6E6" w:themeFill="background2"/>
            <w:noWrap/>
            <w:hideMark/>
          </w:tcPr>
          <w:p w14:paraId="08E91454" w14:textId="77777777" w:rsidR="00BB2F03" w:rsidRPr="00DE058F" w:rsidRDefault="00BB2F03" w:rsidP="00C91F83">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Рефиксирање (% укупног дуга)</w:t>
            </w:r>
          </w:p>
        </w:tc>
        <w:tc>
          <w:tcPr>
            <w:tcW w:w="366" w:type="pct"/>
            <w:tcBorders>
              <w:top w:val="nil"/>
              <w:bottom w:val="nil"/>
            </w:tcBorders>
            <w:shd w:val="clear" w:color="auto" w:fill="E7E6E6" w:themeFill="background2"/>
            <w:noWrap/>
            <w:hideMark/>
          </w:tcPr>
          <w:p w14:paraId="70BD9C73" w14:textId="77777777" w:rsidR="00BB2F03" w:rsidRPr="00DE058F" w:rsidRDefault="00BB2F03" w:rsidP="00C91F83">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26,6</w:t>
            </w:r>
          </w:p>
        </w:tc>
        <w:tc>
          <w:tcPr>
            <w:tcW w:w="367" w:type="pct"/>
            <w:tcBorders>
              <w:top w:val="nil"/>
              <w:bottom w:val="nil"/>
            </w:tcBorders>
            <w:shd w:val="clear" w:color="auto" w:fill="E7E6E6" w:themeFill="background2"/>
            <w:noWrap/>
            <w:hideMark/>
          </w:tcPr>
          <w:p w14:paraId="3527E1FD" w14:textId="77777777" w:rsidR="00BB2F03" w:rsidRPr="00DE058F" w:rsidRDefault="00BB2F03" w:rsidP="00C91F83">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17,5</w:t>
            </w:r>
          </w:p>
        </w:tc>
        <w:tc>
          <w:tcPr>
            <w:tcW w:w="366" w:type="pct"/>
            <w:tcBorders>
              <w:top w:val="nil"/>
              <w:bottom w:val="nil"/>
            </w:tcBorders>
            <w:shd w:val="clear" w:color="auto" w:fill="E7E6E6" w:themeFill="background2"/>
            <w:noWrap/>
            <w:hideMark/>
          </w:tcPr>
          <w:p w14:paraId="56156447" w14:textId="77777777" w:rsidR="00BB2F03" w:rsidRPr="00DE058F" w:rsidRDefault="00BB2F03" w:rsidP="00C91F83">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17,5</w:t>
            </w:r>
          </w:p>
        </w:tc>
        <w:tc>
          <w:tcPr>
            <w:tcW w:w="368" w:type="pct"/>
            <w:tcBorders>
              <w:top w:val="nil"/>
              <w:bottom w:val="nil"/>
            </w:tcBorders>
            <w:shd w:val="clear" w:color="auto" w:fill="E7E6E6" w:themeFill="background2"/>
            <w:noWrap/>
            <w:hideMark/>
          </w:tcPr>
          <w:p w14:paraId="0DB4C892" w14:textId="77777777" w:rsidR="00BB2F03" w:rsidRPr="00DE058F" w:rsidRDefault="00BB2F03" w:rsidP="00C91F83">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17,4</w:t>
            </w:r>
          </w:p>
        </w:tc>
      </w:tr>
      <w:tr w:rsidR="00BB2F03" w:rsidRPr="00DE058F" w14:paraId="190CADC6" w14:textId="77777777" w:rsidTr="00C91F83">
        <w:trPr>
          <w:trHeight w:val="262"/>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002060"/>
              <w:left w:val="nil"/>
              <w:bottom w:val="nil"/>
              <w:right w:val="nil"/>
            </w:tcBorders>
            <w:vAlign w:val="center"/>
            <w:hideMark/>
          </w:tcPr>
          <w:p w14:paraId="0A27B24D" w14:textId="77777777" w:rsidR="00BB2F03" w:rsidRPr="00DE058F" w:rsidRDefault="00BB2F03" w:rsidP="00C91F83">
            <w:pPr>
              <w:jc w:val="left"/>
              <w:rPr>
                <w:rFonts w:ascii="Calibri" w:hAnsi="Calibri" w:cs="Calibri"/>
                <w:color w:val="002060"/>
                <w:sz w:val="18"/>
                <w:szCs w:val="18"/>
                <w:lang w:val="sr-Cyrl-CS"/>
              </w:rPr>
            </w:pPr>
          </w:p>
        </w:tc>
        <w:tc>
          <w:tcPr>
            <w:tcW w:w="1957" w:type="pct"/>
            <w:tcBorders>
              <w:top w:val="nil"/>
              <w:left w:val="nil"/>
              <w:bottom w:val="nil"/>
              <w:right w:val="nil"/>
            </w:tcBorders>
            <w:noWrap/>
            <w:hideMark/>
          </w:tcPr>
          <w:p w14:paraId="2FEFFB3B" w14:textId="77777777" w:rsidR="00BB2F03" w:rsidRPr="00DE058F" w:rsidRDefault="00BB2F03" w:rsidP="00C91F83">
            <w:pPr>
              <w:spacing w:line="240" w:lineRule="auto"/>
              <w:cnfStyle w:val="000000000000" w:firstRow="0" w:lastRow="0" w:firstColumn="0" w:lastColumn="0" w:oddVBand="0" w:evenVBand="0" w:oddHBand="0" w:evenHBand="0" w:firstRowFirstColumn="0" w:firstRowLastColumn="0" w:lastRowFirstColumn="0" w:lastRowLastColumn="0"/>
              <w:rPr>
                <w:rFonts w:ascii="Calibri" w:hAnsi="Calibri" w:cs="Calibri"/>
                <w:bCs/>
                <w:color w:val="002060"/>
                <w:sz w:val="18"/>
                <w:szCs w:val="18"/>
                <w:lang w:val="sr-Cyrl-CS"/>
              </w:rPr>
            </w:pPr>
            <w:r w:rsidRPr="00DE058F">
              <w:rPr>
                <w:rFonts w:ascii="Calibri" w:hAnsi="Calibri" w:cs="Calibri"/>
                <w:bCs/>
                <w:color w:val="002060"/>
                <w:sz w:val="18"/>
                <w:szCs w:val="18"/>
                <w:lang w:val="sr-Cyrl-CS"/>
              </w:rPr>
              <w:t>Дуг по фиксним стопама (% укупног дуга)</w:t>
            </w:r>
          </w:p>
        </w:tc>
        <w:tc>
          <w:tcPr>
            <w:tcW w:w="366" w:type="pct"/>
            <w:tcBorders>
              <w:top w:val="nil"/>
              <w:left w:val="nil"/>
              <w:bottom w:val="nil"/>
              <w:right w:val="nil"/>
            </w:tcBorders>
            <w:noWrap/>
            <w:hideMark/>
          </w:tcPr>
          <w:p w14:paraId="2485D64F" w14:textId="77777777" w:rsidR="00BB2F03" w:rsidRPr="00DE058F" w:rsidRDefault="00BB2F03" w:rsidP="00C91F83">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81,1</w:t>
            </w:r>
          </w:p>
        </w:tc>
        <w:tc>
          <w:tcPr>
            <w:tcW w:w="367" w:type="pct"/>
            <w:tcBorders>
              <w:top w:val="nil"/>
              <w:left w:val="nil"/>
              <w:bottom w:val="nil"/>
              <w:right w:val="nil"/>
            </w:tcBorders>
            <w:noWrap/>
            <w:hideMark/>
          </w:tcPr>
          <w:p w14:paraId="3D7B604D" w14:textId="77777777" w:rsidR="00BB2F03" w:rsidRPr="00DE058F" w:rsidRDefault="00BB2F03" w:rsidP="00C91F83">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88,7</w:t>
            </w:r>
          </w:p>
        </w:tc>
        <w:tc>
          <w:tcPr>
            <w:tcW w:w="366" w:type="pct"/>
            <w:tcBorders>
              <w:top w:val="nil"/>
              <w:left w:val="nil"/>
              <w:bottom w:val="nil"/>
              <w:right w:val="nil"/>
            </w:tcBorders>
            <w:noWrap/>
            <w:hideMark/>
          </w:tcPr>
          <w:p w14:paraId="412A4E60" w14:textId="77777777" w:rsidR="00BB2F03" w:rsidRPr="00DE058F" w:rsidRDefault="00BB2F03" w:rsidP="00C91F83">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88,7</w:t>
            </w:r>
          </w:p>
        </w:tc>
        <w:tc>
          <w:tcPr>
            <w:tcW w:w="368" w:type="pct"/>
            <w:tcBorders>
              <w:top w:val="nil"/>
              <w:left w:val="nil"/>
              <w:bottom w:val="nil"/>
              <w:right w:val="nil"/>
            </w:tcBorders>
            <w:noWrap/>
            <w:hideMark/>
          </w:tcPr>
          <w:p w14:paraId="0F0DA201" w14:textId="77777777" w:rsidR="00BB2F03" w:rsidRPr="00DE058F" w:rsidRDefault="00BB2F03" w:rsidP="00C91F83">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88,8</w:t>
            </w:r>
          </w:p>
        </w:tc>
      </w:tr>
      <w:tr w:rsidR="00BB2F03" w:rsidRPr="00DE058F" w14:paraId="71770891" w14:textId="77777777" w:rsidTr="00C91F83">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576" w:type="pct"/>
            <w:tcBorders>
              <w:top w:val="nil"/>
              <w:bottom w:val="single" w:sz="4" w:space="0" w:color="002060"/>
            </w:tcBorders>
            <w:shd w:val="clear" w:color="auto" w:fill="E7E6E6" w:themeFill="background2"/>
            <w:noWrap/>
            <w:hideMark/>
          </w:tcPr>
          <w:p w14:paraId="16733B41" w14:textId="77777777" w:rsidR="00BB2F03" w:rsidRPr="00DE058F" w:rsidRDefault="00BB2F03" w:rsidP="00C91F83">
            <w:pPr>
              <w:spacing w:line="240" w:lineRule="auto"/>
              <w:rPr>
                <w:rFonts w:ascii="Calibri" w:hAnsi="Calibri" w:cs="Calibri"/>
                <w:color w:val="002060"/>
                <w:sz w:val="18"/>
                <w:szCs w:val="18"/>
                <w:lang w:val="sr-Cyrl-CS"/>
              </w:rPr>
            </w:pPr>
            <w:r w:rsidRPr="00DE058F">
              <w:rPr>
                <w:rFonts w:ascii="Calibri" w:hAnsi="Calibri" w:cs="Calibri"/>
                <w:color w:val="002060"/>
                <w:sz w:val="18"/>
                <w:szCs w:val="18"/>
                <w:lang w:val="sr-Cyrl-CS"/>
              </w:rPr>
              <w:t>Ризик девизног курса</w:t>
            </w:r>
          </w:p>
        </w:tc>
        <w:tc>
          <w:tcPr>
            <w:tcW w:w="1957" w:type="pct"/>
            <w:tcBorders>
              <w:top w:val="nil"/>
              <w:bottom w:val="single" w:sz="4" w:space="0" w:color="002060"/>
            </w:tcBorders>
            <w:shd w:val="clear" w:color="auto" w:fill="E7E6E6" w:themeFill="background2"/>
            <w:noWrap/>
            <w:hideMark/>
          </w:tcPr>
          <w:p w14:paraId="5DB4FA8A" w14:textId="77777777" w:rsidR="00BB2F03" w:rsidRPr="00DE058F" w:rsidRDefault="00BB2F03" w:rsidP="00C91F83">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Ино-валутни дуг (% укупног дуга)</w:t>
            </w:r>
          </w:p>
        </w:tc>
        <w:tc>
          <w:tcPr>
            <w:tcW w:w="366" w:type="pct"/>
            <w:tcBorders>
              <w:top w:val="nil"/>
              <w:bottom w:val="single" w:sz="4" w:space="0" w:color="auto"/>
            </w:tcBorders>
            <w:shd w:val="clear" w:color="auto" w:fill="E7E6E6" w:themeFill="background2"/>
            <w:noWrap/>
            <w:hideMark/>
          </w:tcPr>
          <w:p w14:paraId="02FC5661" w14:textId="77777777" w:rsidR="00BB2F03" w:rsidRPr="00DE058F" w:rsidRDefault="00BB2F03" w:rsidP="00C91F83">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75,4</w:t>
            </w:r>
          </w:p>
        </w:tc>
        <w:tc>
          <w:tcPr>
            <w:tcW w:w="367" w:type="pct"/>
            <w:tcBorders>
              <w:top w:val="nil"/>
              <w:bottom w:val="single" w:sz="4" w:space="0" w:color="auto"/>
            </w:tcBorders>
            <w:shd w:val="clear" w:color="auto" w:fill="E7E6E6" w:themeFill="background2"/>
            <w:noWrap/>
            <w:hideMark/>
          </w:tcPr>
          <w:p w14:paraId="258A7D57" w14:textId="77777777" w:rsidR="00BB2F03" w:rsidRPr="00DE058F" w:rsidRDefault="00BB2F03" w:rsidP="00C91F83">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89,2</w:t>
            </w:r>
          </w:p>
        </w:tc>
        <w:tc>
          <w:tcPr>
            <w:tcW w:w="366" w:type="pct"/>
            <w:tcBorders>
              <w:top w:val="nil"/>
              <w:bottom w:val="single" w:sz="4" w:space="0" w:color="auto"/>
            </w:tcBorders>
            <w:shd w:val="clear" w:color="auto" w:fill="E7E6E6" w:themeFill="background2"/>
            <w:noWrap/>
            <w:hideMark/>
          </w:tcPr>
          <w:p w14:paraId="4CF72BA1" w14:textId="77777777" w:rsidR="00BB2F03" w:rsidRPr="00DE058F" w:rsidRDefault="00BB2F03" w:rsidP="00C91F83">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89,1</w:t>
            </w:r>
          </w:p>
        </w:tc>
        <w:tc>
          <w:tcPr>
            <w:tcW w:w="368" w:type="pct"/>
            <w:tcBorders>
              <w:top w:val="nil"/>
              <w:bottom w:val="single" w:sz="4" w:space="0" w:color="auto"/>
            </w:tcBorders>
            <w:shd w:val="clear" w:color="auto" w:fill="E7E6E6" w:themeFill="background2"/>
            <w:noWrap/>
            <w:hideMark/>
          </w:tcPr>
          <w:p w14:paraId="415192BC" w14:textId="77777777" w:rsidR="00BB2F03" w:rsidRPr="00DE058F" w:rsidRDefault="00BB2F03" w:rsidP="00C91F83">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DE058F">
              <w:rPr>
                <w:rFonts w:ascii="Calibri" w:hAnsi="Calibri" w:cs="Calibri"/>
                <w:color w:val="002060"/>
                <w:sz w:val="18"/>
                <w:szCs w:val="18"/>
                <w:lang w:val="sr-Cyrl-CS"/>
              </w:rPr>
              <w:t>50,3</w:t>
            </w:r>
          </w:p>
        </w:tc>
      </w:tr>
    </w:tbl>
    <w:p w14:paraId="7E908D72" w14:textId="77777777" w:rsidR="00BB2F03" w:rsidRPr="00DE058F" w:rsidRDefault="00BB2F03" w:rsidP="00C91F83">
      <w:pPr>
        <w:spacing w:after="0" w:line="256" w:lineRule="auto"/>
        <w:jc w:val="left"/>
        <w:rPr>
          <w:rFonts w:ascii="Cambria" w:eastAsia="Calibri" w:hAnsi="Cambria" w:cs="Times New Roman"/>
          <w:b/>
          <w:i/>
          <w:lang w:val="sr-Cyrl-CS"/>
        </w:rPr>
        <w:sectPr w:rsidR="00BB2F03" w:rsidRPr="00DE058F">
          <w:type w:val="continuous"/>
          <w:pgSz w:w="12240" w:h="15840"/>
          <w:pgMar w:top="1440" w:right="1440" w:bottom="1440" w:left="1440" w:header="720" w:footer="720" w:gutter="0"/>
          <w:cols w:space="720"/>
          <w15:footnoteColumns w:val="1"/>
        </w:sectPr>
      </w:pPr>
    </w:p>
    <w:p w14:paraId="0A8F487A" w14:textId="77777777" w:rsidR="00BB2F03" w:rsidRPr="00DE058F" w:rsidRDefault="00BB2F03" w:rsidP="00C91F83">
      <w:pPr>
        <w:spacing w:line="256" w:lineRule="auto"/>
        <w:rPr>
          <w:rFonts w:ascii="Calibri" w:eastAsia="Calibri" w:hAnsi="Calibri" w:cs="Times New Roman"/>
          <w:b/>
          <w:color w:val="2F5496" w:themeColor="accent1" w:themeShade="BF"/>
          <w:sz w:val="22"/>
          <w:lang w:val="sr-Cyrl-CS"/>
        </w:rPr>
      </w:pPr>
      <w:r w:rsidRPr="00DE058F">
        <w:rPr>
          <w:rFonts w:ascii="Calibri" w:eastAsia="Calibri" w:hAnsi="Calibri" w:cs="Times New Roman"/>
          <w:b/>
          <w:color w:val="2F5496" w:themeColor="accent1" w:themeShade="BF"/>
          <w:sz w:val="22"/>
          <w:lang w:val="sr-Cyrl-CS"/>
        </w:rPr>
        <w:t>Стрес-тест анализа</w:t>
      </w:r>
    </w:p>
    <w:p w14:paraId="35DC1FC0" w14:textId="77777777" w:rsidR="00BB2F03" w:rsidRPr="00DE058F" w:rsidRDefault="00BB2F03" w:rsidP="00C91F83">
      <w:pPr>
        <w:rPr>
          <w:rFonts w:ascii="Calibri" w:eastAsia="Calibri" w:hAnsi="Calibri" w:cs="Calibri"/>
          <w:bCs/>
          <w:spacing w:val="-4"/>
          <w:szCs w:val="72"/>
          <w:lang w:val="sr-Cyrl-CS"/>
        </w:rPr>
      </w:pPr>
      <w:r w:rsidRPr="00DE058F">
        <w:rPr>
          <w:rFonts w:ascii="Calibri" w:eastAsia="Calibri" w:hAnsi="Calibri" w:cs="Calibri"/>
          <w:bCs/>
          <w:spacing w:val="-4"/>
          <w:szCs w:val="72"/>
          <w:lang w:val="sr-Cyrl-CS"/>
        </w:rPr>
        <w:t>Фискално правило, дефинисано Законом о буџетском систему, прописује обавезу да јавни дуг општег нивоа државе не може бити већи од 45% БДП. У случају да износ дуга пређе тај ниво, Влада је дужна да донесе програм за смањење јавног дуга у односу на БДП, тј. за враћање дуга у законски оквир.</w:t>
      </w:r>
    </w:p>
    <w:p w14:paraId="58BAE1C3"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 xml:space="preserve">На крају 2021. године стање дуга централног нивоа власти достигло је 56,5% БДП, а опште државе 57,1% БДП. Рацио јавни дуг/БДП централног нивоа </w:t>
      </w:r>
      <w:r w:rsidRPr="00DE058F">
        <w:rPr>
          <w:rFonts w:ascii="Calibri" w:eastAsia="Calibri" w:hAnsi="Calibri" w:cs="Calibri"/>
          <w:bCs/>
          <w:szCs w:val="72"/>
          <w:lang w:val="sr-Cyrl-CS"/>
        </w:rPr>
        <w:t xml:space="preserve">власти на крају марта 2022. године износио је 52,2% БДП, а опште државе 52,7% БДП. До краја 2022. године се очекује благи раст рација на ниво од око 53,6% БДП на централном нивоу, односно 54,6% БДП на нивоу опште државе, пре свега услед реализације великих инфраструктурних пројеката који се финансирају из пројектних зајмова. Због високог учешћа дуга деноминованог у страној валути (73,9%), евидентно је да ће девизни ризик детерминисати понашање рација јавни дуг/БДП у наредном периоду и битно условљавати успех </w:t>
      </w:r>
      <w:r w:rsidRPr="00DE058F">
        <w:rPr>
          <w:rFonts w:ascii="Calibri" w:eastAsia="Calibri" w:hAnsi="Calibri" w:cs="Calibri"/>
          <w:bCs/>
          <w:szCs w:val="72"/>
          <w:lang w:val="sr-Cyrl-CS"/>
        </w:rPr>
        <w:lastRenderedPageBreak/>
        <w:t>мера фискалне политике на консолидацији јавних финансија и смањењу учешћа јавног дуга у БДП.</w:t>
      </w:r>
    </w:p>
    <w:p w14:paraId="1473EDF4" w14:textId="738931D8"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На основу планираног макроекономског оквира, а у случају изостанка утицаја могућих ризика, јавни дуг централног нивоа власти би на к</w:t>
      </w:r>
      <w:r w:rsidR="00525A10" w:rsidRPr="00DE058F">
        <w:rPr>
          <w:rFonts w:ascii="Calibri" w:eastAsia="Calibri" w:hAnsi="Calibri" w:cs="Calibri"/>
          <w:bCs/>
          <w:szCs w:val="72"/>
          <w:lang w:val="sr-Cyrl-CS"/>
        </w:rPr>
        <w:t>р</w:t>
      </w:r>
      <w:r w:rsidRPr="00DE058F">
        <w:rPr>
          <w:rFonts w:ascii="Calibri" w:eastAsia="Calibri" w:hAnsi="Calibri" w:cs="Calibri"/>
          <w:bCs/>
          <w:szCs w:val="72"/>
          <w:lang w:val="sr-Cyrl-CS"/>
        </w:rPr>
        <w:t>ају 2025. године требало да буде на нивоу од 49,7% БДП.</w:t>
      </w:r>
    </w:p>
    <w:p w14:paraId="3E7C63A3"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Основни фактори који утичу на стабилизацију рација јавни дуг/БДП су раст БДП, позитивни примарни резултат, курс динара према ино-валутама и висина каматних стопа.</w:t>
      </w:r>
    </w:p>
    <w:p w14:paraId="45072E52" w14:textId="77777777" w:rsidR="00BB2F03" w:rsidRPr="00DE058F" w:rsidRDefault="00BB2F03" w:rsidP="00C91F83">
      <w:pPr>
        <w:spacing w:line="256" w:lineRule="auto"/>
        <w:jc w:val="center"/>
        <w:rPr>
          <w:rFonts w:ascii="Calibri" w:eastAsia="Calibri" w:hAnsi="Calibri" w:cs="Times New Roman"/>
          <w:b/>
          <w:color w:val="002060"/>
          <w:lang w:val="sr-Cyrl-CS"/>
        </w:rPr>
        <w:sectPr w:rsidR="00BB2F03" w:rsidRPr="00DE058F" w:rsidSect="00C91F83">
          <w:type w:val="continuous"/>
          <w:pgSz w:w="12240" w:h="15840" w:code="1"/>
          <w:pgMar w:top="1418" w:right="1418" w:bottom="1418" w:left="1418" w:header="720" w:footer="720" w:gutter="0"/>
          <w:cols w:num="2" w:space="720"/>
          <w:docGrid w:linePitch="272"/>
        </w:sectPr>
      </w:pPr>
    </w:p>
    <w:p w14:paraId="3F88CBEB" w14:textId="01D35B04" w:rsidR="00BB2F03" w:rsidRPr="00DE058F" w:rsidRDefault="00BB2F03" w:rsidP="00C91F83">
      <w:pPr>
        <w:spacing w:line="256" w:lineRule="auto"/>
        <w:jc w:val="center"/>
        <w:rPr>
          <w:rFonts w:ascii="Calibri" w:eastAsia="Calibri" w:hAnsi="Calibri" w:cs="Times New Roman"/>
          <w:b/>
          <w:color w:val="002060"/>
          <w:lang w:val="sr-Cyrl-CS"/>
        </w:rPr>
      </w:pPr>
      <w:r w:rsidRPr="00DE058F">
        <w:rPr>
          <w:rFonts w:ascii="Calibri" w:eastAsia="Calibri" w:hAnsi="Calibri" w:cs="Times New Roman"/>
          <w:b/>
          <w:color w:val="002060"/>
          <w:lang w:val="sr-Cyrl-CS"/>
        </w:rPr>
        <w:t>Табела 3</w:t>
      </w:r>
      <w:r w:rsidR="00623E62" w:rsidRPr="00DE058F">
        <w:rPr>
          <w:rFonts w:ascii="Calibri" w:eastAsia="Calibri" w:hAnsi="Calibri" w:cs="Times New Roman"/>
          <w:b/>
          <w:color w:val="002060"/>
          <w:lang w:val="sr-Cyrl-CS"/>
        </w:rPr>
        <w:t>0</w:t>
      </w:r>
      <w:r w:rsidRPr="00DE058F">
        <w:rPr>
          <w:rFonts w:ascii="Calibri" w:eastAsia="Calibri" w:hAnsi="Calibri" w:cs="Times New Roman"/>
          <w:b/>
          <w:color w:val="002060"/>
          <w:lang w:val="sr-Cyrl-CS"/>
        </w:rPr>
        <w:t xml:space="preserve">. Доприноси основних макроекономских варијабли на промену рација </w:t>
      </w:r>
      <w:r w:rsidRPr="00DE058F">
        <w:rPr>
          <w:rFonts w:ascii="Calibri" w:eastAsia="Calibri" w:hAnsi="Calibri" w:cs="Times New Roman"/>
          <w:b/>
          <w:color w:val="002060"/>
          <w:lang w:val="sr-Cyrl-CS"/>
        </w:rPr>
        <w:br w:type="textWrapping" w:clear="all"/>
        <w:t>јавни дуг (централног нивоа државе) – БДП, у %</w:t>
      </w:r>
    </w:p>
    <w:tbl>
      <w:tblPr>
        <w:tblStyle w:val="LightShading-Accent1222"/>
        <w:tblW w:w="5000" w:type="pct"/>
        <w:tblInd w:w="0" w:type="dxa"/>
        <w:tblLook w:val="0420" w:firstRow="1" w:lastRow="0" w:firstColumn="0" w:lastColumn="0" w:noHBand="0" w:noVBand="1"/>
      </w:tblPr>
      <w:tblGrid>
        <w:gridCol w:w="3843"/>
        <w:gridCol w:w="926"/>
        <w:gridCol w:w="927"/>
        <w:gridCol w:w="927"/>
        <w:gridCol w:w="927"/>
        <w:gridCol w:w="927"/>
        <w:gridCol w:w="927"/>
      </w:tblGrid>
      <w:tr w:rsidR="00BB2F03" w:rsidRPr="00DE058F" w14:paraId="0C4666A4" w14:textId="77777777" w:rsidTr="00FF2460">
        <w:trPr>
          <w:cnfStyle w:val="100000000000" w:firstRow="1" w:lastRow="0" w:firstColumn="0" w:lastColumn="0" w:oddVBand="0" w:evenVBand="0" w:oddHBand="0" w:evenHBand="0" w:firstRowFirstColumn="0" w:firstRowLastColumn="0" w:lastRowFirstColumn="0" w:lastRowLastColumn="0"/>
          <w:trHeight w:val="265"/>
        </w:trPr>
        <w:tc>
          <w:tcPr>
            <w:tcW w:w="2043" w:type="pct"/>
            <w:tcBorders>
              <w:top w:val="single" w:sz="4" w:space="0" w:color="002060"/>
              <w:bottom w:val="single" w:sz="8" w:space="0" w:color="FFFFFF" w:themeColor="background1"/>
            </w:tcBorders>
            <w:noWrap/>
            <w:hideMark/>
          </w:tcPr>
          <w:p w14:paraId="7E03BED3" w14:textId="77777777" w:rsidR="00BB2F03" w:rsidRPr="00DE058F" w:rsidRDefault="00BB2F03" w:rsidP="00C91F83">
            <w:pPr>
              <w:jc w:val="center"/>
              <w:rPr>
                <w:rFonts w:ascii="Calibri" w:hAnsi="Calibri" w:cs="Calibri"/>
                <w:color w:val="002060"/>
                <w:sz w:val="18"/>
                <w:szCs w:val="18"/>
                <w:lang w:val="sr-Cyrl-CS"/>
              </w:rPr>
            </w:pPr>
            <w:r w:rsidRPr="00DE058F">
              <w:rPr>
                <w:rFonts w:ascii="Calibri" w:hAnsi="Calibri" w:cs="Calibri"/>
                <w:color w:val="002060"/>
                <w:sz w:val="18"/>
                <w:szCs w:val="18"/>
                <w:lang w:val="sr-Cyrl-CS"/>
              </w:rPr>
              <w:t> </w:t>
            </w:r>
          </w:p>
        </w:tc>
        <w:tc>
          <w:tcPr>
            <w:tcW w:w="492" w:type="pct"/>
            <w:tcBorders>
              <w:top w:val="single" w:sz="4" w:space="0" w:color="002060"/>
              <w:bottom w:val="single" w:sz="4" w:space="0" w:color="002060"/>
            </w:tcBorders>
            <w:hideMark/>
          </w:tcPr>
          <w:p w14:paraId="70BC974A" w14:textId="77777777" w:rsidR="00BB2F03" w:rsidRPr="00DE058F" w:rsidRDefault="00BB2F03" w:rsidP="00C91F83">
            <w:pPr>
              <w:jc w:val="center"/>
              <w:rPr>
                <w:rFonts w:ascii="Calibri" w:hAnsi="Calibri" w:cs="Calibri"/>
                <w:color w:val="002060"/>
                <w:sz w:val="18"/>
                <w:szCs w:val="18"/>
                <w:lang w:val="sr-Cyrl-CS"/>
              </w:rPr>
            </w:pPr>
            <w:r w:rsidRPr="00DE058F">
              <w:rPr>
                <w:rFonts w:ascii="Calibri" w:hAnsi="Calibri" w:cs="Calibri"/>
                <w:color w:val="002060"/>
                <w:sz w:val="18"/>
                <w:szCs w:val="18"/>
                <w:lang w:val="sr-Cyrl-CS"/>
              </w:rPr>
              <w:t xml:space="preserve">2020 </w:t>
            </w:r>
          </w:p>
        </w:tc>
        <w:tc>
          <w:tcPr>
            <w:tcW w:w="493" w:type="pct"/>
            <w:tcBorders>
              <w:top w:val="single" w:sz="4" w:space="0" w:color="002060"/>
              <w:bottom w:val="single" w:sz="4" w:space="0" w:color="002060"/>
            </w:tcBorders>
            <w:hideMark/>
          </w:tcPr>
          <w:p w14:paraId="0E04EECB" w14:textId="77777777" w:rsidR="00BB2F03" w:rsidRPr="00DE058F" w:rsidRDefault="00BB2F03" w:rsidP="00C91F83">
            <w:pPr>
              <w:jc w:val="center"/>
              <w:rPr>
                <w:rFonts w:ascii="Calibri" w:hAnsi="Calibri" w:cs="Calibri"/>
                <w:color w:val="002060"/>
                <w:sz w:val="18"/>
                <w:szCs w:val="18"/>
                <w:lang w:val="sr-Cyrl-CS"/>
              </w:rPr>
            </w:pPr>
            <w:r w:rsidRPr="00DE058F">
              <w:rPr>
                <w:rFonts w:ascii="Calibri" w:hAnsi="Calibri" w:cs="Calibri"/>
                <w:color w:val="002060"/>
                <w:sz w:val="18"/>
                <w:szCs w:val="18"/>
                <w:lang w:val="sr-Cyrl-CS"/>
              </w:rPr>
              <w:t>2021</w:t>
            </w:r>
          </w:p>
        </w:tc>
        <w:tc>
          <w:tcPr>
            <w:tcW w:w="493" w:type="pct"/>
            <w:tcBorders>
              <w:top w:val="single" w:sz="4" w:space="0" w:color="002060"/>
              <w:bottom w:val="single" w:sz="4" w:space="0" w:color="002060"/>
            </w:tcBorders>
            <w:noWrap/>
            <w:hideMark/>
          </w:tcPr>
          <w:p w14:paraId="6E498D6D" w14:textId="77777777" w:rsidR="00BB2F03" w:rsidRPr="00DE058F" w:rsidRDefault="00BB2F03" w:rsidP="00C91F83">
            <w:pPr>
              <w:jc w:val="center"/>
              <w:rPr>
                <w:rFonts w:ascii="Calibri" w:hAnsi="Calibri" w:cs="Calibri"/>
                <w:color w:val="002060"/>
                <w:sz w:val="18"/>
                <w:szCs w:val="18"/>
                <w:lang w:val="sr-Cyrl-CS"/>
              </w:rPr>
            </w:pPr>
            <w:r w:rsidRPr="00DE058F">
              <w:rPr>
                <w:rFonts w:ascii="Calibri" w:hAnsi="Calibri" w:cs="Calibri"/>
                <w:color w:val="002060"/>
                <w:sz w:val="18"/>
                <w:szCs w:val="18"/>
                <w:lang w:val="sr-Cyrl-CS"/>
              </w:rPr>
              <w:t>2022 п</w:t>
            </w:r>
          </w:p>
        </w:tc>
        <w:tc>
          <w:tcPr>
            <w:tcW w:w="493" w:type="pct"/>
            <w:tcBorders>
              <w:top w:val="single" w:sz="4" w:space="0" w:color="002060"/>
              <w:bottom w:val="single" w:sz="4" w:space="0" w:color="002060"/>
            </w:tcBorders>
            <w:noWrap/>
            <w:hideMark/>
          </w:tcPr>
          <w:p w14:paraId="16C38AD5" w14:textId="77777777" w:rsidR="00BB2F03" w:rsidRPr="00DE058F" w:rsidRDefault="00BB2F03" w:rsidP="00C91F83">
            <w:pPr>
              <w:jc w:val="center"/>
              <w:rPr>
                <w:rFonts w:ascii="Calibri" w:hAnsi="Calibri" w:cs="Calibri"/>
                <w:color w:val="002060"/>
                <w:sz w:val="18"/>
                <w:szCs w:val="18"/>
                <w:lang w:val="sr-Cyrl-CS"/>
              </w:rPr>
            </w:pPr>
            <w:r w:rsidRPr="00DE058F">
              <w:rPr>
                <w:rFonts w:ascii="Calibri" w:hAnsi="Calibri" w:cs="Calibri"/>
                <w:color w:val="002060"/>
                <w:sz w:val="18"/>
                <w:szCs w:val="18"/>
                <w:lang w:val="sr-Cyrl-CS"/>
              </w:rPr>
              <w:t>2023 п</w:t>
            </w:r>
          </w:p>
        </w:tc>
        <w:tc>
          <w:tcPr>
            <w:tcW w:w="493" w:type="pct"/>
            <w:tcBorders>
              <w:top w:val="single" w:sz="4" w:space="0" w:color="002060"/>
              <w:bottom w:val="single" w:sz="4" w:space="0" w:color="002060"/>
            </w:tcBorders>
            <w:noWrap/>
            <w:hideMark/>
          </w:tcPr>
          <w:p w14:paraId="66B1C726" w14:textId="77777777" w:rsidR="00BB2F03" w:rsidRPr="00DE058F" w:rsidRDefault="00BB2F03" w:rsidP="00C91F83">
            <w:pPr>
              <w:jc w:val="center"/>
              <w:rPr>
                <w:rFonts w:ascii="Calibri" w:hAnsi="Calibri" w:cs="Calibri"/>
                <w:color w:val="002060"/>
                <w:sz w:val="18"/>
                <w:szCs w:val="18"/>
                <w:lang w:val="sr-Cyrl-CS"/>
              </w:rPr>
            </w:pPr>
            <w:r w:rsidRPr="00DE058F">
              <w:rPr>
                <w:rFonts w:ascii="Calibri" w:hAnsi="Calibri" w:cs="Calibri"/>
                <w:color w:val="002060"/>
                <w:sz w:val="18"/>
                <w:szCs w:val="18"/>
                <w:lang w:val="sr-Cyrl-CS"/>
              </w:rPr>
              <w:t>2024 п</w:t>
            </w:r>
          </w:p>
        </w:tc>
        <w:tc>
          <w:tcPr>
            <w:tcW w:w="493" w:type="pct"/>
            <w:tcBorders>
              <w:top w:val="single" w:sz="4" w:space="0" w:color="002060"/>
              <w:bottom w:val="single" w:sz="4" w:space="0" w:color="002060"/>
            </w:tcBorders>
            <w:noWrap/>
            <w:hideMark/>
          </w:tcPr>
          <w:p w14:paraId="4D31D85E" w14:textId="77777777" w:rsidR="00BB2F03" w:rsidRPr="00DE058F" w:rsidRDefault="00BB2F03" w:rsidP="00C91F83">
            <w:pPr>
              <w:jc w:val="center"/>
              <w:rPr>
                <w:rFonts w:ascii="Calibri" w:hAnsi="Calibri" w:cs="Calibri"/>
                <w:color w:val="002060"/>
                <w:sz w:val="18"/>
                <w:szCs w:val="18"/>
                <w:lang w:val="sr-Cyrl-CS"/>
              </w:rPr>
            </w:pPr>
            <w:r w:rsidRPr="00DE058F">
              <w:rPr>
                <w:rFonts w:ascii="Calibri" w:hAnsi="Calibri" w:cs="Calibri"/>
                <w:color w:val="002060"/>
                <w:sz w:val="18"/>
                <w:szCs w:val="18"/>
                <w:lang w:val="sr-Cyrl-CS"/>
              </w:rPr>
              <w:t>2025 п</w:t>
            </w:r>
          </w:p>
        </w:tc>
      </w:tr>
      <w:tr w:rsidR="00BB2F03" w:rsidRPr="00DE058F" w14:paraId="24C8CA62" w14:textId="77777777" w:rsidTr="00FF2460">
        <w:trPr>
          <w:cnfStyle w:val="000000100000" w:firstRow="0" w:lastRow="0" w:firstColumn="0" w:lastColumn="0" w:oddVBand="0" w:evenVBand="0" w:oddHBand="1" w:evenHBand="0" w:firstRowFirstColumn="0" w:firstRowLastColumn="0" w:lastRowFirstColumn="0" w:lastRowLastColumn="0"/>
          <w:trHeight w:val="265"/>
        </w:trPr>
        <w:tc>
          <w:tcPr>
            <w:tcW w:w="2043" w:type="pct"/>
            <w:tcBorders>
              <w:top w:val="single" w:sz="8" w:space="0" w:color="FFFFFF" w:themeColor="background1"/>
              <w:bottom w:val="nil"/>
            </w:tcBorders>
            <w:shd w:val="clear" w:color="auto" w:fill="E7E6E6" w:themeFill="background2"/>
            <w:noWrap/>
            <w:hideMark/>
          </w:tcPr>
          <w:p w14:paraId="03DC68EA" w14:textId="77777777" w:rsidR="00BB2F03" w:rsidRPr="00DE058F" w:rsidRDefault="00BB2F03" w:rsidP="00C91F83">
            <w:pPr>
              <w:spacing w:line="240" w:lineRule="auto"/>
              <w:rPr>
                <w:rFonts w:ascii="Calibri" w:hAnsi="Calibri" w:cs="Calibri"/>
                <w:bCs/>
                <w:color w:val="002060"/>
                <w:sz w:val="18"/>
                <w:szCs w:val="18"/>
                <w:lang w:val="sr-Cyrl-CS"/>
              </w:rPr>
            </w:pPr>
            <w:r w:rsidRPr="00DE058F">
              <w:rPr>
                <w:rFonts w:ascii="Calibri" w:hAnsi="Calibri" w:cs="Calibri"/>
                <w:bCs/>
                <w:color w:val="002060"/>
                <w:sz w:val="18"/>
                <w:szCs w:val="18"/>
                <w:lang w:val="sr-Cyrl-CS"/>
              </w:rPr>
              <w:t>Дуг централне државе/БДП</w:t>
            </w:r>
          </w:p>
        </w:tc>
        <w:tc>
          <w:tcPr>
            <w:tcW w:w="492" w:type="pct"/>
            <w:tcBorders>
              <w:top w:val="single" w:sz="4" w:space="0" w:color="002060"/>
              <w:bottom w:val="nil"/>
            </w:tcBorders>
            <w:shd w:val="clear" w:color="auto" w:fill="E7E6E6" w:themeFill="background2"/>
            <w:hideMark/>
          </w:tcPr>
          <w:p w14:paraId="39B1897D"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57,0</w:t>
            </w:r>
          </w:p>
        </w:tc>
        <w:tc>
          <w:tcPr>
            <w:tcW w:w="493" w:type="pct"/>
            <w:tcBorders>
              <w:top w:val="single" w:sz="4" w:space="0" w:color="002060"/>
              <w:bottom w:val="nil"/>
            </w:tcBorders>
            <w:shd w:val="clear" w:color="auto" w:fill="E7E6E6" w:themeFill="background2"/>
            <w:hideMark/>
          </w:tcPr>
          <w:p w14:paraId="6AF447E4"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56,5</w:t>
            </w:r>
          </w:p>
        </w:tc>
        <w:tc>
          <w:tcPr>
            <w:tcW w:w="493" w:type="pct"/>
            <w:tcBorders>
              <w:top w:val="single" w:sz="4" w:space="0" w:color="002060"/>
              <w:bottom w:val="nil"/>
            </w:tcBorders>
            <w:shd w:val="clear" w:color="auto" w:fill="E7E6E6" w:themeFill="background2"/>
            <w:noWrap/>
            <w:hideMark/>
          </w:tcPr>
          <w:p w14:paraId="3876DA9C"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53,6</w:t>
            </w:r>
          </w:p>
        </w:tc>
        <w:tc>
          <w:tcPr>
            <w:tcW w:w="493" w:type="pct"/>
            <w:tcBorders>
              <w:top w:val="single" w:sz="4" w:space="0" w:color="002060"/>
              <w:bottom w:val="nil"/>
            </w:tcBorders>
            <w:shd w:val="clear" w:color="auto" w:fill="E7E6E6" w:themeFill="background2"/>
            <w:noWrap/>
            <w:hideMark/>
          </w:tcPr>
          <w:p w14:paraId="42AD51FD"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52,1</w:t>
            </w:r>
          </w:p>
        </w:tc>
        <w:tc>
          <w:tcPr>
            <w:tcW w:w="493" w:type="pct"/>
            <w:tcBorders>
              <w:top w:val="single" w:sz="4" w:space="0" w:color="002060"/>
              <w:bottom w:val="nil"/>
            </w:tcBorders>
            <w:shd w:val="clear" w:color="auto" w:fill="E7E6E6" w:themeFill="background2"/>
            <w:noWrap/>
            <w:hideMark/>
          </w:tcPr>
          <w:p w14:paraId="0E2F1D0C"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51,0</w:t>
            </w:r>
          </w:p>
        </w:tc>
        <w:tc>
          <w:tcPr>
            <w:tcW w:w="493" w:type="pct"/>
            <w:tcBorders>
              <w:top w:val="single" w:sz="4" w:space="0" w:color="002060"/>
              <w:bottom w:val="nil"/>
            </w:tcBorders>
            <w:shd w:val="clear" w:color="auto" w:fill="E7E6E6" w:themeFill="background2"/>
            <w:noWrap/>
            <w:hideMark/>
          </w:tcPr>
          <w:p w14:paraId="407A096F"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49,7</w:t>
            </w:r>
          </w:p>
        </w:tc>
      </w:tr>
      <w:tr w:rsidR="00BB2F03" w:rsidRPr="00DE058F" w14:paraId="658418F8" w14:textId="77777777" w:rsidTr="00FF2460">
        <w:trPr>
          <w:trHeight w:val="265"/>
        </w:trPr>
        <w:tc>
          <w:tcPr>
            <w:tcW w:w="2043" w:type="pct"/>
            <w:tcBorders>
              <w:top w:val="nil"/>
              <w:left w:val="nil"/>
              <w:bottom w:val="nil"/>
              <w:right w:val="nil"/>
            </w:tcBorders>
            <w:noWrap/>
            <w:hideMark/>
          </w:tcPr>
          <w:p w14:paraId="4608CA06" w14:textId="77777777" w:rsidR="00BB2F03" w:rsidRPr="00DE058F" w:rsidRDefault="00BB2F03" w:rsidP="00C91F83">
            <w:pPr>
              <w:spacing w:line="240" w:lineRule="auto"/>
              <w:rPr>
                <w:rFonts w:ascii="Calibri" w:hAnsi="Calibri" w:cs="Calibri"/>
                <w:bCs/>
                <w:color w:val="002060"/>
                <w:sz w:val="18"/>
                <w:szCs w:val="18"/>
                <w:lang w:val="sr-Cyrl-CS"/>
              </w:rPr>
            </w:pPr>
            <w:r w:rsidRPr="00DE058F">
              <w:rPr>
                <w:rFonts w:ascii="Calibri" w:hAnsi="Calibri" w:cs="Calibri"/>
                <w:bCs/>
                <w:color w:val="002060"/>
                <w:sz w:val="18"/>
                <w:szCs w:val="18"/>
                <w:lang w:val="sr-Cyrl-CS"/>
              </w:rPr>
              <w:t>Промена у односу на претходну год. у % БДП</w:t>
            </w:r>
          </w:p>
        </w:tc>
        <w:tc>
          <w:tcPr>
            <w:tcW w:w="492" w:type="pct"/>
            <w:tcBorders>
              <w:top w:val="nil"/>
              <w:left w:val="nil"/>
              <w:bottom w:val="nil"/>
              <w:right w:val="nil"/>
            </w:tcBorders>
            <w:hideMark/>
          </w:tcPr>
          <w:p w14:paraId="5A3B1967"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5,1</w:t>
            </w:r>
          </w:p>
        </w:tc>
        <w:tc>
          <w:tcPr>
            <w:tcW w:w="493" w:type="pct"/>
            <w:tcBorders>
              <w:top w:val="nil"/>
              <w:left w:val="nil"/>
              <w:bottom w:val="nil"/>
              <w:right w:val="nil"/>
            </w:tcBorders>
            <w:hideMark/>
          </w:tcPr>
          <w:p w14:paraId="284A5A5D"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-0,5</w:t>
            </w:r>
          </w:p>
        </w:tc>
        <w:tc>
          <w:tcPr>
            <w:tcW w:w="493" w:type="pct"/>
            <w:tcBorders>
              <w:top w:val="nil"/>
              <w:left w:val="nil"/>
              <w:bottom w:val="nil"/>
              <w:right w:val="nil"/>
            </w:tcBorders>
            <w:noWrap/>
            <w:hideMark/>
          </w:tcPr>
          <w:p w14:paraId="47796260"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-2,9</w:t>
            </w:r>
          </w:p>
        </w:tc>
        <w:tc>
          <w:tcPr>
            <w:tcW w:w="493" w:type="pct"/>
            <w:tcBorders>
              <w:top w:val="nil"/>
              <w:left w:val="nil"/>
              <w:bottom w:val="nil"/>
              <w:right w:val="nil"/>
            </w:tcBorders>
            <w:noWrap/>
            <w:hideMark/>
          </w:tcPr>
          <w:p w14:paraId="16BFC662"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-1,5</w:t>
            </w:r>
          </w:p>
        </w:tc>
        <w:tc>
          <w:tcPr>
            <w:tcW w:w="493" w:type="pct"/>
            <w:tcBorders>
              <w:top w:val="nil"/>
              <w:left w:val="nil"/>
              <w:bottom w:val="nil"/>
              <w:right w:val="nil"/>
            </w:tcBorders>
            <w:noWrap/>
            <w:hideMark/>
          </w:tcPr>
          <w:p w14:paraId="562A5858"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-1,1</w:t>
            </w:r>
          </w:p>
        </w:tc>
        <w:tc>
          <w:tcPr>
            <w:tcW w:w="493" w:type="pct"/>
            <w:tcBorders>
              <w:top w:val="nil"/>
              <w:left w:val="nil"/>
              <w:bottom w:val="nil"/>
              <w:right w:val="nil"/>
            </w:tcBorders>
            <w:noWrap/>
            <w:hideMark/>
          </w:tcPr>
          <w:p w14:paraId="318C1165"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-1,3</w:t>
            </w:r>
          </w:p>
        </w:tc>
      </w:tr>
      <w:tr w:rsidR="00BB2F03" w:rsidRPr="00DE058F" w14:paraId="294941A3" w14:textId="77777777" w:rsidTr="00FF2460">
        <w:trPr>
          <w:cnfStyle w:val="000000100000" w:firstRow="0" w:lastRow="0" w:firstColumn="0" w:lastColumn="0" w:oddVBand="0" w:evenVBand="0" w:oddHBand="1" w:evenHBand="0" w:firstRowFirstColumn="0" w:firstRowLastColumn="0" w:lastRowFirstColumn="0" w:lastRowLastColumn="0"/>
          <w:trHeight w:val="265"/>
        </w:trPr>
        <w:tc>
          <w:tcPr>
            <w:tcW w:w="2043" w:type="pct"/>
            <w:tcBorders>
              <w:top w:val="nil"/>
              <w:bottom w:val="nil"/>
            </w:tcBorders>
            <w:shd w:val="clear" w:color="auto" w:fill="E7E6E6" w:themeFill="background2"/>
            <w:noWrap/>
            <w:hideMark/>
          </w:tcPr>
          <w:p w14:paraId="17BED4A9" w14:textId="77777777" w:rsidR="00BB2F03" w:rsidRPr="00DE058F" w:rsidRDefault="00BB2F03" w:rsidP="00C91F83">
            <w:pPr>
              <w:spacing w:line="240" w:lineRule="auto"/>
              <w:rPr>
                <w:rFonts w:ascii="Calibri" w:hAnsi="Calibri" w:cs="Calibri"/>
                <w:bCs/>
                <w:color w:val="002060"/>
                <w:sz w:val="18"/>
                <w:szCs w:val="18"/>
                <w:lang w:val="sr-Cyrl-CS"/>
              </w:rPr>
            </w:pPr>
            <w:r w:rsidRPr="00DE058F">
              <w:rPr>
                <w:rFonts w:ascii="Calibri" w:hAnsi="Calibri" w:cs="Calibri"/>
                <w:bCs/>
                <w:color w:val="002060"/>
                <w:sz w:val="18"/>
                <w:szCs w:val="18"/>
                <w:lang w:val="sr-Cyrl-CS"/>
              </w:rPr>
              <w:t>Допринос примарног фискалног резултата</w:t>
            </w:r>
          </w:p>
        </w:tc>
        <w:tc>
          <w:tcPr>
            <w:tcW w:w="492" w:type="pct"/>
            <w:tcBorders>
              <w:top w:val="nil"/>
              <w:bottom w:val="nil"/>
            </w:tcBorders>
            <w:shd w:val="clear" w:color="auto" w:fill="E7E6E6" w:themeFill="background2"/>
            <w:hideMark/>
          </w:tcPr>
          <w:p w14:paraId="0EF126D2"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6,4</w:t>
            </w:r>
          </w:p>
        </w:tc>
        <w:tc>
          <w:tcPr>
            <w:tcW w:w="493" w:type="pct"/>
            <w:tcBorders>
              <w:top w:val="nil"/>
              <w:bottom w:val="nil"/>
            </w:tcBorders>
            <w:shd w:val="clear" w:color="auto" w:fill="E7E6E6" w:themeFill="background2"/>
            <w:hideMark/>
          </w:tcPr>
          <w:p w14:paraId="546B0E72"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2,9</w:t>
            </w:r>
          </w:p>
        </w:tc>
        <w:tc>
          <w:tcPr>
            <w:tcW w:w="493" w:type="pct"/>
            <w:tcBorders>
              <w:top w:val="nil"/>
              <w:bottom w:val="nil"/>
            </w:tcBorders>
            <w:shd w:val="clear" w:color="auto" w:fill="E7E6E6" w:themeFill="background2"/>
            <w:noWrap/>
            <w:hideMark/>
          </w:tcPr>
          <w:p w14:paraId="2A16022F"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1,3</w:t>
            </w:r>
          </w:p>
        </w:tc>
        <w:tc>
          <w:tcPr>
            <w:tcW w:w="493" w:type="pct"/>
            <w:tcBorders>
              <w:top w:val="nil"/>
              <w:bottom w:val="nil"/>
            </w:tcBorders>
            <w:shd w:val="clear" w:color="auto" w:fill="E7E6E6" w:themeFill="background2"/>
            <w:noWrap/>
            <w:hideMark/>
          </w:tcPr>
          <w:p w14:paraId="295E8597"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-0,1</w:t>
            </w:r>
          </w:p>
        </w:tc>
        <w:tc>
          <w:tcPr>
            <w:tcW w:w="493" w:type="pct"/>
            <w:tcBorders>
              <w:top w:val="nil"/>
              <w:bottom w:val="nil"/>
            </w:tcBorders>
            <w:shd w:val="clear" w:color="auto" w:fill="E7E6E6" w:themeFill="background2"/>
            <w:noWrap/>
            <w:hideMark/>
          </w:tcPr>
          <w:p w14:paraId="2A37B465"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-0,6</w:t>
            </w:r>
          </w:p>
        </w:tc>
        <w:tc>
          <w:tcPr>
            <w:tcW w:w="493" w:type="pct"/>
            <w:tcBorders>
              <w:top w:val="nil"/>
              <w:bottom w:val="nil"/>
            </w:tcBorders>
            <w:shd w:val="clear" w:color="auto" w:fill="E7E6E6" w:themeFill="background2"/>
            <w:noWrap/>
            <w:hideMark/>
          </w:tcPr>
          <w:p w14:paraId="3610458F"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-1,1</w:t>
            </w:r>
          </w:p>
        </w:tc>
      </w:tr>
      <w:tr w:rsidR="00BB2F03" w:rsidRPr="00DE058F" w14:paraId="3ACF834E" w14:textId="77777777" w:rsidTr="00FF2460">
        <w:trPr>
          <w:trHeight w:val="265"/>
        </w:trPr>
        <w:tc>
          <w:tcPr>
            <w:tcW w:w="2043" w:type="pct"/>
            <w:tcBorders>
              <w:top w:val="nil"/>
              <w:left w:val="nil"/>
              <w:bottom w:val="nil"/>
              <w:right w:val="nil"/>
            </w:tcBorders>
            <w:noWrap/>
            <w:hideMark/>
          </w:tcPr>
          <w:p w14:paraId="7A67D703" w14:textId="77777777" w:rsidR="00BB2F03" w:rsidRPr="00DE058F" w:rsidRDefault="00BB2F03" w:rsidP="00C91F83">
            <w:pPr>
              <w:spacing w:line="240" w:lineRule="auto"/>
              <w:rPr>
                <w:rFonts w:ascii="Calibri" w:hAnsi="Calibri" w:cs="Calibri"/>
                <w:bCs/>
                <w:color w:val="002060"/>
                <w:sz w:val="18"/>
                <w:szCs w:val="18"/>
                <w:lang w:val="sr-Cyrl-CS"/>
              </w:rPr>
            </w:pPr>
            <w:r w:rsidRPr="00DE058F">
              <w:rPr>
                <w:rFonts w:ascii="Calibri" w:hAnsi="Calibri" w:cs="Calibri"/>
                <w:bCs/>
                <w:color w:val="002060"/>
                <w:sz w:val="18"/>
                <w:szCs w:val="18"/>
                <w:lang w:val="sr-Cyrl-CS"/>
              </w:rPr>
              <w:t>Допринос камата</w:t>
            </w:r>
          </w:p>
        </w:tc>
        <w:tc>
          <w:tcPr>
            <w:tcW w:w="492" w:type="pct"/>
            <w:tcBorders>
              <w:top w:val="nil"/>
              <w:left w:val="nil"/>
              <w:bottom w:val="nil"/>
              <w:right w:val="nil"/>
            </w:tcBorders>
            <w:hideMark/>
          </w:tcPr>
          <w:p w14:paraId="7CB09542"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2,0</w:t>
            </w:r>
          </w:p>
        </w:tc>
        <w:tc>
          <w:tcPr>
            <w:tcW w:w="493" w:type="pct"/>
            <w:tcBorders>
              <w:top w:val="nil"/>
              <w:left w:val="nil"/>
              <w:bottom w:val="nil"/>
              <w:right w:val="nil"/>
            </w:tcBorders>
            <w:hideMark/>
          </w:tcPr>
          <w:p w14:paraId="1D5AF8E5"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1,7</w:t>
            </w:r>
          </w:p>
        </w:tc>
        <w:tc>
          <w:tcPr>
            <w:tcW w:w="493" w:type="pct"/>
            <w:tcBorders>
              <w:top w:val="nil"/>
              <w:left w:val="nil"/>
              <w:bottom w:val="nil"/>
              <w:right w:val="nil"/>
            </w:tcBorders>
            <w:noWrap/>
            <w:hideMark/>
          </w:tcPr>
          <w:p w14:paraId="460B1CAB"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1,7</w:t>
            </w:r>
          </w:p>
        </w:tc>
        <w:tc>
          <w:tcPr>
            <w:tcW w:w="493" w:type="pct"/>
            <w:tcBorders>
              <w:top w:val="nil"/>
              <w:left w:val="nil"/>
              <w:bottom w:val="nil"/>
              <w:right w:val="nil"/>
            </w:tcBorders>
            <w:noWrap/>
            <w:hideMark/>
          </w:tcPr>
          <w:p w14:paraId="33579DCB"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1,6</w:t>
            </w:r>
          </w:p>
        </w:tc>
        <w:tc>
          <w:tcPr>
            <w:tcW w:w="493" w:type="pct"/>
            <w:tcBorders>
              <w:top w:val="nil"/>
              <w:left w:val="nil"/>
              <w:bottom w:val="nil"/>
              <w:right w:val="nil"/>
            </w:tcBorders>
            <w:noWrap/>
            <w:hideMark/>
          </w:tcPr>
          <w:p w14:paraId="434D4E23"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1,6</w:t>
            </w:r>
          </w:p>
        </w:tc>
        <w:tc>
          <w:tcPr>
            <w:tcW w:w="493" w:type="pct"/>
            <w:tcBorders>
              <w:top w:val="nil"/>
              <w:left w:val="nil"/>
              <w:bottom w:val="nil"/>
              <w:right w:val="nil"/>
            </w:tcBorders>
            <w:noWrap/>
            <w:hideMark/>
          </w:tcPr>
          <w:p w14:paraId="07BB62F2"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1,6</w:t>
            </w:r>
          </w:p>
        </w:tc>
      </w:tr>
      <w:tr w:rsidR="00BB2F03" w:rsidRPr="00DE058F" w14:paraId="50CCD253" w14:textId="77777777" w:rsidTr="00FF2460">
        <w:trPr>
          <w:cnfStyle w:val="000000100000" w:firstRow="0" w:lastRow="0" w:firstColumn="0" w:lastColumn="0" w:oddVBand="0" w:evenVBand="0" w:oddHBand="1" w:evenHBand="0" w:firstRowFirstColumn="0" w:firstRowLastColumn="0" w:lastRowFirstColumn="0" w:lastRowLastColumn="0"/>
          <w:trHeight w:val="265"/>
        </w:trPr>
        <w:tc>
          <w:tcPr>
            <w:tcW w:w="2043" w:type="pct"/>
            <w:tcBorders>
              <w:top w:val="nil"/>
              <w:bottom w:val="nil"/>
            </w:tcBorders>
            <w:shd w:val="clear" w:color="auto" w:fill="E7E6E6" w:themeFill="background2"/>
            <w:hideMark/>
          </w:tcPr>
          <w:p w14:paraId="45ED1350" w14:textId="77777777" w:rsidR="00BB2F03" w:rsidRPr="00DE058F" w:rsidRDefault="00BB2F03" w:rsidP="00C91F83">
            <w:pPr>
              <w:spacing w:line="240" w:lineRule="auto"/>
              <w:rPr>
                <w:rFonts w:ascii="Calibri" w:hAnsi="Calibri" w:cs="Calibri"/>
                <w:bCs/>
                <w:color w:val="002060"/>
                <w:sz w:val="18"/>
                <w:szCs w:val="18"/>
                <w:lang w:val="sr-Cyrl-CS"/>
              </w:rPr>
            </w:pPr>
            <w:r w:rsidRPr="00DE058F">
              <w:rPr>
                <w:rFonts w:ascii="Calibri" w:hAnsi="Calibri" w:cs="Calibri"/>
                <w:bCs/>
                <w:color w:val="002060"/>
                <w:sz w:val="18"/>
                <w:szCs w:val="18"/>
                <w:lang w:val="sr-Cyrl-CS"/>
              </w:rPr>
              <w:t>Допринос раста номиналног БДП</w:t>
            </w:r>
          </w:p>
        </w:tc>
        <w:tc>
          <w:tcPr>
            <w:tcW w:w="492" w:type="pct"/>
            <w:tcBorders>
              <w:top w:val="nil"/>
              <w:bottom w:val="nil"/>
            </w:tcBorders>
            <w:shd w:val="clear" w:color="auto" w:fill="E7E6E6" w:themeFill="background2"/>
            <w:hideMark/>
          </w:tcPr>
          <w:p w14:paraId="330AC4F2"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-0,8</w:t>
            </w:r>
          </w:p>
        </w:tc>
        <w:tc>
          <w:tcPr>
            <w:tcW w:w="493" w:type="pct"/>
            <w:tcBorders>
              <w:top w:val="nil"/>
              <w:bottom w:val="nil"/>
            </w:tcBorders>
            <w:shd w:val="clear" w:color="auto" w:fill="E7E6E6" w:themeFill="background2"/>
            <w:hideMark/>
          </w:tcPr>
          <w:p w14:paraId="3F324C6F"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-7,0</w:t>
            </w:r>
          </w:p>
        </w:tc>
        <w:tc>
          <w:tcPr>
            <w:tcW w:w="493" w:type="pct"/>
            <w:tcBorders>
              <w:top w:val="nil"/>
              <w:bottom w:val="nil"/>
            </w:tcBorders>
            <w:shd w:val="clear" w:color="auto" w:fill="E7E6E6" w:themeFill="background2"/>
            <w:noWrap/>
            <w:hideMark/>
          </w:tcPr>
          <w:p w14:paraId="07AB13F9"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-5,2</w:t>
            </w:r>
          </w:p>
        </w:tc>
        <w:tc>
          <w:tcPr>
            <w:tcW w:w="493" w:type="pct"/>
            <w:tcBorders>
              <w:top w:val="nil"/>
              <w:bottom w:val="nil"/>
            </w:tcBorders>
            <w:shd w:val="clear" w:color="auto" w:fill="E7E6E6" w:themeFill="background2"/>
            <w:noWrap/>
            <w:hideMark/>
          </w:tcPr>
          <w:p w14:paraId="4929DC2C"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-4,0</w:t>
            </w:r>
          </w:p>
        </w:tc>
        <w:tc>
          <w:tcPr>
            <w:tcW w:w="493" w:type="pct"/>
            <w:tcBorders>
              <w:top w:val="nil"/>
              <w:bottom w:val="nil"/>
            </w:tcBorders>
            <w:shd w:val="clear" w:color="auto" w:fill="E7E6E6" w:themeFill="background2"/>
            <w:noWrap/>
            <w:hideMark/>
          </w:tcPr>
          <w:p w14:paraId="65F05DF9"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-3,6</w:t>
            </w:r>
          </w:p>
        </w:tc>
        <w:tc>
          <w:tcPr>
            <w:tcW w:w="493" w:type="pct"/>
            <w:tcBorders>
              <w:top w:val="nil"/>
              <w:bottom w:val="nil"/>
            </w:tcBorders>
            <w:shd w:val="clear" w:color="auto" w:fill="E7E6E6" w:themeFill="background2"/>
            <w:noWrap/>
            <w:hideMark/>
          </w:tcPr>
          <w:p w14:paraId="5151F911"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-3,7</w:t>
            </w:r>
          </w:p>
        </w:tc>
      </w:tr>
      <w:tr w:rsidR="00BB2F03" w:rsidRPr="00DE058F" w14:paraId="2DF7C165" w14:textId="77777777" w:rsidTr="00FF2460">
        <w:trPr>
          <w:trHeight w:val="265"/>
        </w:trPr>
        <w:tc>
          <w:tcPr>
            <w:tcW w:w="2043" w:type="pct"/>
            <w:tcBorders>
              <w:top w:val="nil"/>
              <w:left w:val="nil"/>
              <w:bottom w:val="single" w:sz="4" w:space="0" w:color="002060"/>
              <w:right w:val="nil"/>
            </w:tcBorders>
            <w:hideMark/>
          </w:tcPr>
          <w:p w14:paraId="5CAD8920" w14:textId="77777777" w:rsidR="00BB2F03" w:rsidRPr="00DE058F" w:rsidRDefault="00BB2F03" w:rsidP="00C91F83">
            <w:pPr>
              <w:spacing w:line="240" w:lineRule="auto"/>
              <w:rPr>
                <w:rFonts w:ascii="Calibri" w:hAnsi="Calibri" w:cs="Calibri"/>
                <w:bCs/>
                <w:color w:val="002060"/>
                <w:sz w:val="18"/>
                <w:szCs w:val="18"/>
                <w:lang w:val="sr-Cyrl-CS"/>
              </w:rPr>
            </w:pPr>
            <w:r w:rsidRPr="00DE058F">
              <w:rPr>
                <w:rFonts w:ascii="Calibri" w:hAnsi="Calibri" w:cs="Calibri"/>
                <w:bCs/>
                <w:color w:val="002060"/>
                <w:sz w:val="18"/>
                <w:szCs w:val="18"/>
                <w:lang w:val="sr-Cyrl-CS"/>
              </w:rPr>
              <w:t>Допринос осталих фактора</w:t>
            </w:r>
          </w:p>
        </w:tc>
        <w:tc>
          <w:tcPr>
            <w:tcW w:w="492" w:type="pct"/>
            <w:tcBorders>
              <w:top w:val="nil"/>
              <w:left w:val="nil"/>
              <w:bottom w:val="single" w:sz="4" w:space="0" w:color="002060"/>
              <w:right w:val="nil"/>
            </w:tcBorders>
            <w:hideMark/>
          </w:tcPr>
          <w:p w14:paraId="08727BB4"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-2,5</w:t>
            </w:r>
          </w:p>
        </w:tc>
        <w:tc>
          <w:tcPr>
            <w:tcW w:w="493" w:type="pct"/>
            <w:tcBorders>
              <w:top w:val="nil"/>
              <w:left w:val="nil"/>
              <w:bottom w:val="single" w:sz="4" w:space="0" w:color="002060"/>
              <w:right w:val="nil"/>
            </w:tcBorders>
            <w:hideMark/>
          </w:tcPr>
          <w:p w14:paraId="2B004B29"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1,9</w:t>
            </w:r>
          </w:p>
        </w:tc>
        <w:tc>
          <w:tcPr>
            <w:tcW w:w="493" w:type="pct"/>
            <w:tcBorders>
              <w:top w:val="nil"/>
              <w:left w:val="nil"/>
              <w:bottom w:val="single" w:sz="4" w:space="0" w:color="002060"/>
              <w:right w:val="nil"/>
            </w:tcBorders>
            <w:noWrap/>
            <w:hideMark/>
          </w:tcPr>
          <w:p w14:paraId="45502229"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-0,7</w:t>
            </w:r>
          </w:p>
        </w:tc>
        <w:tc>
          <w:tcPr>
            <w:tcW w:w="493" w:type="pct"/>
            <w:tcBorders>
              <w:top w:val="nil"/>
              <w:left w:val="nil"/>
              <w:bottom w:val="single" w:sz="4" w:space="0" w:color="002060"/>
              <w:right w:val="nil"/>
            </w:tcBorders>
            <w:noWrap/>
            <w:hideMark/>
          </w:tcPr>
          <w:p w14:paraId="2E3B5690"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1,0</w:t>
            </w:r>
          </w:p>
        </w:tc>
        <w:tc>
          <w:tcPr>
            <w:tcW w:w="493" w:type="pct"/>
            <w:tcBorders>
              <w:top w:val="nil"/>
              <w:left w:val="nil"/>
              <w:bottom w:val="single" w:sz="4" w:space="0" w:color="002060"/>
              <w:right w:val="nil"/>
            </w:tcBorders>
            <w:noWrap/>
            <w:hideMark/>
          </w:tcPr>
          <w:p w14:paraId="357499B8"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1,5</w:t>
            </w:r>
          </w:p>
        </w:tc>
        <w:tc>
          <w:tcPr>
            <w:tcW w:w="493" w:type="pct"/>
            <w:tcBorders>
              <w:top w:val="nil"/>
              <w:left w:val="nil"/>
              <w:bottom w:val="single" w:sz="4" w:space="0" w:color="002060"/>
              <w:right w:val="nil"/>
            </w:tcBorders>
            <w:noWrap/>
            <w:hideMark/>
          </w:tcPr>
          <w:p w14:paraId="553A05A7" w14:textId="77777777" w:rsidR="00BB2F03" w:rsidRPr="00DE058F" w:rsidRDefault="00BB2F03" w:rsidP="00C91F83">
            <w:pPr>
              <w:spacing w:line="240" w:lineRule="auto"/>
              <w:jc w:val="center"/>
              <w:rPr>
                <w:rFonts w:ascii="Calibri" w:hAnsi="Calibri" w:cs="Calibri"/>
                <w:bCs/>
                <w:color w:val="002060"/>
                <w:sz w:val="18"/>
                <w:szCs w:val="18"/>
                <w:lang w:val="sr-Cyrl-CS"/>
              </w:rPr>
            </w:pPr>
            <w:r w:rsidRPr="00DE058F">
              <w:rPr>
                <w:rFonts w:ascii="Calibri" w:hAnsi="Calibri" w:cs="Calibri"/>
                <w:bCs/>
                <w:color w:val="002060"/>
                <w:sz w:val="18"/>
                <w:szCs w:val="18"/>
                <w:lang w:val="sr-Cyrl-CS"/>
              </w:rPr>
              <w:t>1,9</w:t>
            </w:r>
          </w:p>
        </w:tc>
      </w:tr>
    </w:tbl>
    <w:p w14:paraId="14C2FE7C" w14:textId="77777777" w:rsidR="00BB2F03" w:rsidRPr="00DE058F" w:rsidRDefault="00BB2F03" w:rsidP="00C91F83">
      <w:pPr>
        <w:spacing w:line="256" w:lineRule="auto"/>
        <w:jc w:val="center"/>
        <w:rPr>
          <w:rFonts w:ascii="Calibri" w:eastAsia="Calibri" w:hAnsi="Calibri" w:cs="Times New Roman"/>
          <w:b/>
          <w:color w:val="002060"/>
          <w:lang w:val="sr-Cyrl-CS"/>
        </w:rPr>
        <w:sectPr w:rsidR="00BB2F03" w:rsidRPr="00DE058F" w:rsidSect="00C91F83">
          <w:type w:val="continuous"/>
          <w:pgSz w:w="12240" w:h="15840" w:code="1"/>
          <w:pgMar w:top="1418" w:right="1418" w:bottom="1418" w:left="1418" w:header="720" w:footer="720" w:gutter="0"/>
          <w:cols w:space="720"/>
          <w:docGrid w:linePitch="272"/>
        </w:sectPr>
      </w:pPr>
    </w:p>
    <w:p w14:paraId="17A996C4" w14:textId="77777777" w:rsidR="00BB2F03" w:rsidRPr="00DE058F" w:rsidRDefault="00BB2F03" w:rsidP="00C91F83">
      <w:pPr>
        <w:spacing w:line="256" w:lineRule="auto"/>
        <w:jc w:val="center"/>
        <w:rPr>
          <w:rFonts w:ascii="Calibri" w:eastAsia="Calibri" w:hAnsi="Calibri" w:cs="Times New Roman"/>
          <w:b/>
          <w:color w:val="002060"/>
          <w:lang w:val="sr-Cyrl-CS"/>
        </w:rPr>
      </w:pPr>
      <w:r w:rsidRPr="00DE058F">
        <w:rPr>
          <w:rFonts w:ascii="Calibri" w:eastAsia="Calibri" w:hAnsi="Calibri" w:cs="Times New Roman"/>
          <w:b/>
          <w:color w:val="002060"/>
          <w:lang w:val="sr-Cyrl-CS"/>
        </w:rPr>
        <w:t>Утицај промене курса динара према корпи валута из портфолија јавног дуга централног нивоа државе на промену рација јавни дуг – БДП</w:t>
      </w:r>
    </w:p>
    <w:p w14:paraId="6009AE20" w14:textId="7397B694" w:rsidR="00BB2F03" w:rsidRPr="00DE058F" w:rsidRDefault="00BB2F03" w:rsidP="00C91F83">
      <w:pPr>
        <w:spacing w:line="256" w:lineRule="auto"/>
        <w:rPr>
          <w:rFonts w:ascii="Calibri" w:eastAsia="Calibri" w:hAnsi="Calibri" w:cs="Times New Roman"/>
          <w:b/>
          <w:lang w:val="sr-Cyrl-CS"/>
        </w:rPr>
      </w:pPr>
      <w:r w:rsidRPr="00DE058F">
        <w:rPr>
          <w:noProof/>
        </w:rPr>
        <w:drawing>
          <wp:inline distT="0" distB="0" distL="0" distR="0" wp14:anchorId="6FAF47C2" wp14:editId="3260C3E8">
            <wp:extent cx="2757170" cy="2971800"/>
            <wp:effectExtent l="0" t="0" r="5080" b="0"/>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14:paraId="6E69E20E"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 xml:space="preserve">На графикону је представљено кретање рација јавног дуга централног нивоа државе и БДП у зависности од промене курса динара према одређеној корпи валута. Приказана је основна пројекција са алтернативним сценаријима у зависности од апрецијације, односно депрецијације курса динара у распону од 10% апрецијације до 10% депрецијације динара у </w:t>
      </w:r>
      <w:r w:rsidRPr="00DE058F">
        <w:rPr>
          <w:rFonts w:ascii="Calibri" w:eastAsia="Calibri" w:hAnsi="Calibri" w:cs="Calibri"/>
          <w:bCs/>
          <w:szCs w:val="72"/>
          <w:lang w:val="sr-Cyrl-CS"/>
        </w:rPr>
        <w:t>односу на корпу валута. Применом наведених сценарија може се видети да би се рацио за 2025. годину кретао у распону од 46,2% до 53,3%, док би за основни сценарио био на нивоу од 49,7%.</w:t>
      </w:r>
    </w:p>
    <w:p w14:paraId="6F122A85" w14:textId="77777777" w:rsidR="00BB2F03" w:rsidRPr="00DE058F" w:rsidRDefault="00BB2F03" w:rsidP="00C91F83">
      <w:pPr>
        <w:rPr>
          <w:rFonts w:ascii="Calibri" w:eastAsia="Calibri" w:hAnsi="Calibri" w:cs="Calibri"/>
          <w:bCs/>
          <w:spacing w:val="-2"/>
          <w:szCs w:val="72"/>
          <w:lang w:val="sr-Cyrl-CS"/>
        </w:rPr>
      </w:pPr>
      <w:r w:rsidRPr="00DE058F">
        <w:rPr>
          <w:rFonts w:ascii="Calibri" w:eastAsia="Calibri" w:hAnsi="Calibri" w:cs="Calibri"/>
          <w:bCs/>
          <w:spacing w:val="-2"/>
          <w:szCs w:val="72"/>
          <w:lang w:val="sr-Cyrl-CS"/>
        </w:rPr>
        <w:t>Главни ризици за остварење Стратегије, поред горе наведених фактора који су квантификовани, су и стабилност макроекономске ситуације у Републици Србији, потребе за додатним задуживањем како би се регулисали дугови на другим нивоима власти, јавном сектору и финансијском сектору Републике Србије и активирање датих гаранција.</w:t>
      </w:r>
    </w:p>
    <w:p w14:paraId="26F61ED6" w14:textId="42856C6B"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Важно је напоменути да смањењу јавног дуга у односу на БДП доприноси и адекватна контрола издавања гаранција и унапређење процеса приоритизације инвестиционих пројеката, који се финансирају из кредитних линија мултилатер</w:t>
      </w:r>
      <w:r w:rsidR="00B93D6A" w:rsidRPr="00DE058F">
        <w:rPr>
          <w:rFonts w:ascii="Calibri" w:eastAsia="Calibri" w:hAnsi="Calibri" w:cs="Calibri"/>
          <w:bCs/>
          <w:szCs w:val="72"/>
          <w:lang w:val="sr-Cyrl-CS"/>
        </w:rPr>
        <w:t>алних и билатералних кредитора.</w:t>
      </w:r>
    </w:p>
    <w:p w14:paraId="4B09CE95" w14:textId="77777777" w:rsidR="00BB2F03" w:rsidRPr="00DE058F" w:rsidRDefault="00BB2F03" w:rsidP="00C91F83">
      <w:pPr>
        <w:rPr>
          <w:rFonts w:ascii="Calibri" w:eastAsia="Calibri" w:hAnsi="Calibri" w:cs="Calibri"/>
          <w:bCs/>
          <w:szCs w:val="72"/>
          <w:lang w:val="sr-Cyrl-CS"/>
        </w:rPr>
      </w:pPr>
    </w:p>
    <w:p w14:paraId="524717F9" w14:textId="77777777" w:rsidR="00BB2F03" w:rsidRPr="00DE058F" w:rsidRDefault="00BB2F03" w:rsidP="00C91F83">
      <w:pPr>
        <w:spacing w:line="256" w:lineRule="auto"/>
        <w:rPr>
          <w:rFonts w:ascii="Calibri" w:eastAsia="Calibri" w:hAnsi="Calibri" w:cs="Times New Roman"/>
          <w:b/>
          <w:color w:val="2F5496" w:themeColor="accent1" w:themeShade="BF"/>
          <w:sz w:val="22"/>
          <w:lang w:val="sr-Cyrl-CS"/>
        </w:rPr>
      </w:pPr>
      <w:r w:rsidRPr="00DE058F">
        <w:rPr>
          <w:rFonts w:ascii="Calibri" w:eastAsia="Calibri" w:hAnsi="Calibri" w:cs="Times New Roman"/>
          <w:b/>
          <w:color w:val="2F5496" w:themeColor="accent1" w:themeShade="BF"/>
          <w:sz w:val="22"/>
          <w:lang w:val="sr-Cyrl-CS"/>
        </w:rPr>
        <w:t>Дугорочни стратешки оквир за управљање јавним дугом</w:t>
      </w:r>
    </w:p>
    <w:p w14:paraId="0C6F903D"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Основни стратешки циљеви којима је потребно тежити у наредном дугорочном периоду, како би се минимизирали ризици повећања задужености и трошкова сервисирања јавног дуга су:</w:t>
      </w:r>
    </w:p>
    <w:p w14:paraId="2EFD3367" w14:textId="77777777" w:rsidR="00BB2F03" w:rsidRPr="00DE058F" w:rsidRDefault="00BB2F03" w:rsidP="00DB0157">
      <w:pPr>
        <w:numPr>
          <w:ilvl w:val="0"/>
          <w:numId w:val="4"/>
        </w:numPr>
        <w:ind w:left="142" w:hanging="142"/>
        <w:contextualSpacing/>
        <w:rPr>
          <w:rFonts w:ascii="Calibri" w:eastAsia="Calibri" w:hAnsi="Calibri" w:cs="Calibri"/>
          <w:bCs/>
          <w:szCs w:val="72"/>
          <w:lang w:val="sr-Cyrl-CS"/>
        </w:rPr>
      </w:pPr>
      <w:r w:rsidRPr="00DE058F">
        <w:rPr>
          <w:rFonts w:ascii="Calibri" w:eastAsia="Calibri" w:hAnsi="Calibri" w:cs="Calibri"/>
          <w:bCs/>
          <w:szCs w:val="72"/>
          <w:lang w:val="sr-Cyrl-CS"/>
        </w:rPr>
        <w:t>да учешће дуга деноминованог у динарима износи најмање 30% укупног јавног дуга на средњи рок;</w:t>
      </w:r>
    </w:p>
    <w:p w14:paraId="42A9B595" w14:textId="77777777" w:rsidR="00BB2F03" w:rsidRPr="00DE058F" w:rsidRDefault="00BB2F03" w:rsidP="00DB0157">
      <w:pPr>
        <w:numPr>
          <w:ilvl w:val="0"/>
          <w:numId w:val="4"/>
        </w:numPr>
        <w:ind w:left="142" w:hanging="142"/>
        <w:contextualSpacing/>
        <w:rPr>
          <w:rFonts w:ascii="Calibri" w:eastAsia="Calibri" w:hAnsi="Calibri" w:cs="Calibri"/>
          <w:bCs/>
          <w:szCs w:val="72"/>
          <w:lang w:val="sr-Cyrl-CS"/>
        </w:rPr>
      </w:pPr>
      <w:r w:rsidRPr="00DE058F">
        <w:rPr>
          <w:rFonts w:ascii="Calibri" w:eastAsia="Calibri" w:hAnsi="Calibri" w:cs="Calibri"/>
          <w:bCs/>
          <w:szCs w:val="72"/>
          <w:lang w:val="sr-Cyrl-CS"/>
        </w:rPr>
        <w:lastRenderedPageBreak/>
        <w:t>да учешће дуга деноминованог у еврима у јавном дугу износи најмање 65% дуга у ино-валути, укључујући будућа задуживања и трансакције;</w:t>
      </w:r>
    </w:p>
    <w:p w14:paraId="03A7F3B1" w14:textId="77777777" w:rsidR="00BB2F03" w:rsidRPr="00DE058F" w:rsidRDefault="00BB2F03" w:rsidP="00DB0157">
      <w:pPr>
        <w:numPr>
          <w:ilvl w:val="0"/>
          <w:numId w:val="4"/>
        </w:numPr>
        <w:ind w:left="142" w:hanging="142"/>
        <w:contextualSpacing/>
        <w:rPr>
          <w:rFonts w:ascii="Calibri" w:eastAsia="Calibri" w:hAnsi="Calibri" w:cs="Calibri"/>
          <w:bCs/>
          <w:szCs w:val="72"/>
          <w:lang w:val="sr-Cyrl-CS"/>
        </w:rPr>
      </w:pPr>
      <w:r w:rsidRPr="00DE058F">
        <w:rPr>
          <w:rFonts w:ascii="Calibri" w:eastAsia="Calibri" w:hAnsi="Calibri" w:cs="Calibri"/>
          <w:bCs/>
          <w:szCs w:val="72"/>
          <w:lang w:val="sr-Cyrl-CS"/>
        </w:rPr>
        <w:t>да учешће дуга са варијабилном каматном стопом износи испод 15% у средњорочном интервалу;</w:t>
      </w:r>
    </w:p>
    <w:p w14:paraId="5D3C899E" w14:textId="77777777" w:rsidR="00BB2F03" w:rsidRPr="00DE058F" w:rsidRDefault="00BB2F03" w:rsidP="00DB0157">
      <w:pPr>
        <w:numPr>
          <w:ilvl w:val="0"/>
          <w:numId w:val="4"/>
        </w:numPr>
        <w:ind w:left="142" w:hanging="142"/>
        <w:contextualSpacing/>
        <w:rPr>
          <w:rFonts w:ascii="Calibri" w:eastAsia="Calibri" w:hAnsi="Calibri" w:cs="Calibri"/>
          <w:bCs/>
          <w:szCs w:val="72"/>
          <w:lang w:val="sr-Cyrl-CS"/>
        </w:rPr>
      </w:pPr>
      <w:r w:rsidRPr="00DE058F">
        <w:rPr>
          <w:rFonts w:ascii="Calibri" w:eastAsia="Calibri" w:hAnsi="Calibri" w:cs="Calibri"/>
          <w:bCs/>
          <w:szCs w:val="72"/>
          <w:lang w:val="sr-Cyrl-CS"/>
        </w:rPr>
        <w:t>да просечно време до промене каматне стопе (АТR) буде одржавано на нивоу од минимум 5,0 година, у складу са горе наведеном мером постепеног смањивања учешћа дуга са варијабилним каматним стопама;</w:t>
      </w:r>
    </w:p>
    <w:p w14:paraId="767854B4" w14:textId="77777777" w:rsidR="00BB2F03" w:rsidRPr="00DE058F" w:rsidRDefault="00BB2F03" w:rsidP="00DB0157">
      <w:pPr>
        <w:numPr>
          <w:ilvl w:val="0"/>
          <w:numId w:val="4"/>
        </w:numPr>
        <w:ind w:left="142" w:hanging="142"/>
        <w:contextualSpacing/>
        <w:rPr>
          <w:rFonts w:ascii="Calibri" w:eastAsia="Calibri" w:hAnsi="Calibri" w:cs="Calibri"/>
          <w:bCs/>
          <w:szCs w:val="72"/>
          <w:lang w:val="sr-Cyrl-CS"/>
        </w:rPr>
      </w:pPr>
      <w:r w:rsidRPr="00DE058F">
        <w:rPr>
          <w:rFonts w:ascii="Calibri" w:eastAsia="Calibri" w:hAnsi="Calibri" w:cs="Calibri"/>
          <w:bCs/>
          <w:szCs w:val="72"/>
          <w:lang w:val="sr-Cyrl-CS"/>
        </w:rPr>
        <w:t>да просечна пондерисана каматна стопа (WAIR) на јавни дуг у домаћој валути не прелази 5,00%;</w:t>
      </w:r>
    </w:p>
    <w:p w14:paraId="01566339" w14:textId="77777777" w:rsidR="00BB2F03" w:rsidRPr="00DE058F" w:rsidRDefault="00BB2F03" w:rsidP="00DB0157">
      <w:pPr>
        <w:numPr>
          <w:ilvl w:val="0"/>
          <w:numId w:val="4"/>
        </w:numPr>
        <w:ind w:left="142" w:hanging="142"/>
        <w:contextualSpacing/>
        <w:rPr>
          <w:rFonts w:ascii="Calibri" w:eastAsia="Calibri" w:hAnsi="Calibri" w:cs="Calibri"/>
          <w:bCs/>
          <w:szCs w:val="72"/>
          <w:lang w:val="sr-Cyrl-CS"/>
        </w:rPr>
      </w:pPr>
      <w:r w:rsidRPr="00DE058F">
        <w:rPr>
          <w:rFonts w:ascii="Calibri" w:eastAsia="Calibri" w:hAnsi="Calibri" w:cs="Calibri"/>
          <w:bCs/>
          <w:szCs w:val="72"/>
          <w:lang w:val="sr-Cyrl-CS"/>
        </w:rPr>
        <w:t>да учешће краткорочног дуга (чије је доспеће до годину дана) износи до 15% укупног јавног дуга;</w:t>
      </w:r>
    </w:p>
    <w:p w14:paraId="6A292F7C" w14:textId="6D051C4E" w:rsidR="00BB2F03" w:rsidRPr="00DE058F" w:rsidRDefault="00BB2F03" w:rsidP="00DB0157">
      <w:pPr>
        <w:numPr>
          <w:ilvl w:val="0"/>
          <w:numId w:val="4"/>
        </w:numPr>
        <w:ind w:left="142" w:hanging="142"/>
        <w:contextualSpacing/>
        <w:rPr>
          <w:rFonts w:ascii="Calibri" w:eastAsia="Calibri" w:hAnsi="Calibri" w:cs="Calibri"/>
          <w:bCs/>
          <w:szCs w:val="72"/>
          <w:lang w:val="sr-Cyrl-CS"/>
        </w:rPr>
      </w:pPr>
      <w:r w:rsidRPr="00DE058F">
        <w:rPr>
          <w:rFonts w:ascii="Calibri" w:eastAsia="Calibri" w:hAnsi="Calibri" w:cs="Calibri"/>
          <w:bCs/>
          <w:szCs w:val="72"/>
          <w:lang w:val="sr-Cyrl-CS"/>
        </w:rPr>
        <w:t>да просечно време до доспећа (АТМ) унутрашњег дуга буде на нив</w:t>
      </w:r>
      <w:r w:rsidR="00702FDB" w:rsidRPr="00DE058F">
        <w:rPr>
          <w:rFonts w:ascii="Calibri" w:eastAsia="Calibri" w:hAnsi="Calibri" w:cs="Calibri"/>
          <w:bCs/>
          <w:szCs w:val="72"/>
          <w:lang w:val="sr-Cyrl-CS"/>
        </w:rPr>
        <w:t>оу од најмање пет</w:t>
      </w:r>
      <w:r w:rsidRPr="00DE058F">
        <w:rPr>
          <w:rFonts w:ascii="Calibri" w:eastAsia="Calibri" w:hAnsi="Calibri" w:cs="Calibri"/>
          <w:bCs/>
          <w:szCs w:val="72"/>
          <w:lang w:val="sr-Cyrl-CS"/>
        </w:rPr>
        <w:t xml:space="preserve"> година на средњи рок;</w:t>
      </w:r>
    </w:p>
    <w:p w14:paraId="490FA793" w14:textId="77777777" w:rsidR="00BB2F03" w:rsidRPr="00DE058F" w:rsidRDefault="00BB2F03" w:rsidP="00DB0157">
      <w:pPr>
        <w:numPr>
          <w:ilvl w:val="0"/>
          <w:numId w:val="4"/>
        </w:numPr>
        <w:ind w:left="142" w:hanging="142"/>
        <w:rPr>
          <w:rFonts w:ascii="Calibri" w:eastAsia="Calibri" w:hAnsi="Calibri" w:cs="Calibri"/>
          <w:bCs/>
          <w:szCs w:val="72"/>
          <w:lang w:val="sr-Cyrl-CS"/>
        </w:rPr>
      </w:pPr>
      <w:r w:rsidRPr="00DE058F">
        <w:rPr>
          <w:rFonts w:ascii="Calibri" w:eastAsia="Calibri" w:hAnsi="Calibri" w:cs="Calibri"/>
          <w:bCs/>
          <w:szCs w:val="72"/>
          <w:lang w:val="sr-Cyrl-CS"/>
        </w:rPr>
        <w:t>да се просечно време до доспећа (АТМ) спољног дуга одржава на нивоу од 8,0 ± 0,5 година у истом временском хоризонту.</w:t>
      </w:r>
    </w:p>
    <w:p w14:paraId="789C9D8C" w14:textId="77777777" w:rsidR="00BB2F03" w:rsidRPr="00DE058F" w:rsidRDefault="00BB2F03" w:rsidP="00C91F83">
      <w:pPr>
        <w:spacing w:after="240" w:line="256" w:lineRule="auto"/>
        <w:jc w:val="center"/>
        <w:rPr>
          <w:rFonts w:ascii="Calibri" w:eastAsia="Calibri" w:hAnsi="Calibri" w:cs="Times New Roman"/>
          <w:b/>
          <w:color w:val="002060"/>
          <w:spacing w:val="-2"/>
          <w:lang w:val="sr-Cyrl-CS"/>
        </w:rPr>
      </w:pPr>
      <w:r w:rsidRPr="00DE058F">
        <w:rPr>
          <w:rFonts w:ascii="Calibri" w:eastAsia="Calibri" w:hAnsi="Calibri" w:cs="Times New Roman"/>
          <w:b/>
          <w:color w:val="002060"/>
          <w:spacing w:val="-2"/>
          <w:lang w:val="sr-Cyrl-CS"/>
        </w:rPr>
        <w:t xml:space="preserve">Кретање приноса до доспећа динарских </w:t>
      </w:r>
      <w:r w:rsidRPr="00DE058F">
        <w:rPr>
          <w:rFonts w:ascii="Calibri" w:eastAsia="Calibri" w:hAnsi="Calibri" w:cs="Calibri"/>
          <w:b/>
          <w:bCs/>
          <w:color w:val="002060"/>
          <w:spacing w:val="-2"/>
          <w:szCs w:val="72"/>
          <w:lang w:val="sr-Cyrl-CS"/>
        </w:rPr>
        <w:t>„</w:t>
      </w:r>
      <w:r w:rsidRPr="00DE058F">
        <w:rPr>
          <w:rFonts w:ascii="Calibri" w:eastAsia="Calibri" w:hAnsi="Calibri" w:cs="Times New Roman"/>
          <w:b/>
          <w:color w:val="002060"/>
          <w:spacing w:val="-2"/>
          <w:lang w:val="sr-Cyrl-CS"/>
        </w:rPr>
        <w:t>бенчмарк” емисија укључених у GBI-EM Global Diversified Index на секундарном трговању</w:t>
      </w:r>
    </w:p>
    <w:p w14:paraId="2B54FA53" w14:textId="77777777" w:rsidR="00BB2F03" w:rsidRPr="00DE058F" w:rsidRDefault="00BB2F03" w:rsidP="00C91F83">
      <w:pPr>
        <w:spacing w:after="240" w:line="256" w:lineRule="auto"/>
        <w:jc w:val="center"/>
        <w:rPr>
          <w:rFonts w:ascii="Calibri" w:eastAsia="Calibri" w:hAnsi="Calibri" w:cs="Times New Roman"/>
          <w:b/>
          <w:lang w:val="sr-Cyrl-CS"/>
        </w:rPr>
      </w:pPr>
      <w:r w:rsidRPr="00DE058F">
        <w:rPr>
          <w:noProof/>
        </w:rPr>
        <w:drawing>
          <wp:inline distT="0" distB="0" distL="0" distR="0" wp14:anchorId="45485A72" wp14:editId="03C2A5FA">
            <wp:extent cx="3057525" cy="2574063"/>
            <wp:effectExtent l="0" t="0" r="0" b="0"/>
            <wp:docPr id="97" name="Chart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14:paraId="77C5A785" w14:textId="77777777" w:rsidR="00BB2F03" w:rsidRPr="00DE058F" w:rsidRDefault="00BB2F03" w:rsidP="00D0150C">
      <w:pPr>
        <w:rPr>
          <w:lang w:val="sr-Cyrl-CS"/>
        </w:rPr>
      </w:pPr>
    </w:p>
    <w:p w14:paraId="74B87F71" w14:textId="77777777" w:rsidR="00BB2F03" w:rsidRPr="00DE058F" w:rsidRDefault="00BB2F03" w:rsidP="00C91F83">
      <w:pPr>
        <w:spacing w:after="40" w:line="256" w:lineRule="auto"/>
        <w:jc w:val="center"/>
        <w:rPr>
          <w:rFonts w:ascii="Calibri" w:eastAsia="Calibri" w:hAnsi="Calibri" w:cs="Times New Roman"/>
          <w:b/>
          <w:color w:val="002060"/>
          <w:spacing w:val="-2"/>
          <w:lang w:val="sr-Cyrl-CS"/>
        </w:rPr>
      </w:pPr>
      <w:r w:rsidRPr="00DE058F">
        <w:rPr>
          <w:rFonts w:ascii="Calibri" w:eastAsia="Calibri" w:hAnsi="Calibri" w:cs="Times New Roman"/>
          <w:b/>
          <w:bCs/>
          <w:color w:val="002060"/>
          <w:lang w:val="sr-Cyrl-CS"/>
        </w:rPr>
        <w:br w:type="column"/>
      </w:r>
      <w:r w:rsidRPr="00DE058F">
        <w:rPr>
          <w:rFonts w:ascii="Calibri" w:eastAsia="Calibri" w:hAnsi="Calibri" w:cs="Times New Roman"/>
          <w:b/>
          <w:bCs/>
          <w:color w:val="002060"/>
          <w:lang w:val="sr-Cyrl-CS"/>
        </w:rPr>
        <w:t xml:space="preserve">Просечно време до доспећа (АТМ) државних хартија од вредности емитованих на домаћем финансијском тржишту у периоду </w:t>
      </w:r>
      <w:r w:rsidRPr="00DE058F">
        <w:rPr>
          <w:rFonts w:ascii="Calibri" w:eastAsia="Calibri" w:hAnsi="Calibri" w:cs="Times New Roman"/>
          <w:b/>
          <w:bCs/>
          <w:color w:val="002060"/>
          <w:lang w:val="sr-Cyrl-CS"/>
        </w:rPr>
        <w:br w:type="textWrapping" w:clear="all"/>
        <w:t>01. јануар 2017.–</w:t>
      </w:r>
      <w:r w:rsidRPr="00DE058F">
        <w:rPr>
          <w:rFonts w:ascii="Calibri" w:eastAsia="Calibri" w:hAnsi="Calibri" w:cs="Times New Roman"/>
          <w:b/>
          <w:color w:val="002060"/>
          <w:spacing w:val="-2"/>
          <w:lang w:val="sr-Cyrl-CS"/>
        </w:rPr>
        <w:t>31. март 2022. године</w:t>
      </w:r>
    </w:p>
    <w:p w14:paraId="7FA2354A" w14:textId="77777777" w:rsidR="00BB2F03" w:rsidRPr="00DE058F" w:rsidRDefault="00BB2F03" w:rsidP="00C91F83">
      <w:pPr>
        <w:spacing w:line="256" w:lineRule="auto"/>
        <w:rPr>
          <w:rFonts w:ascii="Calibri" w:eastAsia="Calibri" w:hAnsi="Calibri" w:cs="Times New Roman"/>
          <w:b/>
          <w:color w:val="2F5496" w:themeColor="accent1" w:themeShade="BF"/>
          <w:sz w:val="22"/>
          <w:lang w:val="sr-Cyrl-CS"/>
        </w:rPr>
      </w:pPr>
      <w:r w:rsidRPr="00DE058F">
        <w:rPr>
          <w:noProof/>
        </w:rPr>
        <w:drawing>
          <wp:inline distT="0" distB="0" distL="0" distR="0" wp14:anchorId="5D662423" wp14:editId="32853506">
            <wp:extent cx="3219450" cy="2373211"/>
            <wp:effectExtent l="0" t="0" r="0" b="8255"/>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14:paraId="0CE36666" w14:textId="77777777" w:rsidR="00BB2F03" w:rsidRPr="00DE058F" w:rsidRDefault="00BB2F03" w:rsidP="00C91F83">
      <w:pPr>
        <w:spacing w:line="256" w:lineRule="auto"/>
        <w:rPr>
          <w:rFonts w:ascii="Calibri" w:eastAsia="Calibri" w:hAnsi="Calibri" w:cs="Times New Roman"/>
          <w:b/>
          <w:color w:val="2F5496" w:themeColor="accent1" w:themeShade="BF"/>
          <w:sz w:val="22"/>
          <w:lang w:val="sr-Cyrl-CS"/>
        </w:rPr>
      </w:pPr>
      <w:r w:rsidRPr="00DE058F">
        <w:rPr>
          <w:rFonts w:ascii="Calibri" w:eastAsia="Calibri" w:hAnsi="Calibri" w:cs="Times New Roman"/>
          <w:b/>
          <w:color w:val="2F5496" w:themeColor="accent1" w:themeShade="BF"/>
          <w:sz w:val="22"/>
          <w:lang w:val="sr-Cyrl-CS"/>
        </w:rPr>
        <w:t>Мере за унапређење тржишта динарских хартија од вредности у периоду 2023–2025. године</w:t>
      </w:r>
    </w:p>
    <w:p w14:paraId="0ADC1D1E"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Тржиште државних хартија од вредности, у периоду од 2012. године до марта 2022. године, карактерише испуњавање зацртаних стратешких циљева, првенствено у погледу инструмената финансирања, као и у развоју и одржавању стабилности диверсификоване базе инвеститора. Преласком са краткорочних извора финансирања који се везују за период до 2010. године, на средњорочне и дугорочне инструменте финансирања, уз константно смањење трошкова задуживања, утиче се на смањење ризика рефинансирања, као једног од примарних ризика у процесу управљања јавним дугом. На крају 2013. године учешће дугорочних динарских инструмената по оригиналној рочности од три и више година износило је 38,3% у стању динарских хартија од вредности, док је на крају марта 2022. године износило 87,1%.</w:t>
      </w:r>
    </w:p>
    <w:p w14:paraId="3955B502" w14:textId="77777777" w:rsidR="00BB2F03" w:rsidRPr="00DE058F" w:rsidRDefault="00BB2F03">
      <w:pPr>
        <w:jc w:val="left"/>
        <w:rPr>
          <w:rFonts w:ascii="Calibri" w:eastAsia="Calibri" w:hAnsi="Calibri" w:cs="Calibri"/>
          <w:bCs/>
          <w:szCs w:val="72"/>
          <w:lang w:val="sr-Cyrl-CS"/>
        </w:rPr>
      </w:pPr>
      <w:r w:rsidRPr="00DE058F">
        <w:rPr>
          <w:rFonts w:ascii="Calibri" w:eastAsia="Calibri" w:hAnsi="Calibri" w:cs="Calibri"/>
          <w:bCs/>
          <w:szCs w:val="72"/>
          <w:lang w:val="sr-Cyrl-CS"/>
        </w:rPr>
        <w:br w:type="page"/>
      </w:r>
    </w:p>
    <w:p w14:paraId="280DCE8B" w14:textId="77777777" w:rsidR="00BB2F03" w:rsidRPr="00DE058F" w:rsidRDefault="00BB2F03" w:rsidP="00C91F83">
      <w:pPr>
        <w:rPr>
          <w:rFonts w:ascii="Calibri" w:eastAsia="Calibri" w:hAnsi="Calibri" w:cs="Calibri"/>
          <w:bCs/>
          <w:spacing w:val="-2"/>
          <w:szCs w:val="72"/>
          <w:lang w:val="sr-Cyrl-CS"/>
        </w:rPr>
      </w:pPr>
      <w:r w:rsidRPr="00DE058F">
        <w:rPr>
          <w:rFonts w:ascii="Calibri" w:eastAsia="Calibri" w:hAnsi="Calibri" w:cs="Calibri"/>
          <w:bCs/>
          <w:szCs w:val="72"/>
          <w:lang w:val="sr-Cyrl-CS"/>
        </w:rPr>
        <w:lastRenderedPageBreak/>
        <w:t>Транспарентност у раду и извештавању, као и присутност на међународном тржишту капитала, утичу на информисаност, а тиме и на заинтересованост нерезидената да инвестирају капитал у дужничке инструменте, првенствено у државне динарске дугорочне хартије од вредности, чиме се остварује раст стабилне базе инвеститора. Услед успешне реализације „бенчмарк</w:t>
      </w:r>
      <w:r w:rsidRPr="00DE058F">
        <w:rPr>
          <w:rFonts w:eastAsia="MS PGothic" w:cstheme="minorHAnsi"/>
          <w:szCs w:val="20"/>
          <w:lang w:val="sr-Cyrl-CS" w:eastAsia="ja-JP"/>
        </w:rPr>
        <w:t>”</w:t>
      </w:r>
      <w:r w:rsidRPr="00DE058F">
        <w:rPr>
          <w:rFonts w:ascii="Calibri" w:eastAsia="Calibri" w:hAnsi="Calibri" w:cs="Calibri"/>
          <w:bCs/>
          <w:szCs w:val="72"/>
          <w:lang w:val="sr-Cyrl-CS"/>
        </w:rPr>
        <w:t xml:space="preserve"> емисија током 2014. и 2015. године, са истом праксом је настављено током 2016. године. У фебруару и јулу 2016. године емитоване су „бенчмарк</w:t>
      </w:r>
      <w:r w:rsidRPr="00DE058F">
        <w:rPr>
          <w:rFonts w:eastAsia="MS PGothic" w:cstheme="minorHAnsi"/>
          <w:szCs w:val="20"/>
          <w:lang w:val="sr-Cyrl-CS" w:eastAsia="ja-JP"/>
        </w:rPr>
        <w:t>”</w:t>
      </w:r>
      <w:r w:rsidRPr="00DE058F">
        <w:rPr>
          <w:rFonts w:ascii="Calibri" w:eastAsia="Calibri" w:hAnsi="Calibri" w:cs="Calibri"/>
          <w:bCs/>
          <w:szCs w:val="72"/>
          <w:lang w:val="sr-Cyrl-CS"/>
        </w:rPr>
        <w:t xml:space="preserve"> трогодишња и седмогодишња обвезница обима емисије по 110,0 млрд динара. У априлу 2017. године емитована је трогодишња „бенчмарк</w:t>
      </w:r>
      <w:r w:rsidRPr="00DE058F">
        <w:rPr>
          <w:rFonts w:eastAsia="MS PGothic" w:cstheme="minorHAnsi"/>
          <w:szCs w:val="20"/>
          <w:lang w:val="sr-Cyrl-CS" w:eastAsia="ja-JP"/>
        </w:rPr>
        <w:t>”</w:t>
      </w:r>
      <w:r w:rsidRPr="00DE058F">
        <w:rPr>
          <w:rFonts w:ascii="Calibri" w:eastAsia="Calibri" w:hAnsi="Calibri" w:cs="Calibri"/>
          <w:bCs/>
          <w:szCs w:val="72"/>
          <w:lang w:val="sr-Cyrl-CS"/>
        </w:rPr>
        <w:t xml:space="preserve"> обвезница обима емисије у износу од 110,0 млрд динара. У јануару и фебруару 2018. године емитоване су „бенчмарк</w:t>
      </w:r>
      <w:r w:rsidRPr="00DE058F">
        <w:rPr>
          <w:rFonts w:eastAsia="MS PGothic" w:cstheme="minorHAnsi"/>
          <w:szCs w:val="20"/>
          <w:lang w:val="sr-Cyrl-CS" w:eastAsia="ja-JP"/>
        </w:rPr>
        <w:t>”</w:t>
      </w:r>
      <w:r w:rsidRPr="00DE058F">
        <w:rPr>
          <w:rFonts w:ascii="Calibri" w:eastAsia="Calibri" w:hAnsi="Calibri" w:cs="Calibri"/>
          <w:bCs/>
          <w:szCs w:val="72"/>
          <w:lang w:val="sr-Cyrl-CS"/>
        </w:rPr>
        <w:t xml:space="preserve"> петогодишња и десетогодишња обвезница обима емисије по 110,0 млрд динара. У јануару 2019. године емитоване су „бенчмарк</w:t>
      </w:r>
      <w:r w:rsidRPr="00DE058F">
        <w:rPr>
          <w:rFonts w:eastAsia="MS PGothic" w:cstheme="minorHAnsi"/>
          <w:szCs w:val="20"/>
          <w:lang w:val="sr-Cyrl-CS" w:eastAsia="ja-JP"/>
        </w:rPr>
        <w:t>”</w:t>
      </w:r>
      <w:r w:rsidRPr="00DE058F">
        <w:rPr>
          <w:rFonts w:ascii="Calibri" w:eastAsia="Calibri" w:hAnsi="Calibri" w:cs="Calibri"/>
          <w:bCs/>
          <w:szCs w:val="72"/>
          <w:lang w:val="sr-Cyrl-CS"/>
        </w:rPr>
        <w:t xml:space="preserve"> трогодишња и седмогодишња обвезница обима емисије 100,0 и 150,0 млрд динара. </w:t>
      </w:r>
      <w:r w:rsidRPr="00DE058F">
        <w:rPr>
          <w:rFonts w:ascii="Calibri" w:eastAsia="Calibri" w:hAnsi="Calibri" w:cs="Calibri"/>
          <w:bCs/>
          <w:spacing w:val="-2"/>
          <w:szCs w:val="72"/>
          <w:lang w:val="sr-Cyrl-CS"/>
        </w:rPr>
        <w:t>У јануару и фебруару 2020. године по први пут су емитоване петоипогодишње и дванаестоипогодишње обвезнице са полугодишњим купоном. Изменама Уредбе о општим условима за емисију и продају државних хартија од вредности на примарном тржишту („Службени гласник РС”, бр. 100/14, 78/17, 66/18, 78/18 и 140/20), омогућено је повећање обима раније емитованих обвезница, па је код петоипогодишње и дванаестоипогодишње обвезнице, 2021. године повећан обим емисије за по 50 милијарди динара. Такође, повећање обима емисије, у износу од 10 милијарди динара, извршено је и код десетогодишње обвезнице првобитно емитоване 6. фебруара 2018. године.</w:t>
      </w:r>
    </w:p>
    <w:p w14:paraId="34B9628B" w14:textId="3CAFD485"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Овим емисијама знатно је повећан обим секундарног трговања ових инструмената</w:t>
      </w:r>
      <w:r w:rsidR="00291CA6" w:rsidRPr="00DE058F">
        <w:rPr>
          <w:rFonts w:ascii="Calibri" w:eastAsia="Calibri" w:hAnsi="Calibri" w:cs="Calibri"/>
          <w:bCs/>
          <w:szCs w:val="72"/>
          <w:lang w:val="sr-Cyrl-CS"/>
        </w:rPr>
        <w:t>,</w:t>
      </w:r>
      <w:r w:rsidRPr="00DE058F">
        <w:rPr>
          <w:rFonts w:ascii="Calibri" w:eastAsia="Calibri" w:hAnsi="Calibri" w:cs="Calibri"/>
          <w:bCs/>
          <w:szCs w:val="72"/>
          <w:lang w:val="sr-Cyrl-CS"/>
        </w:rPr>
        <w:t xml:space="preserve"> што је допринело и паду извршних стопа приноса на реотварањима поменутих емисија. Учешће страних инвеститора у динарским хартијама од вредности, на крају марта 2022. године износило је 18,2%.</w:t>
      </w:r>
    </w:p>
    <w:p w14:paraId="4706433D" w14:textId="223D221F"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30.</w:t>
      </w:r>
      <w:r w:rsidR="00525A10" w:rsidRPr="00DE058F">
        <w:rPr>
          <w:rFonts w:ascii="Calibri" w:eastAsia="Calibri" w:hAnsi="Calibri" w:cs="Calibri"/>
          <w:bCs/>
          <w:szCs w:val="72"/>
          <w:lang w:val="sr-Cyrl-CS"/>
        </w:rPr>
        <w:t xml:space="preserve"> јуна</w:t>
      </w:r>
      <w:r w:rsidRPr="00DE058F">
        <w:rPr>
          <w:rFonts w:ascii="Calibri" w:eastAsia="Calibri" w:hAnsi="Calibri" w:cs="Calibri"/>
          <w:bCs/>
          <w:szCs w:val="72"/>
          <w:lang w:val="sr-Cyrl-CS"/>
        </w:rPr>
        <w:t xml:space="preserve"> 2021. године три динарске бенчмарк обвезнице укључене су у J.P. Morgan индекс државних обвезница земаља у развоју (GBI-EM </w:t>
      </w:r>
      <w:r w:rsidRPr="00DE058F">
        <w:rPr>
          <w:rFonts w:ascii="Calibri" w:eastAsia="Calibri" w:hAnsi="Calibri" w:cs="Calibri"/>
          <w:bCs/>
          <w:i/>
          <w:szCs w:val="72"/>
          <w:lang w:val="sr-Cyrl-CS"/>
        </w:rPr>
        <w:t>Global Diversified Index</w:t>
      </w:r>
      <w:r w:rsidRPr="00DE058F">
        <w:rPr>
          <w:rFonts w:ascii="Calibri" w:eastAsia="Calibri" w:hAnsi="Calibri" w:cs="Calibri"/>
          <w:bCs/>
          <w:szCs w:val="72"/>
          <w:lang w:val="sr-Cyrl-CS"/>
        </w:rPr>
        <w:t xml:space="preserve">), са датумом доспећа 11. јануар 2026. године (RSMFRSD89592), </w:t>
      </w:r>
      <w:r w:rsidR="00F01D73" w:rsidRPr="00DE058F">
        <w:rPr>
          <w:rFonts w:ascii="Calibri" w:eastAsia="Calibri" w:hAnsi="Calibri" w:cs="Calibri"/>
          <w:bCs/>
          <w:szCs w:val="72"/>
          <w:lang w:val="sr-Cyrl-CS"/>
        </w:rPr>
        <w:t>8</w:t>
      </w:r>
      <w:r w:rsidRPr="00DE058F">
        <w:rPr>
          <w:rFonts w:ascii="Calibri" w:eastAsia="Calibri" w:hAnsi="Calibri" w:cs="Calibri"/>
          <w:bCs/>
          <w:szCs w:val="72"/>
          <w:lang w:val="sr-Cyrl-CS"/>
        </w:rPr>
        <w:t xml:space="preserve">. фебруар </w:t>
      </w:r>
      <w:r w:rsidRPr="00DE058F">
        <w:rPr>
          <w:rFonts w:ascii="Calibri" w:eastAsia="Calibri" w:hAnsi="Calibri" w:cs="Calibri"/>
          <w:bCs/>
          <w:szCs w:val="72"/>
          <w:lang w:val="sr-Cyrl-CS"/>
        </w:rPr>
        <w:t>2028. године (RSMFRSD55940) и 20. август 2032. године (RSMFRSD86176).</w:t>
      </w:r>
    </w:p>
    <w:p w14:paraId="564E65B5" w14:textId="63E04F89"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У 2022. години од динарских хартија емитоване су двогодишње динарске обвезнице, док од евро деноминованих хартија ем</w:t>
      </w:r>
      <w:r w:rsidR="00C17198" w:rsidRPr="00DE058F">
        <w:rPr>
          <w:rFonts w:ascii="Calibri" w:eastAsia="Calibri" w:hAnsi="Calibri" w:cs="Calibri"/>
          <w:bCs/>
          <w:szCs w:val="72"/>
          <w:lang w:val="sr-Cyrl-CS"/>
        </w:rPr>
        <w:t>и</w:t>
      </w:r>
      <w:r w:rsidRPr="00DE058F">
        <w:rPr>
          <w:rFonts w:ascii="Calibri" w:eastAsia="Calibri" w:hAnsi="Calibri" w:cs="Calibri"/>
          <w:bCs/>
          <w:szCs w:val="72"/>
          <w:lang w:val="sr-Cyrl-CS"/>
        </w:rPr>
        <w:t>товане су: двогодишње, двоипогодишње (са полугодишњим купонoм) и двадесетпетогодишње обвезнице.</w:t>
      </w:r>
    </w:p>
    <w:p w14:paraId="18A0B5D6"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У периоду за који се доноси ова Стратегија очекује се унапређење ефикасности примарног тржишта путем приступа Euroclear платформи и кроз концепт примарних дилера, као механизма продаје државних хартија од вредности који директно, у дужем року, доприноси смањењу трошкова задуживања, као и смањењу ризика рефинансирања. Увођење система продаје државних хартија од вредности на домаћем финансијском тржишту преко примарних дилера, пружиће добру основу за унапређење тржишне ефикасности секундарног тржишта државних хартија од вредности. Развојем секундарног тржишта, временом ће се успоставити концепт тржишне ефикасности у процесу вредновања државних хартија од вредности. Увођењем „бенчмарк</w:t>
      </w:r>
      <w:r w:rsidRPr="00DE058F">
        <w:rPr>
          <w:rFonts w:eastAsia="MS PGothic" w:cstheme="minorHAnsi"/>
          <w:szCs w:val="20"/>
          <w:lang w:val="sr-Cyrl-CS" w:eastAsia="ja-JP"/>
        </w:rPr>
        <w:t>”</w:t>
      </w:r>
      <w:r w:rsidRPr="00DE058F">
        <w:rPr>
          <w:rFonts w:ascii="Calibri" w:eastAsia="Calibri" w:hAnsi="Calibri" w:cs="Calibri"/>
          <w:bCs/>
          <w:szCs w:val="72"/>
          <w:lang w:val="sr-Cyrl-CS"/>
        </w:rPr>
        <w:t xml:space="preserve"> емисија обвезница остварен је позитиван ефекат на обим и континуитет секундарног трговања, као и на унапређење тржишне ефикасности у поступку продаје државних хартија на примарном тржишту.</w:t>
      </w:r>
    </w:p>
    <w:p w14:paraId="686C877D"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Као водеће факторе који утичу на криву приноса државних хартија од вредности потребно је издвојити фискални резултат, очекивану стопу инфлације и девизни курс. Као посебну групу фактора потребно је издвојити макроекономска кретања и очекивања, као и промене на међународном финансијском тржишту, које се рефлектују на премију ризика земље.</w:t>
      </w:r>
    </w:p>
    <w:p w14:paraId="2696C1D2" w14:textId="09BE87EF"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На крају 2012. године просечна рочност динарских</w:t>
      </w:r>
      <w:r w:rsidR="00C17198" w:rsidRPr="00DE058F">
        <w:rPr>
          <w:rFonts w:ascii="Calibri" w:eastAsia="Calibri" w:hAnsi="Calibri" w:cs="Calibri"/>
          <w:bCs/>
          <w:szCs w:val="72"/>
          <w:lang w:val="sr-Cyrl-CS"/>
        </w:rPr>
        <w:t xml:space="preserve"> хартија од вредности износила је</w:t>
      </w:r>
      <w:r w:rsidRPr="00DE058F">
        <w:rPr>
          <w:rFonts w:ascii="Calibri" w:eastAsia="Calibri" w:hAnsi="Calibri" w:cs="Calibri"/>
          <w:bCs/>
          <w:szCs w:val="72"/>
          <w:lang w:val="sr-Cyrl-CS"/>
        </w:rPr>
        <w:t xml:space="preserve"> 394 дана (1,1 годину), на крају 2013. године 469 дана (1,3 године), на крају 2014. године 645 дана (1,8 годину), на крају 2015. године 749 дана (2,1 годину), на крају 2016. године 789 дана (2,2 године), на крају 2017. године 864 дана (2,4 године), на крају 2018. године 1.188 дана (3,3 године), на крају 2019. године 1.403 дана (3,8 година), на крају 2020. године 1.429 дана (3,9 година), на крају 2021. године 1.496 дана (4,1 </w:t>
      </w:r>
      <w:r w:rsidRPr="00DE058F">
        <w:rPr>
          <w:rFonts w:ascii="Calibri" w:eastAsia="Calibri" w:hAnsi="Calibri" w:cs="Calibri"/>
          <w:bCs/>
          <w:szCs w:val="72"/>
          <w:lang w:val="sr-Cyrl-CS"/>
        </w:rPr>
        <w:lastRenderedPageBreak/>
        <w:t>годин</w:t>
      </w:r>
      <w:r w:rsidR="00C17198" w:rsidRPr="00DE058F">
        <w:rPr>
          <w:rFonts w:ascii="Calibri" w:eastAsia="Calibri" w:hAnsi="Calibri" w:cs="Calibri"/>
          <w:bCs/>
          <w:szCs w:val="72"/>
          <w:lang w:val="sr-Cyrl-CS"/>
        </w:rPr>
        <w:t>е</w:t>
      </w:r>
      <w:r w:rsidRPr="00DE058F">
        <w:rPr>
          <w:rFonts w:ascii="Calibri" w:eastAsia="Calibri" w:hAnsi="Calibri" w:cs="Calibri"/>
          <w:bCs/>
          <w:szCs w:val="72"/>
          <w:lang w:val="sr-Cyrl-CS"/>
        </w:rPr>
        <w:t>), а на крају марта 2022. године 1.559 дана (4,3 годин</w:t>
      </w:r>
      <w:r w:rsidR="00C17198" w:rsidRPr="00DE058F">
        <w:rPr>
          <w:rFonts w:ascii="Calibri" w:eastAsia="Calibri" w:hAnsi="Calibri" w:cs="Calibri"/>
          <w:bCs/>
          <w:szCs w:val="72"/>
          <w:lang w:val="sr-Cyrl-CS"/>
        </w:rPr>
        <w:t>е</w:t>
      </w:r>
      <w:r w:rsidRPr="00DE058F">
        <w:rPr>
          <w:rFonts w:ascii="Calibri" w:eastAsia="Calibri" w:hAnsi="Calibri" w:cs="Calibri"/>
          <w:bCs/>
          <w:szCs w:val="72"/>
          <w:lang w:val="sr-Cyrl-CS"/>
        </w:rPr>
        <w:t>).</w:t>
      </w:r>
    </w:p>
    <w:p w14:paraId="00964EFD"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Развој домаћег тржишта државних хартија од вредности од стране Републике Србије потпомогнут је следећим мерама:</w:t>
      </w:r>
    </w:p>
    <w:p w14:paraId="2160EE25" w14:textId="09739737" w:rsidR="00BB2F03" w:rsidRPr="00DE058F" w:rsidRDefault="00BB2F03" w:rsidP="00DB0157">
      <w:pPr>
        <w:numPr>
          <w:ilvl w:val="0"/>
          <w:numId w:val="13"/>
        </w:numPr>
        <w:ind w:left="0" w:hanging="142"/>
        <w:rPr>
          <w:rFonts w:ascii="Calibri" w:eastAsia="Calibri" w:hAnsi="Calibri" w:cs="Calibri"/>
          <w:bCs/>
          <w:szCs w:val="72"/>
          <w:lang w:val="sr-Cyrl-CS"/>
        </w:rPr>
      </w:pPr>
      <w:r w:rsidRPr="00DE058F">
        <w:rPr>
          <w:rFonts w:ascii="Calibri" w:eastAsia="Calibri" w:hAnsi="Calibri" w:cs="Calibri"/>
          <w:bCs/>
          <w:szCs w:val="72"/>
          <w:lang w:val="sr-Cyrl-CS"/>
        </w:rPr>
        <w:t xml:space="preserve">Обвезнице Републике Србије укључене су у </w:t>
      </w:r>
      <w:r w:rsidR="00F01D73" w:rsidRPr="00DE058F">
        <w:rPr>
          <w:rFonts w:ascii="Calibri" w:eastAsia="Calibri" w:hAnsi="Calibri" w:cs="Calibri"/>
          <w:bCs/>
          <w:iCs/>
          <w:szCs w:val="72"/>
          <w:lang w:val="sr-Cyrl-CS"/>
        </w:rPr>
        <w:t>Ј.P. Morgan</w:t>
      </w:r>
      <w:r w:rsidR="00F01D73" w:rsidRPr="00DE058F">
        <w:rPr>
          <w:rFonts w:ascii="Calibri" w:eastAsia="Calibri" w:hAnsi="Calibri" w:cs="Calibri"/>
          <w:bCs/>
          <w:szCs w:val="72"/>
          <w:lang w:val="sr-Cyrl-CS"/>
        </w:rPr>
        <w:t xml:space="preserve"> </w:t>
      </w:r>
      <w:r w:rsidRPr="00DE058F">
        <w:rPr>
          <w:rFonts w:ascii="Calibri" w:eastAsia="Calibri" w:hAnsi="Calibri" w:cs="Calibri"/>
          <w:bCs/>
          <w:szCs w:val="72"/>
          <w:lang w:val="sr-Cyrl-CS"/>
        </w:rPr>
        <w:t>глобални индекс</w:t>
      </w:r>
      <w:r w:rsidR="00F01D73" w:rsidRPr="00DE058F">
        <w:rPr>
          <w:lang w:val="sr-Cyrl-CS"/>
        </w:rPr>
        <w:t xml:space="preserve"> </w:t>
      </w:r>
      <w:r w:rsidR="00F01D73" w:rsidRPr="00DE058F">
        <w:rPr>
          <w:rFonts w:ascii="Calibri" w:eastAsia="Calibri" w:hAnsi="Calibri" w:cs="Calibri"/>
          <w:bCs/>
          <w:szCs w:val="72"/>
          <w:lang w:val="sr-Cyrl-CS"/>
        </w:rPr>
        <w:t>државних обвезница у локалним валутама земаља у развоју (</w:t>
      </w:r>
      <w:r w:rsidR="00F01D73" w:rsidRPr="00DE058F">
        <w:rPr>
          <w:rFonts w:ascii="Calibri" w:eastAsia="Calibri" w:hAnsi="Calibri" w:cs="Calibri"/>
          <w:bCs/>
          <w:i/>
          <w:szCs w:val="72"/>
          <w:lang w:val="sr-Cyrl-CS"/>
        </w:rPr>
        <w:t>GBI-EM</w:t>
      </w:r>
      <w:r w:rsidR="00F01D73" w:rsidRPr="00DE058F">
        <w:rPr>
          <w:rFonts w:ascii="Calibri" w:eastAsia="Calibri" w:hAnsi="Calibri" w:cs="Calibri"/>
          <w:bCs/>
          <w:szCs w:val="72"/>
          <w:lang w:val="sr-Cyrl-CS"/>
        </w:rPr>
        <w:t xml:space="preserve"> </w:t>
      </w:r>
      <w:r w:rsidR="00F01D73" w:rsidRPr="00DE058F">
        <w:rPr>
          <w:rFonts w:ascii="Calibri" w:eastAsia="Calibri" w:hAnsi="Calibri" w:cs="Calibri"/>
          <w:bCs/>
          <w:i/>
          <w:iCs/>
          <w:szCs w:val="72"/>
          <w:lang w:val="sr-Cyrl-CS"/>
        </w:rPr>
        <w:t>Global Diversified Index</w:t>
      </w:r>
      <w:r w:rsidR="00F01D73" w:rsidRPr="00DE058F">
        <w:rPr>
          <w:rFonts w:ascii="Calibri" w:eastAsia="Calibri" w:hAnsi="Calibri" w:cs="Calibri"/>
          <w:bCs/>
          <w:szCs w:val="72"/>
          <w:lang w:val="sr-Cyrl-CS"/>
        </w:rPr>
        <w:t>)</w:t>
      </w:r>
      <w:r w:rsidRPr="00DE058F">
        <w:rPr>
          <w:rFonts w:ascii="Calibri" w:eastAsia="Calibri" w:hAnsi="Calibri" w:cs="Calibri"/>
          <w:bCs/>
          <w:szCs w:val="72"/>
          <w:lang w:val="sr-Cyrl-CS"/>
        </w:rPr>
        <w:t xml:space="preserve"> што би требало значајно да повећа базу инвеститора и додатно поспеши секундарно трговање, што ће даље допринети смањењу трошкова задуживања путем емисија динарских државних хартија од вредности;</w:t>
      </w:r>
    </w:p>
    <w:p w14:paraId="1E9CB7B1" w14:textId="77777777" w:rsidR="00BB2F03" w:rsidRPr="00DE058F" w:rsidRDefault="00BB2F03" w:rsidP="00DB0157">
      <w:pPr>
        <w:numPr>
          <w:ilvl w:val="0"/>
          <w:numId w:val="13"/>
        </w:numPr>
        <w:ind w:left="0" w:hanging="142"/>
        <w:rPr>
          <w:rFonts w:ascii="Calibri" w:eastAsia="Calibri" w:hAnsi="Calibri" w:cs="Calibri"/>
          <w:bCs/>
          <w:szCs w:val="72"/>
          <w:lang w:val="sr-Cyrl-CS"/>
        </w:rPr>
      </w:pPr>
      <w:r w:rsidRPr="00DE058F">
        <w:rPr>
          <w:rFonts w:ascii="Calibri" w:eastAsia="Calibri" w:hAnsi="Calibri" w:cs="Calibri"/>
          <w:bCs/>
          <w:szCs w:val="72"/>
          <w:lang w:val="sr-Cyrl-CS"/>
        </w:rPr>
        <w:t>У циљу креирања што веће базе инвеститора и развоја секундарног тржишта хартија од вредности емитованих на домаћем тржишту, креиран је једнак порески третман домаћих и страних инвеститора крајем 2011. године, и у наредном периоду тежиће се уклањању свих евентуалних препрека за слободан проток капитала;</w:t>
      </w:r>
    </w:p>
    <w:p w14:paraId="7D3FD3C2" w14:textId="71A4EF8D" w:rsidR="00BB2F03" w:rsidRPr="00DE058F" w:rsidRDefault="00BB2F03" w:rsidP="00DB0157">
      <w:pPr>
        <w:numPr>
          <w:ilvl w:val="0"/>
          <w:numId w:val="13"/>
        </w:numPr>
        <w:ind w:left="0" w:hanging="142"/>
        <w:rPr>
          <w:rFonts w:ascii="Calibri" w:eastAsia="Calibri" w:hAnsi="Calibri" w:cs="Calibri"/>
          <w:bCs/>
          <w:szCs w:val="72"/>
          <w:lang w:val="sr-Cyrl-CS"/>
        </w:rPr>
      </w:pPr>
      <w:r w:rsidRPr="00DE058F">
        <w:rPr>
          <w:rFonts w:ascii="Calibri" w:eastAsia="Calibri" w:hAnsi="Calibri" w:cs="Calibri"/>
          <w:bCs/>
          <w:szCs w:val="72"/>
          <w:lang w:val="sr-Cyrl-CS"/>
        </w:rPr>
        <w:t xml:space="preserve">Предузете су активности на омогућавању салдирања државних хартија од вредности на </w:t>
      </w:r>
      <w:r w:rsidRPr="00DE058F">
        <w:rPr>
          <w:rFonts w:ascii="Calibri" w:eastAsia="Calibri" w:hAnsi="Calibri" w:cs="Calibri"/>
          <w:bCs/>
          <w:szCs w:val="72"/>
          <w:lang w:val="sr-Cyrl-CS"/>
        </w:rPr>
        <w:t>иностраном тржишту. Изменама и допунама Закона о јавном дугу из децембра 2019. године, омогућено је да клиринг и салдирање државних хартија од вредности емитованих на домаћем тржишту, поред Централног регистра врши и друго страно правно лице које обављ</w:t>
      </w:r>
      <w:bookmarkStart w:id="57" w:name="_Toc56667083"/>
      <w:r w:rsidR="00B93D6A" w:rsidRPr="00DE058F">
        <w:rPr>
          <w:rFonts w:ascii="Calibri" w:eastAsia="Calibri" w:hAnsi="Calibri" w:cs="Calibri"/>
          <w:bCs/>
          <w:szCs w:val="72"/>
          <w:lang w:val="sr-Cyrl-CS"/>
        </w:rPr>
        <w:t>а послове клиринга и салдирања.</w:t>
      </w:r>
    </w:p>
    <w:p w14:paraId="14ABA27E" w14:textId="4A58B219" w:rsidR="00BB2F03" w:rsidRPr="00DE058F" w:rsidRDefault="00BB2F03" w:rsidP="00DB0157">
      <w:pPr>
        <w:numPr>
          <w:ilvl w:val="0"/>
          <w:numId w:val="13"/>
        </w:numPr>
        <w:ind w:left="0" w:hanging="142"/>
        <w:rPr>
          <w:rFonts w:ascii="Calibri" w:eastAsia="Calibri" w:hAnsi="Calibri" w:cs="Calibri"/>
          <w:bCs/>
          <w:szCs w:val="72"/>
          <w:lang w:val="sr-Cyrl-CS"/>
        </w:rPr>
      </w:pPr>
      <w:r w:rsidRPr="00DE058F">
        <w:rPr>
          <w:rFonts w:ascii="Calibri" w:eastAsia="Calibri" w:hAnsi="Calibri" w:cs="Calibri"/>
          <w:bCs/>
          <w:szCs w:val="72"/>
          <w:lang w:val="sr-Cyrl-CS"/>
        </w:rPr>
        <w:t xml:space="preserve">Током 2022. године активно ће се радити на усаглашавању законске регулативе и </w:t>
      </w:r>
      <w:r w:rsidR="000F1CF3" w:rsidRPr="00DE058F">
        <w:rPr>
          <w:rFonts w:ascii="Calibri" w:eastAsia="Calibri" w:hAnsi="Calibri" w:cs="Calibri"/>
          <w:bCs/>
          <w:szCs w:val="72"/>
          <w:lang w:val="sr-Cyrl-CS"/>
        </w:rPr>
        <w:t>ИТ</w:t>
      </w:r>
      <w:r w:rsidRPr="00DE058F">
        <w:rPr>
          <w:rFonts w:ascii="Calibri" w:eastAsia="Calibri" w:hAnsi="Calibri" w:cs="Calibri"/>
          <w:bCs/>
          <w:szCs w:val="72"/>
          <w:lang w:val="sr-Cyrl-CS"/>
        </w:rPr>
        <w:t xml:space="preserve"> инфраструктуре за повезивање Централног регистра са Euroclear-oм путем I-link платформе.</w:t>
      </w:r>
    </w:p>
    <w:p w14:paraId="178571F3"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Република Србија планира да успостави I-link са Euroclear-ом крајем 2022. године, како би се почетком 2023. године државне бенчмарк обвезнице салдирале путем Euroclear-а.</w:t>
      </w:r>
    </w:p>
    <w:p w14:paraId="75713743" w14:textId="77777777"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Увођење система салдирања I-link допринеће додатном повећању учешћа страних инвеститора и повећању ликвидност на секундарном тржишту државних хартија од вредности.</w:t>
      </w:r>
    </w:p>
    <w:p w14:paraId="13620A31" w14:textId="33404309" w:rsidR="00BB2F03" w:rsidRPr="00DE058F" w:rsidRDefault="00BB2F03" w:rsidP="00C91F83">
      <w:pPr>
        <w:rPr>
          <w:rFonts w:ascii="Calibri" w:eastAsia="Calibri" w:hAnsi="Calibri" w:cs="Calibri"/>
          <w:bCs/>
          <w:szCs w:val="72"/>
          <w:lang w:val="sr-Cyrl-CS"/>
        </w:rPr>
      </w:pPr>
      <w:r w:rsidRPr="00DE058F">
        <w:rPr>
          <w:rFonts w:ascii="Calibri" w:eastAsia="Calibri" w:hAnsi="Calibri" w:cs="Calibri"/>
          <w:bCs/>
          <w:szCs w:val="72"/>
          <w:lang w:val="sr-Cyrl-CS"/>
        </w:rPr>
        <w:t>Министарство финансија очекује да ће овај корак значајно олакшати приступ страних инвеститора српском тржишту капитала.</w:t>
      </w:r>
    </w:p>
    <w:p w14:paraId="332DAF3A" w14:textId="77777777" w:rsidR="00BB2F03" w:rsidRPr="00DE058F" w:rsidRDefault="00BB2F03" w:rsidP="00DB0157">
      <w:pPr>
        <w:pStyle w:val="ListParagraph"/>
        <w:numPr>
          <w:ilvl w:val="0"/>
          <w:numId w:val="15"/>
        </w:numPr>
        <w:spacing w:after="60" w:line="254" w:lineRule="auto"/>
        <w:rPr>
          <w:rFonts w:ascii="Calibri" w:eastAsia="Calibri" w:hAnsi="Calibri" w:cs="Calibri"/>
          <w:bCs/>
          <w:szCs w:val="72"/>
          <w:lang w:val="sr-Cyrl-CS"/>
        </w:rPr>
        <w:sectPr w:rsidR="00BB2F03" w:rsidRPr="00DE058F" w:rsidSect="00C91F83">
          <w:type w:val="continuous"/>
          <w:pgSz w:w="12240" w:h="15840" w:code="1"/>
          <w:pgMar w:top="1418" w:right="1418" w:bottom="1418" w:left="1418" w:header="720" w:footer="720" w:gutter="0"/>
          <w:cols w:num="2" w:space="720"/>
          <w:docGrid w:linePitch="272"/>
        </w:sectPr>
      </w:pPr>
    </w:p>
    <w:bookmarkEnd w:id="57"/>
    <w:p w14:paraId="7AA80B19" w14:textId="77777777" w:rsidR="00BB2F03" w:rsidRPr="00DE058F" w:rsidRDefault="00BB2F03">
      <w:pPr>
        <w:jc w:val="left"/>
        <w:rPr>
          <w:rFonts w:cstheme="minorHAnsi"/>
          <w:bCs/>
          <w:spacing w:val="-2"/>
          <w:szCs w:val="72"/>
          <w:lang w:val="sr-Cyrl-CS"/>
        </w:rPr>
      </w:pPr>
      <w:r w:rsidRPr="00DE058F">
        <w:rPr>
          <w:rFonts w:cstheme="minorHAnsi"/>
          <w:bCs/>
          <w:spacing w:val="-2"/>
          <w:szCs w:val="72"/>
          <w:lang w:val="sr-Cyrl-CS"/>
        </w:rPr>
        <w:br w:type="page"/>
      </w:r>
    </w:p>
    <w:p w14:paraId="1BBEC5C8" w14:textId="77777777" w:rsidR="00BB2F03" w:rsidRPr="00DE058F" w:rsidRDefault="00BB2F03" w:rsidP="00427829">
      <w:pPr>
        <w:keepNext/>
        <w:keepLines/>
        <w:spacing w:after="0" w:line="240" w:lineRule="auto"/>
        <w:jc w:val="center"/>
        <w:outlineLvl w:val="0"/>
        <w:rPr>
          <w:rFonts w:cstheme="minorHAnsi"/>
          <w:bCs/>
          <w:color w:val="2F5496" w:themeColor="accent1" w:themeShade="BF"/>
          <w:szCs w:val="72"/>
          <w:lang w:val="sr-Cyrl-CS"/>
        </w:rPr>
      </w:pPr>
      <w:bookmarkStart w:id="58" w:name="_Toc529801854"/>
      <w:bookmarkStart w:id="59" w:name="_Toc86923729"/>
      <w:bookmarkStart w:id="60" w:name="_Toc104899613"/>
      <w:r w:rsidRPr="00DE058F">
        <w:rPr>
          <w:rFonts w:eastAsiaTheme="majorEastAsia" w:cstheme="minorHAnsi"/>
          <w:b/>
          <w:color w:val="2F5496" w:themeColor="accent1" w:themeShade="BF"/>
          <w:sz w:val="26"/>
          <w:szCs w:val="26"/>
          <w:lang w:val="sr-Cyrl-CS"/>
        </w:rPr>
        <w:lastRenderedPageBreak/>
        <w:t>IV. ЗАВРШНЕ ОДРЕДБЕ</w:t>
      </w:r>
      <w:bookmarkEnd w:id="58"/>
      <w:bookmarkEnd w:id="59"/>
      <w:bookmarkEnd w:id="60"/>
    </w:p>
    <w:p w14:paraId="00B63B57" w14:textId="77777777" w:rsidR="00BB2F03" w:rsidRPr="00DE058F" w:rsidRDefault="00BB2F03" w:rsidP="00427829">
      <w:pPr>
        <w:rPr>
          <w:lang w:val="sr-Cyrl-CS"/>
        </w:rPr>
      </w:pPr>
    </w:p>
    <w:p w14:paraId="6A0F1620" w14:textId="77777777" w:rsidR="00BB2F03" w:rsidRPr="00DE058F" w:rsidRDefault="00BB2F03" w:rsidP="00427829">
      <w:pPr>
        <w:rPr>
          <w:lang w:val="sr-Cyrl-CS"/>
        </w:rPr>
      </w:pPr>
    </w:p>
    <w:p w14:paraId="5FD0B931" w14:textId="2E44A77C" w:rsidR="00BB2F03" w:rsidRPr="00DE058F" w:rsidRDefault="00702FDB" w:rsidP="00427829">
      <w:pPr>
        <w:spacing w:after="80"/>
        <w:ind w:firstLine="720"/>
        <w:rPr>
          <w:rFonts w:cstheme="minorHAnsi"/>
          <w:bCs/>
          <w:szCs w:val="72"/>
          <w:lang w:val="sr-Cyrl-CS"/>
        </w:rPr>
      </w:pPr>
      <w:r w:rsidRPr="00DE058F">
        <w:rPr>
          <w:rFonts w:cstheme="minorHAnsi"/>
          <w:bCs/>
          <w:szCs w:val="72"/>
          <w:lang w:val="sr-Cyrl-CS"/>
        </w:rPr>
        <w:t>Саставни део ове ф</w:t>
      </w:r>
      <w:r w:rsidR="00BB2F03" w:rsidRPr="00DE058F">
        <w:rPr>
          <w:rFonts w:cstheme="minorHAnsi"/>
          <w:bCs/>
          <w:szCs w:val="72"/>
          <w:lang w:val="sr-Cyrl-CS"/>
        </w:rPr>
        <w:t>искалне стратегије чине Прилог 1 – Пројекција основних макроекономских индикатора и Прилог 2 – Фискални оквир опште државе у 202</w:t>
      </w:r>
      <w:r w:rsidR="00E85631" w:rsidRPr="00DE058F">
        <w:rPr>
          <w:rFonts w:cstheme="minorHAnsi"/>
          <w:bCs/>
          <w:szCs w:val="72"/>
          <w:lang w:val="sr-Cyrl-CS"/>
        </w:rPr>
        <w:t>3</w:t>
      </w:r>
      <w:r w:rsidR="00BB2F03" w:rsidRPr="00DE058F">
        <w:rPr>
          <w:rFonts w:cstheme="minorHAnsi"/>
          <w:bCs/>
          <w:szCs w:val="72"/>
          <w:lang w:val="sr-Cyrl-CS"/>
        </w:rPr>
        <w:t>. години, који су одштампани уз ов</w:t>
      </w:r>
      <w:r w:rsidRPr="00DE058F">
        <w:rPr>
          <w:rFonts w:cstheme="minorHAnsi"/>
          <w:bCs/>
          <w:szCs w:val="72"/>
          <w:lang w:val="sr-Cyrl-CS"/>
        </w:rPr>
        <w:t>у ф</w:t>
      </w:r>
      <w:r w:rsidR="00BB2F03" w:rsidRPr="00DE058F">
        <w:rPr>
          <w:rFonts w:cstheme="minorHAnsi"/>
          <w:bCs/>
          <w:szCs w:val="72"/>
          <w:lang w:val="sr-Cyrl-CS"/>
        </w:rPr>
        <w:t>искалну стратегију.</w:t>
      </w:r>
    </w:p>
    <w:p w14:paraId="655D83DC" w14:textId="62EC6E8E" w:rsidR="00BB2F03" w:rsidRPr="00DE058F" w:rsidRDefault="00702FDB" w:rsidP="00427829">
      <w:pPr>
        <w:spacing w:after="80"/>
        <w:ind w:firstLine="720"/>
        <w:rPr>
          <w:rFonts w:cstheme="minorHAnsi"/>
          <w:bCs/>
          <w:szCs w:val="72"/>
          <w:lang w:val="sr-Cyrl-CS"/>
        </w:rPr>
      </w:pPr>
      <w:r w:rsidRPr="00DE058F">
        <w:rPr>
          <w:rFonts w:cstheme="minorHAnsi"/>
          <w:bCs/>
          <w:szCs w:val="72"/>
          <w:lang w:val="sr-Cyrl-CS"/>
        </w:rPr>
        <w:t>Ову ф</w:t>
      </w:r>
      <w:r w:rsidR="00BB2F03" w:rsidRPr="00DE058F">
        <w:rPr>
          <w:rFonts w:cstheme="minorHAnsi"/>
          <w:bCs/>
          <w:szCs w:val="72"/>
          <w:lang w:val="sr-Cyrl-CS"/>
        </w:rPr>
        <w:t xml:space="preserve">искалну стратегију доставити </w:t>
      </w:r>
      <w:r w:rsidR="00BB2F03" w:rsidRPr="00DE058F">
        <w:rPr>
          <w:lang w:val="sr-Cyrl-CS"/>
        </w:rPr>
        <w:t xml:space="preserve">одбору Народне скупштине надлежном за финансије, републички буџет и контролу трошења јавних средстава </w:t>
      </w:r>
      <w:r w:rsidR="00BB2F03" w:rsidRPr="00DE058F">
        <w:rPr>
          <w:rFonts w:cstheme="minorHAnsi"/>
          <w:bCs/>
          <w:szCs w:val="72"/>
          <w:lang w:val="sr-Cyrl-CS"/>
        </w:rPr>
        <w:t>и Министарству финансија.</w:t>
      </w:r>
    </w:p>
    <w:p w14:paraId="4F9880D0" w14:textId="549A20F2" w:rsidR="00BB2F03" w:rsidRPr="00DE058F" w:rsidRDefault="00702FDB" w:rsidP="00427829">
      <w:pPr>
        <w:spacing w:after="0"/>
        <w:ind w:firstLine="720"/>
        <w:rPr>
          <w:rFonts w:cstheme="minorHAnsi"/>
          <w:bCs/>
          <w:szCs w:val="72"/>
          <w:lang w:val="sr-Cyrl-CS"/>
        </w:rPr>
      </w:pPr>
      <w:r w:rsidRPr="00DE058F">
        <w:rPr>
          <w:rFonts w:cstheme="minorHAnsi"/>
          <w:bCs/>
          <w:szCs w:val="72"/>
          <w:lang w:val="sr-Cyrl-CS"/>
        </w:rPr>
        <w:t>Ову ф</w:t>
      </w:r>
      <w:r w:rsidR="00BB2F03" w:rsidRPr="00DE058F">
        <w:rPr>
          <w:rFonts w:cstheme="minorHAnsi"/>
          <w:bCs/>
          <w:szCs w:val="72"/>
          <w:lang w:val="sr-Cyrl-CS"/>
        </w:rPr>
        <w:t xml:space="preserve">искалну стратегију објавити на интернет страници </w:t>
      </w:r>
      <w:r w:rsidR="00BF51D5" w:rsidRPr="00DE058F">
        <w:rPr>
          <w:rFonts w:cstheme="minorHAnsi"/>
          <w:bCs/>
          <w:szCs w:val="72"/>
          <w:lang w:val="sr-Cyrl-CS"/>
        </w:rPr>
        <w:t xml:space="preserve">Владе и </w:t>
      </w:r>
      <w:r w:rsidR="00BB2F03" w:rsidRPr="00DE058F">
        <w:rPr>
          <w:rFonts w:cstheme="minorHAnsi"/>
          <w:bCs/>
          <w:szCs w:val="72"/>
          <w:lang w:val="sr-Cyrl-CS"/>
        </w:rPr>
        <w:t>Министарства финансија.</w:t>
      </w:r>
    </w:p>
    <w:p w14:paraId="28928900" w14:textId="77777777" w:rsidR="00BB2F03" w:rsidRPr="00DE058F" w:rsidRDefault="00BB2F03" w:rsidP="00427829">
      <w:pPr>
        <w:spacing w:after="0"/>
        <w:jc w:val="right"/>
        <w:rPr>
          <w:rFonts w:cstheme="minorHAnsi"/>
          <w:bCs/>
          <w:szCs w:val="72"/>
          <w:lang w:val="sr-Cyrl-CS"/>
        </w:rPr>
      </w:pPr>
    </w:p>
    <w:p w14:paraId="189E8BE3" w14:textId="77777777" w:rsidR="00BB2F03" w:rsidRPr="00DE058F" w:rsidRDefault="00BB2F03" w:rsidP="00427829">
      <w:pPr>
        <w:spacing w:after="0"/>
        <w:jc w:val="right"/>
        <w:rPr>
          <w:rFonts w:cstheme="minorHAnsi"/>
          <w:bCs/>
          <w:szCs w:val="72"/>
          <w:lang w:val="sr-Cyrl-CS"/>
        </w:rPr>
      </w:pPr>
    </w:p>
    <w:p w14:paraId="15693080" w14:textId="5EC005B0" w:rsidR="00BB2F03" w:rsidRPr="00DE058F" w:rsidRDefault="00B93D6A" w:rsidP="00C91F83">
      <w:pPr>
        <w:tabs>
          <w:tab w:val="left" w:pos="1189"/>
        </w:tabs>
        <w:spacing w:after="0"/>
        <w:rPr>
          <w:rFonts w:cstheme="minorHAnsi"/>
          <w:bCs/>
          <w:szCs w:val="72"/>
          <w:lang w:val="sr-Cyrl-CS"/>
        </w:rPr>
      </w:pPr>
      <w:r w:rsidRPr="00DE058F">
        <w:rPr>
          <w:rFonts w:cstheme="minorHAnsi"/>
          <w:bCs/>
          <w:szCs w:val="72"/>
          <w:lang w:val="sr-Cyrl-CS"/>
        </w:rPr>
        <w:t>05 Број:</w:t>
      </w:r>
      <w:r w:rsidR="005701A2" w:rsidRPr="00DE058F">
        <w:rPr>
          <w:rFonts w:cstheme="minorHAnsi"/>
          <w:bCs/>
          <w:szCs w:val="72"/>
          <w:lang w:val="sr-Cyrl-CS"/>
        </w:rPr>
        <w:t xml:space="preserve"> 400-4334/2022</w:t>
      </w:r>
    </w:p>
    <w:p w14:paraId="7F765857" w14:textId="28A25DEA" w:rsidR="00BB2F03" w:rsidRPr="00DE058F" w:rsidRDefault="000E3344" w:rsidP="00776442">
      <w:pPr>
        <w:spacing w:after="0"/>
        <w:rPr>
          <w:rFonts w:cstheme="minorHAnsi"/>
          <w:bCs/>
          <w:szCs w:val="72"/>
          <w:lang w:val="sr-Cyrl-CS"/>
        </w:rPr>
      </w:pPr>
      <w:r>
        <w:rPr>
          <w:rFonts w:cstheme="minorHAnsi"/>
          <w:bCs/>
          <w:szCs w:val="72"/>
          <w:lang w:val="sr-Cyrl-CS"/>
        </w:rPr>
        <w:t>У Београду,</w:t>
      </w:r>
      <w:r w:rsidR="00702FDB" w:rsidRPr="00DE058F">
        <w:rPr>
          <w:rFonts w:cstheme="minorHAnsi"/>
          <w:bCs/>
          <w:szCs w:val="72"/>
          <w:lang w:val="sr-Cyrl-CS"/>
        </w:rPr>
        <w:t xml:space="preserve"> </w:t>
      </w:r>
      <w:r w:rsidR="005701A2" w:rsidRPr="00DE058F">
        <w:rPr>
          <w:rFonts w:cstheme="minorHAnsi"/>
          <w:bCs/>
          <w:szCs w:val="72"/>
          <w:lang w:val="sr-Cyrl-CS"/>
        </w:rPr>
        <w:t xml:space="preserve">2. </w:t>
      </w:r>
      <w:r w:rsidR="00702FDB" w:rsidRPr="00DE058F">
        <w:rPr>
          <w:rFonts w:cstheme="minorHAnsi"/>
          <w:bCs/>
          <w:szCs w:val="72"/>
          <w:lang w:val="sr-Cyrl-CS"/>
        </w:rPr>
        <w:t xml:space="preserve">јуна </w:t>
      </w:r>
      <w:r w:rsidR="00BB2F03" w:rsidRPr="00DE058F">
        <w:rPr>
          <w:rFonts w:cstheme="minorHAnsi"/>
          <w:bCs/>
          <w:szCs w:val="72"/>
          <w:lang w:val="sr-Cyrl-CS"/>
        </w:rPr>
        <w:t>202</w:t>
      </w:r>
      <w:r w:rsidR="00E85631" w:rsidRPr="00DE058F">
        <w:rPr>
          <w:rFonts w:cstheme="minorHAnsi"/>
          <w:bCs/>
          <w:szCs w:val="72"/>
          <w:lang w:val="sr-Cyrl-CS"/>
        </w:rPr>
        <w:t>2</w:t>
      </w:r>
      <w:r w:rsidR="00BB2F03" w:rsidRPr="00DE058F">
        <w:rPr>
          <w:rFonts w:cstheme="minorHAnsi"/>
          <w:bCs/>
          <w:szCs w:val="72"/>
          <w:lang w:val="sr-Cyrl-CS"/>
        </w:rPr>
        <w:t>. године</w:t>
      </w:r>
    </w:p>
    <w:p w14:paraId="7A280A7F" w14:textId="77777777" w:rsidR="00BB2F03" w:rsidRPr="00DE058F" w:rsidRDefault="00BB2F03" w:rsidP="00427829">
      <w:pPr>
        <w:spacing w:after="0"/>
        <w:jc w:val="right"/>
        <w:rPr>
          <w:rFonts w:cstheme="minorHAnsi"/>
          <w:bCs/>
          <w:szCs w:val="72"/>
          <w:lang w:val="sr-Cyrl-CS"/>
        </w:rPr>
      </w:pPr>
    </w:p>
    <w:p w14:paraId="6D27A4F1" w14:textId="77777777" w:rsidR="00BB2F03" w:rsidRPr="00DE058F" w:rsidRDefault="00BB2F03" w:rsidP="0001068B">
      <w:pPr>
        <w:spacing w:after="0"/>
        <w:jc w:val="center"/>
        <w:rPr>
          <w:rFonts w:cstheme="minorHAnsi"/>
          <w:bCs/>
          <w:szCs w:val="72"/>
          <w:lang w:val="sr-Cyrl-CS"/>
        </w:rPr>
      </w:pPr>
      <w:r w:rsidRPr="00DE058F">
        <w:rPr>
          <w:rFonts w:cstheme="minorHAnsi"/>
          <w:bCs/>
          <w:szCs w:val="72"/>
          <w:lang w:val="sr-Cyrl-CS"/>
        </w:rPr>
        <w:t>В Л А Д А</w:t>
      </w:r>
    </w:p>
    <w:p w14:paraId="24EFA6AA" w14:textId="77777777" w:rsidR="00BB2F03" w:rsidRPr="00DE058F" w:rsidRDefault="00BB2F03" w:rsidP="00427829">
      <w:pPr>
        <w:spacing w:after="0"/>
        <w:jc w:val="right"/>
        <w:rPr>
          <w:rFonts w:cstheme="minorHAnsi"/>
          <w:bCs/>
          <w:szCs w:val="72"/>
          <w:lang w:val="sr-Cyrl-CS"/>
        </w:rPr>
      </w:pPr>
    </w:p>
    <w:p w14:paraId="18D99E01" w14:textId="1CAA2CC2" w:rsidR="00BB2F03" w:rsidRDefault="00BB2F03" w:rsidP="00C91F83">
      <w:pPr>
        <w:spacing w:after="0"/>
        <w:jc w:val="center"/>
        <w:rPr>
          <w:rFonts w:cstheme="minorHAnsi"/>
          <w:bCs/>
          <w:szCs w:val="72"/>
          <w:lang w:val="sr-Cyrl-CS"/>
        </w:rPr>
      </w:pPr>
      <w:r w:rsidRPr="00DE058F">
        <w:rPr>
          <w:rFonts w:cstheme="minorHAnsi"/>
          <w:bCs/>
          <w:szCs w:val="72"/>
          <w:lang w:val="sr-Cyrl-CS"/>
        </w:rPr>
        <w:t xml:space="preserve">                                                                                                                                                                  ПРЕДСЕДНИК</w:t>
      </w:r>
    </w:p>
    <w:p w14:paraId="6F8F4275" w14:textId="085FEA78" w:rsidR="00BB2F03" w:rsidRPr="00DE058F" w:rsidRDefault="00BB2F03" w:rsidP="000E3344">
      <w:pPr>
        <w:spacing w:after="0"/>
        <w:rPr>
          <w:rFonts w:cstheme="minorHAnsi"/>
          <w:bCs/>
          <w:szCs w:val="72"/>
          <w:lang w:val="sr-Cyrl-CS"/>
        </w:rPr>
      </w:pPr>
    </w:p>
    <w:p w14:paraId="65F58840" w14:textId="204E7D61" w:rsidR="00BB2F03" w:rsidRPr="00061EA4" w:rsidRDefault="00BB2F03" w:rsidP="00C91F83">
      <w:pPr>
        <w:spacing w:after="0"/>
        <w:jc w:val="center"/>
        <w:rPr>
          <w:rFonts w:cstheme="minorHAnsi"/>
          <w:bCs/>
          <w:szCs w:val="72"/>
          <w:lang w:val="sr-Cyrl-RS"/>
        </w:rPr>
      </w:pPr>
      <w:r w:rsidRPr="00DE058F">
        <w:rPr>
          <w:rFonts w:cstheme="minorHAnsi"/>
          <w:bCs/>
          <w:szCs w:val="72"/>
          <w:lang w:val="sr-Cyrl-CS"/>
        </w:rPr>
        <w:t xml:space="preserve">                                                                                                                                                   </w:t>
      </w:r>
      <w:r w:rsidR="00702FDB" w:rsidRPr="00DE058F">
        <w:rPr>
          <w:rFonts w:cstheme="minorHAnsi"/>
          <w:bCs/>
          <w:szCs w:val="72"/>
          <w:lang w:val="sr-Cyrl-CS"/>
        </w:rPr>
        <w:t xml:space="preserve">               Ана Брнабић</w:t>
      </w:r>
      <w:r w:rsidR="00061EA4">
        <w:rPr>
          <w:rFonts w:cstheme="minorHAnsi"/>
          <w:bCs/>
          <w:szCs w:val="72"/>
          <w:lang w:val="sr-Cyrl-RS"/>
        </w:rPr>
        <w:t>, с.р.</w:t>
      </w:r>
    </w:p>
    <w:p w14:paraId="1778E1EF" w14:textId="77777777" w:rsidR="00BB2F03" w:rsidRPr="00DE058F" w:rsidRDefault="00BB2F03" w:rsidP="00427829">
      <w:pPr>
        <w:spacing w:after="0"/>
        <w:jc w:val="right"/>
        <w:rPr>
          <w:rFonts w:cstheme="minorHAnsi"/>
          <w:bCs/>
          <w:szCs w:val="72"/>
          <w:lang w:val="sr-Cyrl-CS"/>
        </w:rPr>
      </w:pPr>
    </w:p>
    <w:p w14:paraId="138049C5" w14:textId="77777777" w:rsidR="00BB2F03" w:rsidRPr="00DE058F" w:rsidRDefault="00BB2F03" w:rsidP="00427829">
      <w:pPr>
        <w:rPr>
          <w:rFonts w:cstheme="minorHAnsi"/>
          <w:bCs/>
          <w:szCs w:val="72"/>
          <w:lang w:val="sr-Cyrl-CS"/>
        </w:rPr>
      </w:pPr>
    </w:p>
    <w:p w14:paraId="3B9ACA08" w14:textId="77777777" w:rsidR="00BB2F03" w:rsidRPr="00DE058F" w:rsidRDefault="00BB2F03" w:rsidP="00E4657F">
      <w:pPr>
        <w:spacing w:after="60"/>
        <w:rPr>
          <w:rFonts w:cstheme="minorHAnsi"/>
          <w:bCs/>
          <w:spacing w:val="-2"/>
          <w:szCs w:val="72"/>
          <w:lang w:val="sr-Cyrl-CS"/>
        </w:rPr>
      </w:pPr>
    </w:p>
    <w:p w14:paraId="3C4568FA" w14:textId="77777777" w:rsidR="00BB2F03" w:rsidRPr="00DE058F" w:rsidRDefault="00BB2F03" w:rsidP="00E4657F">
      <w:pPr>
        <w:spacing w:after="60"/>
        <w:rPr>
          <w:rFonts w:cstheme="minorHAnsi"/>
          <w:bCs/>
          <w:spacing w:val="-2"/>
          <w:szCs w:val="72"/>
          <w:lang w:val="sr-Cyrl-CS"/>
        </w:rPr>
      </w:pPr>
    </w:p>
    <w:p w14:paraId="4DD91104" w14:textId="77777777" w:rsidR="00BB2F03" w:rsidRPr="00DE058F" w:rsidRDefault="00BB2F03" w:rsidP="00E4657F">
      <w:pPr>
        <w:spacing w:after="60"/>
        <w:rPr>
          <w:rFonts w:cstheme="minorHAnsi"/>
          <w:bCs/>
          <w:spacing w:val="-2"/>
          <w:szCs w:val="72"/>
          <w:lang w:val="sr-Cyrl-CS"/>
        </w:rPr>
      </w:pPr>
    </w:p>
    <w:p w14:paraId="1B6EAA43" w14:textId="77777777" w:rsidR="00BB2F03" w:rsidRPr="00DE058F" w:rsidRDefault="00BB2F03" w:rsidP="00E4657F">
      <w:pPr>
        <w:spacing w:after="60"/>
        <w:rPr>
          <w:rFonts w:cstheme="minorHAnsi"/>
          <w:bCs/>
          <w:spacing w:val="-2"/>
          <w:szCs w:val="72"/>
          <w:lang w:val="sr-Cyrl-CS"/>
        </w:rPr>
        <w:sectPr w:rsidR="00BB2F03" w:rsidRPr="00DE058F" w:rsidSect="00AE40EB">
          <w:headerReference w:type="even" r:id="rId179"/>
          <w:footerReference w:type="even" r:id="rId180"/>
          <w:footerReference w:type="default" r:id="rId181"/>
          <w:headerReference w:type="first" r:id="rId182"/>
          <w:type w:val="continuous"/>
          <w:pgSz w:w="12240" w:h="15840" w:code="1"/>
          <w:pgMar w:top="1418" w:right="1418" w:bottom="1418" w:left="1418" w:header="720" w:footer="720" w:gutter="0"/>
          <w:cols w:space="720"/>
          <w:docGrid w:linePitch="272"/>
        </w:sectPr>
      </w:pPr>
    </w:p>
    <w:p w14:paraId="01F3ECA6" w14:textId="77777777" w:rsidR="00976097" w:rsidRPr="00DE058F" w:rsidRDefault="00976097" w:rsidP="00953528">
      <w:pPr>
        <w:pStyle w:val="Heading1"/>
        <w:spacing w:after="160"/>
        <w:rPr>
          <w:rFonts w:asciiTheme="minorHAnsi" w:hAnsiTheme="minorHAnsi" w:cstheme="minorHAnsi"/>
          <w:color w:val="002060"/>
          <w:sz w:val="24"/>
          <w:szCs w:val="26"/>
          <w:lang w:val="sr-Cyrl-CS"/>
        </w:rPr>
      </w:pPr>
      <w:bookmarkStart w:id="61" w:name="_Toc104899614"/>
      <w:bookmarkStart w:id="62" w:name="_Toc86923730"/>
      <w:bookmarkStart w:id="63" w:name="_Toc23342474"/>
      <w:bookmarkStart w:id="64" w:name="_Toc530635112"/>
      <w:r w:rsidRPr="00DE058F">
        <w:rPr>
          <w:rFonts w:asciiTheme="minorHAnsi" w:hAnsiTheme="minorHAnsi" w:cstheme="minorHAnsi"/>
          <w:color w:val="002060"/>
          <w:sz w:val="24"/>
          <w:szCs w:val="26"/>
          <w:lang w:val="sr-Cyrl-CS"/>
        </w:rPr>
        <w:lastRenderedPageBreak/>
        <w:t>Прилог 1 – Пројекција основних макроекономских индикатора</w:t>
      </w:r>
      <w:bookmarkEnd w:id="61"/>
    </w:p>
    <w:tbl>
      <w:tblPr>
        <w:tblStyle w:val="TableGrid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8"/>
        <w:gridCol w:w="1129"/>
        <w:gridCol w:w="1131"/>
        <w:gridCol w:w="1129"/>
        <w:gridCol w:w="1123"/>
      </w:tblGrid>
      <w:tr w:rsidR="00976097" w:rsidRPr="00DE058F" w14:paraId="04451142" w14:textId="77777777" w:rsidTr="00953528">
        <w:trPr>
          <w:trHeight w:val="551"/>
          <w:jc w:val="center"/>
        </w:trPr>
        <w:tc>
          <w:tcPr>
            <w:tcW w:w="2590" w:type="pct"/>
            <w:tcBorders>
              <w:top w:val="single" w:sz="4" w:space="0" w:color="002060"/>
              <w:bottom w:val="single" w:sz="4" w:space="0" w:color="002060"/>
            </w:tcBorders>
            <w:vAlign w:val="center"/>
            <w:hideMark/>
          </w:tcPr>
          <w:p w14:paraId="05CA3CE7" w14:textId="77777777" w:rsidR="00976097" w:rsidRPr="00DE058F" w:rsidRDefault="00976097" w:rsidP="00953528">
            <w:pPr>
              <w:rPr>
                <w:rFonts w:eastAsia="Calibri" w:cstheme="minorHAnsi"/>
                <w:iCs/>
                <w:color w:val="002060"/>
                <w:sz w:val="18"/>
                <w:szCs w:val="18"/>
                <w:lang w:val="sr-Cyrl-CS"/>
              </w:rPr>
            </w:pPr>
          </w:p>
        </w:tc>
        <w:tc>
          <w:tcPr>
            <w:tcW w:w="603" w:type="pct"/>
            <w:tcBorders>
              <w:top w:val="single" w:sz="4" w:space="0" w:color="002060"/>
              <w:bottom w:val="single" w:sz="4" w:space="0" w:color="002060"/>
            </w:tcBorders>
            <w:noWrap/>
            <w:vAlign w:val="center"/>
          </w:tcPr>
          <w:p w14:paraId="3A8F1DEC" w14:textId="77777777" w:rsidR="00976097" w:rsidRPr="00DE058F" w:rsidRDefault="00976097" w:rsidP="00953528">
            <w:pPr>
              <w:jc w:val="center"/>
              <w:rPr>
                <w:rFonts w:eastAsia="Calibri" w:cstheme="minorHAnsi"/>
                <w:iCs/>
                <w:color w:val="002060"/>
                <w:szCs w:val="18"/>
                <w:lang w:val="sr-Cyrl-CS"/>
              </w:rPr>
            </w:pPr>
            <w:r w:rsidRPr="00DE058F">
              <w:rPr>
                <w:rFonts w:eastAsia="Calibri" w:cstheme="minorHAnsi"/>
                <w:iCs/>
                <w:color w:val="002060"/>
                <w:szCs w:val="18"/>
                <w:lang w:val="sr-Cyrl-CS"/>
              </w:rPr>
              <w:t>2022</w:t>
            </w:r>
          </w:p>
        </w:tc>
        <w:tc>
          <w:tcPr>
            <w:tcW w:w="604" w:type="pct"/>
            <w:tcBorders>
              <w:top w:val="single" w:sz="4" w:space="0" w:color="002060"/>
              <w:bottom w:val="single" w:sz="4" w:space="0" w:color="002060"/>
            </w:tcBorders>
            <w:noWrap/>
            <w:vAlign w:val="center"/>
            <w:hideMark/>
          </w:tcPr>
          <w:p w14:paraId="1F7BB374" w14:textId="77777777" w:rsidR="00976097" w:rsidRPr="00DE058F" w:rsidRDefault="00976097" w:rsidP="00953528">
            <w:pPr>
              <w:jc w:val="center"/>
              <w:rPr>
                <w:rFonts w:eastAsia="Calibri" w:cstheme="minorHAnsi"/>
                <w:iCs/>
                <w:color w:val="002060"/>
                <w:sz w:val="18"/>
                <w:szCs w:val="18"/>
                <w:lang w:val="sr-Cyrl-CS"/>
              </w:rPr>
            </w:pPr>
            <w:r w:rsidRPr="00DE058F">
              <w:rPr>
                <w:color w:val="002060"/>
                <w:lang w:val="sr-Cyrl-CS"/>
              </w:rPr>
              <w:t>2023</w:t>
            </w:r>
          </w:p>
        </w:tc>
        <w:tc>
          <w:tcPr>
            <w:tcW w:w="603" w:type="pct"/>
            <w:tcBorders>
              <w:top w:val="single" w:sz="4" w:space="0" w:color="002060"/>
              <w:bottom w:val="single" w:sz="4" w:space="0" w:color="002060"/>
            </w:tcBorders>
            <w:noWrap/>
            <w:vAlign w:val="center"/>
            <w:hideMark/>
          </w:tcPr>
          <w:p w14:paraId="67A033B1" w14:textId="77777777" w:rsidR="00976097" w:rsidRPr="00DE058F" w:rsidRDefault="00976097" w:rsidP="00953528">
            <w:pPr>
              <w:jc w:val="center"/>
              <w:rPr>
                <w:rFonts w:eastAsia="Calibri" w:cstheme="minorHAnsi"/>
                <w:iCs/>
                <w:color w:val="002060"/>
                <w:sz w:val="18"/>
                <w:szCs w:val="18"/>
                <w:lang w:val="sr-Cyrl-CS"/>
              </w:rPr>
            </w:pPr>
            <w:r w:rsidRPr="00DE058F">
              <w:rPr>
                <w:color w:val="002060"/>
                <w:lang w:val="sr-Cyrl-CS"/>
              </w:rPr>
              <w:t>2024</w:t>
            </w:r>
          </w:p>
        </w:tc>
        <w:tc>
          <w:tcPr>
            <w:tcW w:w="600" w:type="pct"/>
            <w:tcBorders>
              <w:top w:val="single" w:sz="4" w:space="0" w:color="002060"/>
              <w:bottom w:val="single" w:sz="4" w:space="0" w:color="002060"/>
            </w:tcBorders>
            <w:noWrap/>
            <w:vAlign w:val="center"/>
            <w:hideMark/>
          </w:tcPr>
          <w:p w14:paraId="07EC033E" w14:textId="77777777" w:rsidR="00976097" w:rsidRPr="00DE058F" w:rsidRDefault="00976097" w:rsidP="00953528">
            <w:pPr>
              <w:jc w:val="center"/>
              <w:rPr>
                <w:rFonts w:eastAsia="Calibri" w:cstheme="minorHAnsi"/>
                <w:iCs/>
                <w:color w:val="002060"/>
                <w:sz w:val="18"/>
                <w:szCs w:val="18"/>
                <w:lang w:val="sr-Cyrl-CS"/>
              </w:rPr>
            </w:pPr>
            <w:r w:rsidRPr="00DE058F">
              <w:rPr>
                <w:color w:val="002060"/>
                <w:lang w:val="sr-Cyrl-CS"/>
              </w:rPr>
              <w:t>2025</w:t>
            </w:r>
          </w:p>
        </w:tc>
      </w:tr>
      <w:tr w:rsidR="00976097" w:rsidRPr="00DE058F" w14:paraId="16948D87" w14:textId="77777777" w:rsidTr="00953528">
        <w:trPr>
          <w:trHeight w:val="281"/>
          <w:jc w:val="center"/>
        </w:trPr>
        <w:tc>
          <w:tcPr>
            <w:tcW w:w="2590" w:type="pct"/>
            <w:tcBorders>
              <w:top w:val="single" w:sz="4" w:space="0" w:color="002060"/>
            </w:tcBorders>
            <w:noWrap/>
            <w:vAlign w:val="center"/>
            <w:hideMark/>
          </w:tcPr>
          <w:p w14:paraId="68B3B923" w14:textId="77777777" w:rsidR="00976097" w:rsidRPr="00DE058F" w:rsidRDefault="00976097" w:rsidP="00953528">
            <w:pPr>
              <w:jc w:val="left"/>
              <w:rPr>
                <w:rFonts w:eastAsia="Calibri" w:cstheme="minorHAnsi"/>
                <w:color w:val="002060"/>
                <w:sz w:val="18"/>
                <w:szCs w:val="18"/>
                <w:lang w:val="sr-Cyrl-CS"/>
              </w:rPr>
            </w:pPr>
            <w:r w:rsidRPr="00DE058F">
              <w:rPr>
                <w:rFonts w:eastAsia="Calibri" w:cstheme="minorHAnsi"/>
                <w:color w:val="002060"/>
                <w:sz w:val="18"/>
                <w:szCs w:val="18"/>
                <w:lang w:val="sr-Cyrl-CS"/>
              </w:rPr>
              <w:t>Стопа реалног раста БДП, %</w:t>
            </w:r>
          </w:p>
        </w:tc>
        <w:tc>
          <w:tcPr>
            <w:tcW w:w="603" w:type="pct"/>
            <w:noWrap/>
            <w:vAlign w:val="center"/>
          </w:tcPr>
          <w:p w14:paraId="51D25B57" w14:textId="77777777" w:rsidR="00976097" w:rsidRPr="00DE058F" w:rsidRDefault="00976097" w:rsidP="00953528">
            <w:pPr>
              <w:jc w:val="center"/>
              <w:rPr>
                <w:rFonts w:cstheme="minorHAnsi"/>
                <w:color w:val="002060"/>
                <w:sz w:val="18"/>
                <w:szCs w:val="18"/>
                <w:lang w:val="sr-Cyrl-CS"/>
              </w:rPr>
            </w:pPr>
            <w:r w:rsidRPr="00DE058F">
              <w:rPr>
                <w:rFonts w:cstheme="minorHAnsi"/>
                <w:color w:val="002060"/>
                <w:sz w:val="18"/>
                <w:szCs w:val="18"/>
                <w:lang w:val="sr-Cyrl-CS"/>
              </w:rPr>
              <w:t>3,5</w:t>
            </w:r>
          </w:p>
        </w:tc>
        <w:tc>
          <w:tcPr>
            <w:tcW w:w="604" w:type="pct"/>
            <w:noWrap/>
            <w:vAlign w:val="center"/>
          </w:tcPr>
          <w:p w14:paraId="0E06FA77" w14:textId="77777777" w:rsidR="00976097" w:rsidRPr="00DE058F" w:rsidRDefault="00976097" w:rsidP="00953528">
            <w:pPr>
              <w:jc w:val="center"/>
              <w:rPr>
                <w:rFonts w:cstheme="minorHAnsi"/>
                <w:color w:val="002060"/>
                <w:sz w:val="18"/>
                <w:szCs w:val="18"/>
                <w:lang w:val="sr-Cyrl-CS"/>
              </w:rPr>
            </w:pPr>
            <w:r w:rsidRPr="00DE058F">
              <w:rPr>
                <w:rFonts w:cstheme="minorHAnsi"/>
                <w:color w:val="002060"/>
                <w:sz w:val="18"/>
                <w:szCs w:val="18"/>
                <w:lang w:val="sr-Cyrl-CS"/>
              </w:rPr>
              <w:t>4,0</w:t>
            </w:r>
          </w:p>
        </w:tc>
        <w:tc>
          <w:tcPr>
            <w:tcW w:w="603" w:type="pct"/>
            <w:noWrap/>
            <w:vAlign w:val="center"/>
          </w:tcPr>
          <w:p w14:paraId="3CC36340" w14:textId="77777777" w:rsidR="00976097" w:rsidRPr="00DE058F" w:rsidRDefault="00976097" w:rsidP="00953528">
            <w:pPr>
              <w:jc w:val="center"/>
              <w:rPr>
                <w:rFonts w:cstheme="minorHAnsi"/>
                <w:color w:val="002060"/>
                <w:sz w:val="18"/>
                <w:szCs w:val="18"/>
                <w:lang w:val="sr-Cyrl-CS"/>
              </w:rPr>
            </w:pPr>
            <w:r w:rsidRPr="00DE058F">
              <w:rPr>
                <w:rFonts w:cstheme="minorHAnsi"/>
                <w:color w:val="002060"/>
                <w:sz w:val="18"/>
                <w:szCs w:val="18"/>
                <w:lang w:val="sr-Cyrl-CS"/>
              </w:rPr>
              <w:t>4,0</w:t>
            </w:r>
          </w:p>
        </w:tc>
        <w:tc>
          <w:tcPr>
            <w:tcW w:w="600" w:type="pct"/>
            <w:noWrap/>
            <w:vAlign w:val="center"/>
          </w:tcPr>
          <w:p w14:paraId="2EC354AF" w14:textId="77777777" w:rsidR="00976097" w:rsidRPr="00DE058F" w:rsidRDefault="00976097" w:rsidP="00953528">
            <w:pPr>
              <w:jc w:val="center"/>
              <w:rPr>
                <w:rFonts w:cstheme="minorHAnsi"/>
                <w:color w:val="002060"/>
                <w:sz w:val="18"/>
                <w:szCs w:val="18"/>
                <w:lang w:val="sr-Cyrl-CS"/>
              </w:rPr>
            </w:pPr>
            <w:r w:rsidRPr="00DE058F">
              <w:rPr>
                <w:rFonts w:cstheme="minorHAnsi"/>
                <w:sz w:val="18"/>
                <w:szCs w:val="18"/>
                <w:lang w:val="sr-Cyrl-CS"/>
              </w:rPr>
              <w:t>4,5</w:t>
            </w:r>
          </w:p>
        </w:tc>
      </w:tr>
      <w:tr w:rsidR="00976097" w:rsidRPr="00DE058F" w14:paraId="780E6F02" w14:textId="77777777" w:rsidTr="00953528">
        <w:trPr>
          <w:trHeight w:val="281"/>
          <w:jc w:val="center"/>
        </w:trPr>
        <w:tc>
          <w:tcPr>
            <w:tcW w:w="2590" w:type="pct"/>
            <w:noWrap/>
            <w:vAlign w:val="center"/>
            <w:hideMark/>
          </w:tcPr>
          <w:p w14:paraId="5C062040" w14:textId="77777777" w:rsidR="00976097" w:rsidRPr="00DE058F" w:rsidRDefault="00976097" w:rsidP="00953528">
            <w:pPr>
              <w:jc w:val="left"/>
              <w:rPr>
                <w:rFonts w:eastAsia="Calibri" w:cstheme="minorHAnsi"/>
                <w:color w:val="002060"/>
                <w:sz w:val="18"/>
                <w:szCs w:val="18"/>
                <w:lang w:val="sr-Cyrl-CS"/>
              </w:rPr>
            </w:pPr>
            <w:r w:rsidRPr="00DE058F">
              <w:rPr>
                <w:rFonts w:eastAsia="Calibri" w:cstheme="minorHAnsi"/>
                <w:color w:val="002060"/>
                <w:sz w:val="18"/>
                <w:szCs w:val="18"/>
                <w:lang w:val="sr-Cyrl-CS"/>
              </w:rPr>
              <w:t>БДП у текућим тржишним ценама</w:t>
            </w:r>
          </w:p>
          <w:p w14:paraId="72101788" w14:textId="77777777" w:rsidR="00976097" w:rsidRPr="00DE058F" w:rsidRDefault="00976097" w:rsidP="00953528">
            <w:pPr>
              <w:jc w:val="left"/>
              <w:rPr>
                <w:rFonts w:eastAsia="Calibri" w:cstheme="minorHAnsi"/>
                <w:bCs/>
                <w:color w:val="002060"/>
                <w:sz w:val="18"/>
                <w:szCs w:val="18"/>
                <w:lang w:val="sr-Cyrl-CS"/>
              </w:rPr>
            </w:pPr>
            <w:r w:rsidRPr="00DE058F">
              <w:rPr>
                <w:rFonts w:eastAsia="Calibri" w:cstheme="minorHAnsi"/>
                <w:color w:val="002060"/>
                <w:sz w:val="18"/>
                <w:szCs w:val="18"/>
                <w:lang w:val="sr-Cyrl-CS"/>
              </w:rPr>
              <w:t>(у млрд динара)</w:t>
            </w:r>
          </w:p>
        </w:tc>
        <w:tc>
          <w:tcPr>
            <w:tcW w:w="603" w:type="pct"/>
            <w:noWrap/>
            <w:vAlign w:val="center"/>
          </w:tcPr>
          <w:p w14:paraId="6E63A5E7" w14:textId="77777777" w:rsidR="00976097" w:rsidRPr="00DE058F" w:rsidRDefault="00976097" w:rsidP="00953528">
            <w:pPr>
              <w:jc w:val="center"/>
              <w:rPr>
                <w:rFonts w:cstheme="minorHAnsi"/>
                <w:color w:val="002060"/>
                <w:sz w:val="18"/>
                <w:szCs w:val="18"/>
                <w:lang w:val="sr-Cyrl-CS"/>
              </w:rPr>
            </w:pPr>
            <w:r w:rsidRPr="00DE058F">
              <w:rPr>
                <w:rFonts w:cstheme="minorHAnsi"/>
                <w:color w:val="002060"/>
                <w:sz w:val="18"/>
                <w:szCs w:val="18"/>
                <w:lang w:val="sr-Cyrl-CS"/>
              </w:rPr>
              <w:t>6.904,4</w:t>
            </w:r>
          </w:p>
        </w:tc>
        <w:tc>
          <w:tcPr>
            <w:tcW w:w="604" w:type="pct"/>
            <w:noWrap/>
            <w:vAlign w:val="center"/>
          </w:tcPr>
          <w:p w14:paraId="7FE08587" w14:textId="77777777" w:rsidR="00976097" w:rsidRPr="00DE058F" w:rsidRDefault="00976097" w:rsidP="00953528">
            <w:pPr>
              <w:jc w:val="center"/>
              <w:rPr>
                <w:rFonts w:cstheme="minorHAnsi"/>
                <w:color w:val="002060"/>
                <w:sz w:val="18"/>
                <w:szCs w:val="18"/>
                <w:lang w:val="sr-Cyrl-CS"/>
              </w:rPr>
            </w:pPr>
            <w:r w:rsidRPr="00DE058F">
              <w:rPr>
                <w:rFonts w:cstheme="minorHAnsi"/>
                <w:color w:val="002060"/>
                <w:sz w:val="18"/>
                <w:szCs w:val="18"/>
                <w:lang w:val="sr-Cyrl-CS"/>
              </w:rPr>
              <w:t>7.465,2</w:t>
            </w:r>
          </w:p>
        </w:tc>
        <w:tc>
          <w:tcPr>
            <w:tcW w:w="603" w:type="pct"/>
            <w:noWrap/>
            <w:vAlign w:val="center"/>
          </w:tcPr>
          <w:p w14:paraId="636F7A8F" w14:textId="77777777" w:rsidR="00976097" w:rsidRPr="00DE058F" w:rsidRDefault="00976097" w:rsidP="00953528">
            <w:pPr>
              <w:jc w:val="center"/>
              <w:rPr>
                <w:rFonts w:cstheme="minorHAnsi"/>
                <w:color w:val="002060"/>
                <w:sz w:val="18"/>
                <w:szCs w:val="18"/>
                <w:lang w:val="sr-Cyrl-CS"/>
              </w:rPr>
            </w:pPr>
            <w:r w:rsidRPr="00DE058F">
              <w:rPr>
                <w:rFonts w:cstheme="minorHAnsi"/>
                <w:color w:val="002060"/>
                <w:sz w:val="18"/>
                <w:szCs w:val="18"/>
                <w:lang w:val="sr-Cyrl-CS"/>
              </w:rPr>
              <w:t>8.023,0</w:t>
            </w:r>
          </w:p>
        </w:tc>
        <w:tc>
          <w:tcPr>
            <w:tcW w:w="600" w:type="pct"/>
            <w:noWrap/>
            <w:vAlign w:val="center"/>
          </w:tcPr>
          <w:p w14:paraId="46BDBD28" w14:textId="77777777" w:rsidR="00976097" w:rsidRPr="00DE058F" w:rsidRDefault="00976097" w:rsidP="00953528">
            <w:pPr>
              <w:jc w:val="center"/>
              <w:rPr>
                <w:rFonts w:cstheme="minorHAnsi"/>
                <w:color w:val="002060"/>
                <w:sz w:val="18"/>
                <w:szCs w:val="18"/>
                <w:lang w:val="sr-Cyrl-CS"/>
              </w:rPr>
            </w:pPr>
            <w:r w:rsidRPr="00DE058F">
              <w:rPr>
                <w:rFonts w:cstheme="minorHAnsi"/>
                <w:color w:val="002060"/>
                <w:sz w:val="18"/>
                <w:szCs w:val="18"/>
                <w:lang w:val="sr-Cyrl-CS"/>
              </w:rPr>
              <w:t>8.650,7</w:t>
            </w:r>
          </w:p>
        </w:tc>
      </w:tr>
      <w:tr w:rsidR="00976097" w:rsidRPr="00DE058F" w14:paraId="547DABEB" w14:textId="77777777" w:rsidTr="00953528">
        <w:trPr>
          <w:trHeight w:val="281"/>
          <w:jc w:val="center"/>
        </w:trPr>
        <w:tc>
          <w:tcPr>
            <w:tcW w:w="2590" w:type="pct"/>
            <w:shd w:val="clear" w:color="auto" w:fill="E7E6E6" w:themeFill="background2"/>
            <w:noWrap/>
            <w:vAlign w:val="center"/>
            <w:hideMark/>
          </w:tcPr>
          <w:p w14:paraId="5CC5AADE" w14:textId="77777777" w:rsidR="00976097" w:rsidRPr="00DE058F" w:rsidRDefault="00976097" w:rsidP="00953528">
            <w:pPr>
              <w:jc w:val="left"/>
              <w:rPr>
                <w:rFonts w:eastAsia="Calibri" w:cstheme="minorHAnsi"/>
                <w:bCs/>
                <w:color w:val="002060"/>
                <w:sz w:val="18"/>
                <w:szCs w:val="18"/>
                <w:lang w:val="sr-Cyrl-CS"/>
              </w:rPr>
            </w:pPr>
            <w:r w:rsidRPr="00DE058F">
              <w:rPr>
                <w:rFonts w:eastAsia="Calibri" w:cstheme="minorHAnsi"/>
                <w:iCs/>
                <w:color w:val="002060"/>
                <w:sz w:val="18"/>
                <w:szCs w:val="18"/>
                <w:lang w:val="sr-Cyrl-CS"/>
              </w:rPr>
              <w:t xml:space="preserve">Извори раста: процентне промене у </w:t>
            </w:r>
            <w:r w:rsidRPr="00DE058F">
              <w:rPr>
                <w:rFonts w:eastAsia="Calibri" w:cstheme="minorHAnsi"/>
                <w:bCs/>
                <w:iCs/>
                <w:color w:val="002060"/>
                <w:sz w:val="18"/>
                <w:szCs w:val="18"/>
                <w:lang w:val="sr-Cyrl-CS"/>
              </w:rPr>
              <w:t>сталним</w:t>
            </w:r>
            <w:r w:rsidRPr="00DE058F">
              <w:rPr>
                <w:rFonts w:eastAsia="Calibri" w:cstheme="minorHAnsi"/>
                <w:iCs/>
                <w:color w:val="002060"/>
                <w:sz w:val="18"/>
                <w:szCs w:val="18"/>
                <w:lang w:val="sr-Cyrl-CS"/>
              </w:rPr>
              <w:t xml:space="preserve"> ценама</w:t>
            </w:r>
          </w:p>
        </w:tc>
        <w:tc>
          <w:tcPr>
            <w:tcW w:w="603" w:type="pct"/>
            <w:shd w:val="clear" w:color="auto" w:fill="E7E6E6" w:themeFill="background2"/>
            <w:vAlign w:val="center"/>
          </w:tcPr>
          <w:p w14:paraId="2638EC54" w14:textId="77777777" w:rsidR="00976097" w:rsidRPr="00DE058F" w:rsidRDefault="00976097" w:rsidP="00953528">
            <w:pPr>
              <w:jc w:val="center"/>
              <w:rPr>
                <w:rFonts w:eastAsia="Calibri" w:cstheme="minorHAnsi"/>
                <w:bCs/>
                <w:color w:val="002060"/>
                <w:sz w:val="18"/>
                <w:szCs w:val="18"/>
                <w:lang w:val="sr-Cyrl-CS"/>
              </w:rPr>
            </w:pPr>
          </w:p>
        </w:tc>
        <w:tc>
          <w:tcPr>
            <w:tcW w:w="604" w:type="pct"/>
            <w:shd w:val="clear" w:color="auto" w:fill="E7E6E6" w:themeFill="background2"/>
            <w:vAlign w:val="center"/>
          </w:tcPr>
          <w:p w14:paraId="70CF18A5" w14:textId="77777777" w:rsidR="00976097" w:rsidRPr="00DE058F" w:rsidRDefault="00976097" w:rsidP="00953528">
            <w:pPr>
              <w:jc w:val="center"/>
              <w:rPr>
                <w:rFonts w:eastAsia="Calibri" w:cstheme="minorHAnsi"/>
                <w:bCs/>
                <w:color w:val="002060"/>
                <w:sz w:val="18"/>
                <w:szCs w:val="18"/>
                <w:lang w:val="sr-Cyrl-CS"/>
              </w:rPr>
            </w:pPr>
          </w:p>
        </w:tc>
        <w:tc>
          <w:tcPr>
            <w:tcW w:w="603" w:type="pct"/>
            <w:shd w:val="clear" w:color="auto" w:fill="E7E6E6" w:themeFill="background2"/>
            <w:vAlign w:val="center"/>
          </w:tcPr>
          <w:p w14:paraId="53F172BE" w14:textId="77777777" w:rsidR="00976097" w:rsidRPr="00DE058F" w:rsidRDefault="00976097" w:rsidP="00953528">
            <w:pPr>
              <w:jc w:val="center"/>
              <w:rPr>
                <w:rFonts w:eastAsia="Calibri" w:cstheme="minorHAnsi"/>
                <w:bCs/>
                <w:color w:val="002060"/>
                <w:sz w:val="18"/>
                <w:szCs w:val="18"/>
                <w:lang w:val="sr-Cyrl-CS"/>
              </w:rPr>
            </w:pPr>
          </w:p>
        </w:tc>
        <w:tc>
          <w:tcPr>
            <w:tcW w:w="600" w:type="pct"/>
            <w:shd w:val="clear" w:color="auto" w:fill="E7E6E6" w:themeFill="background2"/>
            <w:vAlign w:val="center"/>
          </w:tcPr>
          <w:p w14:paraId="70CBC627" w14:textId="77777777" w:rsidR="00976097" w:rsidRPr="00DE058F" w:rsidRDefault="00976097" w:rsidP="00953528">
            <w:pPr>
              <w:jc w:val="center"/>
              <w:rPr>
                <w:rFonts w:eastAsia="Calibri" w:cstheme="minorHAnsi"/>
                <w:bCs/>
                <w:color w:val="002060"/>
                <w:sz w:val="18"/>
                <w:szCs w:val="18"/>
                <w:lang w:val="sr-Cyrl-CS"/>
              </w:rPr>
            </w:pPr>
          </w:p>
        </w:tc>
      </w:tr>
      <w:tr w:rsidR="00976097" w:rsidRPr="00DE058F" w14:paraId="406BC74B" w14:textId="77777777" w:rsidTr="00953528">
        <w:trPr>
          <w:trHeight w:val="281"/>
          <w:jc w:val="center"/>
        </w:trPr>
        <w:tc>
          <w:tcPr>
            <w:tcW w:w="2590" w:type="pct"/>
            <w:noWrap/>
            <w:vAlign w:val="center"/>
            <w:hideMark/>
          </w:tcPr>
          <w:p w14:paraId="743949FC"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Лична потрошња</w:t>
            </w:r>
          </w:p>
        </w:tc>
        <w:tc>
          <w:tcPr>
            <w:tcW w:w="603" w:type="pct"/>
            <w:tcBorders>
              <w:top w:val="nil"/>
              <w:left w:val="nil"/>
              <w:bottom w:val="nil"/>
              <w:right w:val="nil"/>
            </w:tcBorders>
            <w:shd w:val="clear" w:color="auto" w:fill="auto"/>
            <w:noWrap/>
            <w:vAlign w:val="center"/>
          </w:tcPr>
          <w:p w14:paraId="54D82CCD" w14:textId="77777777" w:rsidR="00976097" w:rsidRPr="00DE058F" w:rsidRDefault="00976097" w:rsidP="00953528">
            <w:pPr>
              <w:jc w:val="center"/>
              <w:rPr>
                <w:color w:val="002060"/>
                <w:sz w:val="18"/>
                <w:lang w:val="sr-Cyrl-CS"/>
              </w:rPr>
            </w:pPr>
            <w:r w:rsidRPr="00DE058F">
              <w:rPr>
                <w:color w:val="002060"/>
                <w:sz w:val="18"/>
                <w:lang w:val="sr-Cyrl-CS"/>
              </w:rPr>
              <w:t>3,1</w:t>
            </w:r>
          </w:p>
        </w:tc>
        <w:tc>
          <w:tcPr>
            <w:tcW w:w="604" w:type="pct"/>
            <w:tcBorders>
              <w:top w:val="nil"/>
              <w:left w:val="nil"/>
              <w:bottom w:val="nil"/>
              <w:right w:val="nil"/>
            </w:tcBorders>
            <w:shd w:val="clear" w:color="auto" w:fill="auto"/>
            <w:noWrap/>
            <w:vAlign w:val="center"/>
          </w:tcPr>
          <w:p w14:paraId="043B8FD0" w14:textId="77777777" w:rsidR="00976097" w:rsidRPr="00DE058F" w:rsidRDefault="00976097" w:rsidP="00953528">
            <w:pPr>
              <w:jc w:val="center"/>
              <w:rPr>
                <w:color w:val="002060"/>
                <w:sz w:val="18"/>
                <w:lang w:val="sr-Cyrl-CS"/>
              </w:rPr>
            </w:pPr>
            <w:r w:rsidRPr="00DE058F">
              <w:rPr>
                <w:color w:val="002060"/>
                <w:sz w:val="18"/>
                <w:lang w:val="sr-Cyrl-CS"/>
              </w:rPr>
              <w:t>3,8</w:t>
            </w:r>
          </w:p>
        </w:tc>
        <w:tc>
          <w:tcPr>
            <w:tcW w:w="603" w:type="pct"/>
            <w:tcBorders>
              <w:top w:val="nil"/>
              <w:left w:val="nil"/>
              <w:bottom w:val="nil"/>
              <w:right w:val="nil"/>
            </w:tcBorders>
            <w:shd w:val="clear" w:color="auto" w:fill="auto"/>
            <w:noWrap/>
            <w:vAlign w:val="center"/>
          </w:tcPr>
          <w:p w14:paraId="7C08E225" w14:textId="77777777" w:rsidR="00976097" w:rsidRPr="00DE058F" w:rsidRDefault="00976097" w:rsidP="00953528">
            <w:pPr>
              <w:jc w:val="center"/>
              <w:rPr>
                <w:color w:val="002060"/>
                <w:sz w:val="18"/>
                <w:lang w:val="sr-Cyrl-CS"/>
              </w:rPr>
            </w:pPr>
            <w:r w:rsidRPr="00DE058F">
              <w:rPr>
                <w:color w:val="002060"/>
                <w:sz w:val="18"/>
                <w:lang w:val="sr-Cyrl-CS"/>
              </w:rPr>
              <w:t>3,0</w:t>
            </w:r>
          </w:p>
        </w:tc>
        <w:tc>
          <w:tcPr>
            <w:tcW w:w="600" w:type="pct"/>
            <w:tcBorders>
              <w:top w:val="nil"/>
              <w:left w:val="nil"/>
              <w:bottom w:val="nil"/>
              <w:right w:val="nil"/>
            </w:tcBorders>
            <w:shd w:val="clear" w:color="auto" w:fill="auto"/>
            <w:noWrap/>
            <w:vAlign w:val="center"/>
          </w:tcPr>
          <w:p w14:paraId="7BD89F7F" w14:textId="77777777" w:rsidR="00976097" w:rsidRPr="00DE058F" w:rsidRDefault="00976097" w:rsidP="00953528">
            <w:pPr>
              <w:jc w:val="center"/>
              <w:rPr>
                <w:color w:val="002060"/>
                <w:sz w:val="18"/>
                <w:lang w:val="sr-Cyrl-CS"/>
              </w:rPr>
            </w:pPr>
            <w:r w:rsidRPr="00DE058F">
              <w:rPr>
                <w:color w:val="002060"/>
                <w:sz w:val="18"/>
                <w:lang w:val="sr-Cyrl-CS"/>
              </w:rPr>
              <w:t>3,0</w:t>
            </w:r>
          </w:p>
        </w:tc>
      </w:tr>
      <w:tr w:rsidR="00976097" w:rsidRPr="00DE058F" w14:paraId="143A4ABE" w14:textId="77777777" w:rsidTr="00953528">
        <w:trPr>
          <w:trHeight w:val="281"/>
          <w:jc w:val="center"/>
        </w:trPr>
        <w:tc>
          <w:tcPr>
            <w:tcW w:w="2590" w:type="pct"/>
            <w:noWrap/>
            <w:vAlign w:val="center"/>
            <w:hideMark/>
          </w:tcPr>
          <w:p w14:paraId="01C96157"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Државна потрошња</w:t>
            </w:r>
          </w:p>
        </w:tc>
        <w:tc>
          <w:tcPr>
            <w:tcW w:w="603" w:type="pct"/>
            <w:tcBorders>
              <w:top w:val="nil"/>
              <w:left w:val="nil"/>
              <w:bottom w:val="nil"/>
              <w:right w:val="nil"/>
            </w:tcBorders>
            <w:shd w:val="clear" w:color="auto" w:fill="auto"/>
            <w:noWrap/>
            <w:vAlign w:val="center"/>
          </w:tcPr>
          <w:p w14:paraId="25A7F8F6" w14:textId="77777777" w:rsidR="00976097" w:rsidRPr="00DE058F" w:rsidRDefault="00976097" w:rsidP="00953528">
            <w:pPr>
              <w:jc w:val="center"/>
              <w:rPr>
                <w:color w:val="002060"/>
                <w:sz w:val="18"/>
                <w:lang w:val="sr-Cyrl-CS"/>
              </w:rPr>
            </w:pPr>
            <w:r w:rsidRPr="00DE058F">
              <w:rPr>
                <w:color w:val="002060"/>
                <w:sz w:val="18"/>
                <w:lang w:val="sr-Cyrl-CS"/>
              </w:rPr>
              <w:t>-0,4</w:t>
            </w:r>
          </w:p>
        </w:tc>
        <w:tc>
          <w:tcPr>
            <w:tcW w:w="604" w:type="pct"/>
            <w:tcBorders>
              <w:top w:val="nil"/>
              <w:left w:val="nil"/>
              <w:bottom w:val="nil"/>
              <w:right w:val="nil"/>
            </w:tcBorders>
            <w:shd w:val="clear" w:color="auto" w:fill="auto"/>
            <w:noWrap/>
            <w:vAlign w:val="center"/>
          </w:tcPr>
          <w:p w14:paraId="3806AB3E" w14:textId="77777777" w:rsidR="00976097" w:rsidRPr="00DE058F" w:rsidRDefault="00976097" w:rsidP="00953528">
            <w:pPr>
              <w:jc w:val="center"/>
              <w:rPr>
                <w:color w:val="002060"/>
                <w:sz w:val="18"/>
                <w:lang w:val="sr-Cyrl-CS"/>
              </w:rPr>
            </w:pPr>
            <w:r w:rsidRPr="00DE058F">
              <w:rPr>
                <w:color w:val="002060"/>
                <w:sz w:val="18"/>
                <w:lang w:val="sr-Cyrl-CS"/>
              </w:rPr>
              <w:t>1,0</w:t>
            </w:r>
          </w:p>
        </w:tc>
        <w:tc>
          <w:tcPr>
            <w:tcW w:w="603" w:type="pct"/>
            <w:tcBorders>
              <w:top w:val="nil"/>
              <w:left w:val="nil"/>
              <w:bottom w:val="nil"/>
              <w:right w:val="nil"/>
            </w:tcBorders>
            <w:shd w:val="clear" w:color="auto" w:fill="auto"/>
            <w:noWrap/>
            <w:vAlign w:val="center"/>
          </w:tcPr>
          <w:p w14:paraId="72E44B01" w14:textId="77777777" w:rsidR="00976097" w:rsidRPr="00DE058F" w:rsidRDefault="00976097" w:rsidP="00953528">
            <w:pPr>
              <w:jc w:val="center"/>
              <w:rPr>
                <w:color w:val="002060"/>
                <w:sz w:val="18"/>
                <w:lang w:val="sr-Cyrl-CS"/>
              </w:rPr>
            </w:pPr>
            <w:r w:rsidRPr="00DE058F">
              <w:rPr>
                <w:color w:val="002060"/>
                <w:sz w:val="18"/>
                <w:lang w:val="sr-Cyrl-CS"/>
              </w:rPr>
              <w:t>1,1</w:t>
            </w:r>
          </w:p>
        </w:tc>
        <w:tc>
          <w:tcPr>
            <w:tcW w:w="600" w:type="pct"/>
            <w:tcBorders>
              <w:top w:val="nil"/>
              <w:left w:val="nil"/>
              <w:bottom w:val="nil"/>
              <w:right w:val="nil"/>
            </w:tcBorders>
            <w:shd w:val="clear" w:color="auto" w:fill="auto"/>
            <w:noWrap/>
            <w:vAlign w:val="center"/>
          </w:tcPr>
          <w:p w14:paraId="3B1E4B44" w14:textId="77777777" w:rsidR="00976097" w:rsidRPr="00DE058F" w:rsidRDefault="00976097" w:rsidP="00953528">
            <w:pPr>
              <w:jc w:val="center"/>
              <w:rPr>
                <w:color w:val="002060"/>
                <w:sz w:val="18"/>
                <w:lang w:val="sr-Cyrl-CS"/>
              </w:rPr>
            </w:pPr>
            <w:r w:rsidRPr="00DE058F">
              <w:rPr>
                <w:color w:val="002060"/>
                <w:sz w:val="18"/>
                <w:lang w:val="sr-Cyrl-CS"/>
              </w:rPr>
              <w:t>1,5</w:t>
            </w:r>
          </w:p>
        </w:tc>
      </w:tr>
      <w:tr w:rsidR="00976097" w:rsidRPr="00DE058F" w14:paraId="2BC8294B" w14:textId="77777777" w:rsidTr="00953528">
        <w:trPr>
          <w:trHeight w:val="281"/>
          <w:jc w:val="center"/>
        </w:trPr>
        <w:tc>
          <w:tcPr>
            <w:tcW w:w="2590" w:type="pct"/>
            <w:noWrap/>
            <w:vAlign w:val="center"/>
            <w:hideMark/>
          </w:tcPr>
          <w:p w14:paraId="1B52291A"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Инвестиције у основна средства</w:t>
            </w:r>
          </w:p>
        </w:tc>
        <w:tc>
          <w:tcPr>
            <w:tcW w:w="603" w:type="pct"/>
            <w:tcBorders>
              <w:top w:val="nil"/>
              <w:left w:val="nil"/>
              <w:bottom w:val="nil"/>
              <w:right w:val="nil"/>
            </w:tcBorders>
            <w:shd w:val="clear" w:color="auto" w:fill="auto"/>
            <w:noWrap/>
            <w:vAlign w:val="center"/>
          </w:tcPr>
          <w:p w14:paraId="39FF8843" w14:textId="77777777" w:rsidR="00976097" w:rsidRPr="00DE058F" w:rsidRDefault="00976097" w:rsidP="00953528">
            <w:pPr>
              <w:jc w:val="center"/>
              <w:rPr>
                <w:color w:val="002060"/>
                <w:sz w:val="18"/>
                <w:lang w:val="sr-Cyrl-CS"/>
              </w:rPr>
            </w:pPr>
            <w:r w:rsidRPr="00DE058F">
              <w:rPr>
                <w:color w:val="002060"/>
                <w:sz w:val="18"/>
                <w:lang w:val="sr-Cyrl-CS"/>
              </w:rPr>
              <w:t>3,0</w:t>
            </w:r>
          </w:p>
        </w:tc>
        <w:tc>
          <w:tcPr>
            <w:tcW w:w="604" w:type="pct"/>
            <w:tcBorders>
              <w:top w:val="nil"/>
              <w:left w:val="nil"/>
              <w:bottom w:val="nil"/>
              <w:right w:val="nil"/>
            </w:tcBorders>
            <w:shd w:val="clear" w:color="auto" w:fill="auto"/>
            <w:noWrap/>
            <w:vAlign w:val="center"/>
          </w:tcPr>
          <w:p w14:paraId="1B1B4690" w14:textId="77777777" w:rsidR="00976097" w:rsidRPr="00DE058F" w:rsidRDefault="00976097" w:rsidP="00953528">
            <w:pPr>
              <w:jc w:val="center"/>
              <w:rPr>
                <w:color w:val="002060"/>
                <w:sz w:val="18"/>
                <w:lang w:val="sr-Cyrl-CS"/>
              </w:rPr>
            </w:pPr>
            <w:r w:rsidRPr="00DE058F">
              <w:rPr>
                <w:color w:val="002060"/>
                <w:sz w:val="18"/>
                <w:lang w:val="sr-Cyrl-CS"/>
              </w:rPr>
              <w:t>6,1</w:t>
            </w:r>
          </w:p>
        </w:tc>
        <w:tc>
          <w:tcPr>
            <w:tcW w:w="603" w:type="pct"/>
            <w:tcBorders>
              <w:top w:val="nil"/>
              <w:left w:val="nil"/>
              <w:bottom w:val="nil"/>
              <w:right w:val="nil"/>
            </w:tcBorders>
            <w:shd w:val="clear" w:color="auto" w:fill="auto"/>
            <w:noWrap/>
            <w:vAlign w:val="center"/>
          </w:tcPr>
          <w:p w14:paraId="006EBC16" w14:textId="77777777" w:rsidR="00976097" w:rsidRPr="00DE058F" w:rsidRDefault="00976097" w:rsidP="00953528">
            <w:pPr>
              <w:jc w:val="center"/>
              <w:rPr>
                <w:color w:val="002060"/>
                <w:sz w:val="18"/>
                <w:lang w:val="sr-Cyrl-CS"/>
              </w:rPr>
            </w:pPr>
            <w:r w:rsidRPr="00DE058F">
              <w:rPr>
                <w:color w:val="002060"/>
                <w:sz w:val="18"/>
                <w:lang w:val="sr-Cyrl-CS"/>
              </w:rPr>
              <w:t>6,8</w:t>
            </w:r>
          </w:p>
        </w:tc>
        <w:tc>
          <w:tcPr>
            <w:tcW w:w="600" w:type="pct"/>
            <w:tcBorders>
              <w:top w:val="nil"/>
              <w:left w:val="nil"/>
              <w:bottom w:val="nil"/>
              <w:right w:val="nil"/>
            </w:tcBorders>
            <w:shd w:val="clear" w:color="auto" w:fill="auto"/>
            <w:noWrap/>
            <w:vAlign w:val="center"/>
          </w:tcPr>
          <w:p w14:paraId="33324D31" w14:textId="77777777" w:rsidR="00976097" w:rsidRPr="00DE058F" w:rsidRDefault="00976097" w:rsidP="00953528">
            <w:pPr>
              <w:jc w:val="center"/>
              <w:rPr>
                <w:color w:val="002060"/>
                <w:sz w:val="18"/>
                <w:lang w:val="sr-Cyrl-CS"/>
              </w:rPr>
            </w:pPr>
            <w:r w:rsidRPr="00DE058F">
              <w:rPr>
                <w:color w:val="002060"/>
                <w:sz w:val="18"/>
                <w:lang w:val="sr-Cyrl-CS"/>
              </w:rPr>
              <w:t>7,6</w:t>
            </w:r>
          </w:p>
        </w:tc>
      </w:tr>
      <w:tr w:rsidR="00976097" w:rsidRPr="00DE058F" w14:paraId="6FBA35B8" w14:textId="77777777" w:rsidTr="00953528">
        <w:trPr>
          <w:trHeight w:val="281"/>
          <w:jc w:val="center"/>
        </w:trPr>
        <w:tc>
          <w:tcPr>
            <w:tcW w:w="2590" w:type="pct"/>
            <w:noWrap/>
            <w:vAlign w:val="center"/>
            <w:hideMark/>
          </w:tcPr>
          <w:p w14:paraId="38E4F515"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Извоз робе и услуга</w:t>
            </w:r>
          </w:p>
        </w:tc>
        <w:tc>
          <w:tcPr>
            <w:tcW w:w="603" w:type="pct"/>
            <w:tcBorders>
              <w:top w:val="nil"/>
              <w:left w:val="nil"/>
              <w:bottom w:val="nil"/>
              <w:right w:val="nil"/>
            </w:tcBorders>
            <w:shd w:val="clear" w:color="auto" w:fill="auto"/>
            <w:noWrap/>
            <w:vAlign w:val="center"/>
          </w:tcPr>
          <w:p w14:paraId="429AE5C2" w14:textId="77777777" w:rsidR="00976097" w:rsidRPr="00DE058F" w:rsidRDefault="00976097" w:rsidP="00953528">
            <w:pPr>
              <w:jc w:val="center"/>
              <w:rPr>
                <w:color w:val="002060"/>
                <w:sz w:val="18"/>
                <w:lang w:val="sr-Cyrl-CS"/>
              </w:rPr>
            </w:pPr>
            <w:r w:rsidRPr="00DE058F">
              <w:rPr>
                <w:color w:val="002060"/>
                <w:sz w:val="18"/>
                <w:lang w:val="sr-Cyrl-CS"/>
              </w:rPr>
              <w:t>9,0</w:t>
            </w:r>
          </w:p>
        </w:tc>
        <w:tc>
          <w:tcPr>
            <w:tcW w:w="604" w:type="pct"/>
            <w:tcBorders>
              <w:top w:val="nil"/>
              <w:left w:val="nil"/>
              <w:bottom w:val="nil"/>
              <w:right w:val="nil"/>
            </w:tcBorders>
            <w:shd w:val="clear" w:color="auto" w:fill="auto"/>
            <w:noWrap/>
            <w:vAlign w:val="center"/>
          </w:tcPr>
          <w:p w14:paraId="4B6D0B68" w14:textId="77777777" w:rsidR="00976097" w:rsidRPr="00DE058F" w:rsidRDefault="00976097" w:rsidP="00953528">
            <w:pPr>
              <w:jc w:val="center"/>
              <w:rPr>
                <w:color w:val="002060"/>
                <w:sz w:val="18"/>
                <w:lang w:val="sr-Cyrl-CS"/>
              </w:rPr>
            </w:pPr>
            <w:r w:rsidRPr="00DE058F">
              <w:rPr>
                <w:color w:val="002060"/>
                <w:sz w:val="18"/>
                <w:lang w:val="sr-Cyrl-CS"/>
              </w:rPr>
              <w:t>9,6</w:t>
            </w:r>
          </w:p>
        </w:tc>
        <w:tc>
          <w:tcPr>
            <w:tcW w:w="603" w:type="pct"/>
            <w:tcBorders>
              <w:top w:val="nil"/>
              <w:left w:val="nil"/>
              <w:bottom w:val="nil"/>
              <w:right w:val="nil"/>
            </w:tcBorders>
            <w:shd w:val="clear" w:color="auto" w:fill="auto"/>
            <w:noWrap/>
            <w:vAlign w:val="center"/>
          </w:tcPr>
          <w:p w14:paraId="315B7D02" w14:textId="77777777" w:rsidR="00976097" w:rsidRPr="00DE058F" w:rsidRDefault="00976097" w:rsidP="00953528">
            <w:pPr>
              <w:jc w:val="center"/>
              <w:rPr>
                <w:color w:val="002060"/>
                <w:sz w:val="18"/>
                <w:lang w:val="sr-Cyrl-CS"/>
              </w:rPr>
            </w:pPr>
            <w:r w:rsidRPr="00DE058F">
              <w:rPr>
                <w:color w:val="002060"/>
                <w:sz w:val="18"/>
                <w:lang w:val="sr-Cyrl-CS"/>
              </w:rPr>
              <w:t>10,2</w:t>
            </w:r>
          </w:p>
        </w:tc>
        <w:tc>
          <w:tcPr>
            <w:tcW w:w="600" w:type="pct"/>
            <w:tcBorders>
              <w:top w:val="nil"/>
              <w:left w:val="nil"/>
              <w:bottom w:val="nil"/>
              <w:right w:val="nil"/>
            </w:tcBorders>
            <w:shd w:val="clear" w:color="auto" w:fill="auto"/>
            <w:noWrap/>
            <w:vAlign w:val="center"/>
          </w:tcPr>
          <w:p w14:paraId="1DD7829B" w14:textId="77777777" w:rsidR="00976097" w:rsidRPr="00DE058F" w:rsidRDefault="00976097" w:rsidP="00953528">
            <w:pPr>
              <w:jc w:val="center"/>
              <w:rPr>
                <w:color w:val="002060"/>
                <w:sz w:val="18"/>
                <w:lang w:val="sr-Cyrl-CS"/>
              </w:rPr>
            </w:pPr>
            <w:r w:rsidRPr="00DE058F">
              <w:rPr>
                <w:color w:val="002060"/>
                <w:sz w:val="18"/>
                <w:lang w:val="sr-Cyrl-CS"/>
              </w:rPr>
              <w:t>10,8</w:t>
            </w:r>
          </w:p>
        </w:tc>
      </w:tr>
      <w:tr w:rsidR="00976097" w:rsidRPr="00DE058F" w14:paraId="19D4D79B" w14:textId="77777777" w:rsidTr="00953528">
        <w:trPr>
          <w:trHeight w:val="281"/>
          <w:jc w:val="center"/>
        </w:trPr>
        <w:tc>
          <w:tcPr>
            <w:tcW w:w="2590" w:type="pct"/>
            <w:noWrap/>
            <w:vAlign w:val="center"/>
          </w:tcPr>
          <w:p w14:paraId="55ABC3A3"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bCs/>
                <w:color w:val="002060"/>
                <w:sz w:val="18"/>
                <w:szCs w:val="18"/>
                <w:lang w:val="sr-Cyrl-CS"/>
              </w:rPr>
              <w:t>Увоз робе и услуга</w:t>
            </w:r>
          </w:p>
        </w:tc>
        <w:tc>
          <w:tcPr>
            <w:tcW w:w="603" w:type="pct"/>
            <w:tcBorders>
              <w:top w:val="nil"/>
              <w:left w:val="nil"/>
              <w:bottom w:val="nil"/>
              <w:right w:val="nil"/>
            </w:tcBorders>
            <w:shd w:val="clear" w:color="auto" w:fill="auto"/>
            <w:noWrap/>
            <w:vAlign w:val="center"/>
          </w:tcPr>
          <w:p w14:paraId="397D1E5B" w14:textId="77777777" w:rsidR="00976097" w:rsidRPr="00DE058F" w:rsidRDefault="00976097" w:rsidP="00953528">
            <w:pPr>
              <w:jc w:val="center"/>
              <w:rPr>
                <w:color w:val="002060"/>
                <w:sz w:val="18"/>
                <w:lang w:val="sr-Cyrl-CS"/>
              </w:rPr>
            </w:pPr>
            <w:r w:rsidRPr="00DE058F">
              <w:rPr>
                <w:color w:val="002060"/>
                <w:sz w:val="18"/>
                <w:lang w:val="sr-Cyrl-CS"/>
              </w:rPr>
              <w:t>8,6</w:t>
            </w:r>
          </w:p>
        </w:tc>
        <w:tc>
          <w:tcPr>
            <w:tcW w:w="604" w:type="pct"/>
            <w:tcBorders>
              <w:top w:val="nil"/>
              <w:left w:val="nil"/>
              <w:bottom w:val="nil"/>
              <w:right w:val="nil"/>
            </w:tcBorders>
            <w:shd w:val="clear" w:color="auto" w:fill="auto"/>
            <w:noWrap/>
            <w:vAlign w:val="center"/>
          </w:tcPr>
          <w:p w14:paraId="1002503E" w14:textId="77777777" w:rsidR="00976097" w:rsidRPr="00DE058F" w:rsidRDefault="00976097" w:rsidP="00953528">
            <w:pPr>
              <w:jc w:val="center"/>
              <w:rPr>
                <w:color w:val="002060"/>
                <w:sz w:val="18"/>
                <w:lang w:val="sr-Cyrl-CS"/>
              </w:rPr>
            </w:pPr>
            <w:r w:rsidRPr="00DE058F">
              <w:rPr>
                <w:color w:val="002060"/>
                <w:sz w:val="18"/>
                <w:lang w:val="sr-Cyrl-CS"/>
              </w:rPr>
              <w:t>8,0</w:t>
            </w:r>
          </w:p>
        </w:tc>
        <w:tc>
          <w:tcPr>
            <w:tcW w:w="603" w:type="pct"/>
            <w:tcBorders>
              <w:top w:val="nil"/>
              <w:left w:val="nil"/>
              <w:bottom w:val="nil"/>
              <w:right w:val="nil"/>
            </w:tcBorders>
            <w:shd w:val="clear" w:color="auto" w:fill="auto"/>
            <w:noWrap/>
            <w:vAlign w:val="center"/>
          </w:tcPr>
          <w:p w14:paraId="43CD236E" w14:textId="77777777" w:rsidR="00976097" w:rsidRPr="00DE058F" w:rsidRDefault="00976097" w:rsidP="00953528">
            <w:pPr>
              <w:jc w:val="center"/>
              <w:rPr>
                <w:color w:val="002060"/>
                <w:sz w:val="18"/>
                <w:lang w:val="sr-Cyrl-CS"/>
              </w:rPr>
            </w:pPr>
            <w:r w:rsidRPr="00DE058F">
              <w:rPr>
                <w:color w:val="002060"/>
                <w:sz w:val="18"/>
                <w:lang w:val="sr-Cyrl-CS"/>
              </w:rPr>
              <w:t>8,4</w:t>
            </w:r>
          </w:p>
        </w:tc>
        <w:tc>
          <w:tcPr>
            <w:tcW w:w="600" w:type="pct"/>
            <w:tcBorders>
              <w:top w:val="nil"/>
              <w:left w:val="nil"/>
              <w:bottom w:val="nil"/>
              <w:right w:val="nil"/>
            </w:tcBorders>
            <w:shd w:val="clear" w:color="auto" w:fill="auto"/>
            <w:noWrap/>
            <w:vAlign w:val="center"/>
          </w:tcPr>
          <w:p w14:paraId="2FD502B0" w14:textId="77777777" w:rsidR="00976097" w:rsidRPr="00DE058F" w:rsidRDefault="00976097" w:rsidP="00953528">
            <w:pPr>
              <w:jc w:val="center"/>
              <w:rPr>
                <w:color w:val="002060"/>
                <w:sz w:val="18"/>
                <w:lang w:val="sr-Cyrl-CS"/>
              </w:rPr>
            </w:pPr>
            <w:r w:rsidRPr="00DE058F">
              <w:rPr>
                <w:color w:val="002060"/>
                <w:sz w:val="18"/>
                <w:lang w:val="sr-Cyrl-CS"/>
              </w:rPr>
              <w:t>8,9</w:t>
            </w:r>
          </w:p>
        </w:tc>
      </w:tr>
      <w:tr w:rsidR="00976097" w:rsidRPr="00DE058F" w14:paraId="2B994C9B" w14:textId="77777777" w:rsidTr="00953528">
        <w:trPr>
          <w:trHeight w:val="281"/>
          <w:jc w:val="center"/>
        </w:trPr>
        <w:tc>
          <w:tcPr>
            <w:tcW w:w="2590" w:type="pct"/>
            <w:shd w:val="clear" w:color="auto" w:fill="E7E6E6" w:themeFill="background2"/>
            <w:noWrap/>
            <w:vAlign w:val="center"/>
            <w:hideMark/>
          </w:tcPr>
          <w:p w14:paraId="15601B98" w14:textId="77777777" w:rsidR="00976097" w:rsidRPr="00DE058F" w:rsidRDefault="00976097" w:rsidP="00953528">
            <w:pPr>
              <w:jc w:val="left"/>
              <w:rPr>
                <w:rFonts w:eastAsia="Calibri" w:cstheme="minorHAnsi"/>
                <w:bCs/>
                <w:iCs/>
                <w:color w:val="002060"/>
                <w:sz w:val="18"/>
                <w:szCs w:val="18"/>
                <w:lang w:val="sr-Cyrl-CS"/>
              </w:rPr>
            </w:pPr>
            <w:r w:rsidRPr="00DE058F">
              <w:rPr>
                <w:rFonts w:eastAsia="Calibri" w:cstheme="minorHAnsi"/>
                <w:iCs/>
                <w:color w:val="002060"/>
                <w:sz w:val="18"/>
                <w:szCs w:val="18"/>
                <w:lang w:val="sr-Cyrl-CS"/>
              </w:rPr>
              <w:t>Допринос расту БДП</w:t>
            </w:r>
            <w:r w:rsidRPr="00DE058F">
              <w:rPr>
                <w:rFonts w:eastAsia="Calibri" w:cstheme="minorHAnsi"/>
                <w:bCs/>
                <w:iCs/>
                <w:color w:val="002060"/>
                <w:sz w:val="18"/>
                <w:szCs w:val="18"/>
                <w:lang w:val="sr-Cyrl-CS"/>
              </w:rPr>
              <w:t>, процентни поени</w:t>
            </w:r>
          </w:p>
        </w:tc>
        <w:tc>
          <w:tcPr>
            <w:tcW w:w="603" w:type="pct"/>
            <w:shd w:val="clear" w:color="auto" w:fill="E7E6E6" w:themeFill="background2"/>
            <w:noWrap/>
            <w:vAlign w:val="center"/>
          </w:tcPr>
          <w:p w14:paraId="230F583C" w14:textId="77777777" w:rsidR="00976097" w:rsidRPr="00DE058F" w:rsidRDefault="00976097" w:rsidP="00953528">
            <w:pPr>
              <w:jc w:val="center"/>
              <w:rPr>
                <w:rFonts w:eastAsia="Calibri" w:cstheme="minorHAnsi"/>
                <w:iCs/>
                <w:color w:val="002060"/>
                <w:sz w:val="18"/>
                <w:szCs w:val="18"/>
                <w:lang w:val="sr-Cyrl-CS"/>
              </w:rPr>
            </w:pPr>
          </w:p>
        </w:tc>
        <w:tc>
          <w:tcPr>
            <w:tcW w:w="604" w:type="pct"/>
            <w:shd w:val="clear" w:color="auto" w:fill="E7E6E6" w:themeFill="background2"/>
            <w:noWrap/>
            <w:vAlign w:val="center"/>
          </w:tcPr>
          <w:p w14:paraId="1EB8AA40" w14:textId="77777777" w:rsidR="00976097" w:rsidRPr="00DE058F" w:rsidRDefault="00976097" w:rsidP="00953528">
            <w:pPr>
              <w:jc w:val="center"/>
              <w:rPr>
                <w:rFonts w:eastAsia="Calibri" w:cstheme="minorHAnsi"/>
                <w:color w:val="002060"/>
                <w:sz w:val="18"/>
                <w:szCs w:val="18"/>
                <w:lang w:val="sr-Cyrl-CS"/>
              </w:rPr>
            </w:pPr>
          </w:p>
        </w:tc>
        <w:tc>
          <w:tcPr>
            <w:tcW w:w="603" w:type="pct"/>
            <w:shd w:val="clear" w:color="auto" w:fill="E7E6E6" w:themeFill="background2"/>
            <w:noWrap/>
            <w:vAlign w:val="center"/>
          </w:tcPr>
          <w:p w14:paraId="2D68126C" w14:textId="77777777" w:rsidR="00976097" w:rsidRPr="00DE058F" w:rsidRDefault="00976097" w:rsidP="00953528">
            <w:pPr>
              <w:jc w:val="center"/>
              <w:rPr>
                <w:rFonts w:eastAsia="Calibri" w:cstheme="minorHAnsi"/>
                <w:color w:val="002060"/>
                <w:sz w:val="18"/>
                <w:szCs w:val="18"/>
                <w:lang w:val="sr-Cyrl-CS"/>
              </w:rPr>
            </w:pPr>
          </w:p>
        </w:tc>
        <w:tc>
          <w:tcPr>
            <w:tcW w:w="600" w:type="pct"/>
            <w:shd w:val="clear" w:color="auto" w:fill="E7E6E6" w:themeFill="background2"/>
            <w:noWrap/>
            <w:vAlign w:val="center"/>
          </w:tcPr>
          <w:p w14:paraId="0C97836B" w14:textId="77777777" w:rsidR="00976097" w:rsidRPr="00DE058F" w:rsidRDefault="00976097" w:rsidP="00953528">
            <w:pPr>
              <w:jc w:val="center"/>
              <w:rPr>
                <w:rFonts w:eastAsia="Calibri" w:cstheme="minorHAnsi"/>
                <w:color w:val="002060"/>
                <w:sz w:val="18"/>
                <w:szCs w:val="18"/>
                <w:lang w:val="sr-Cyrl-CS"/>
              </w:rPr>
            </w:pPr>
          </w:p>
        </w:tc>
      </w:tr>
      <w:tr w:rsidR="00976097" w:rsidRPr="00DE058F" w14:paraId="5202C1D1" w14:textId="77777777" w:rsidTr="00953528">
        <w:trPr>
          <w:trHeight w:val="281"/>
          <w:jc w:val="center"/>
        </w:trPr>
        <w:tc>
          <w:tcPr>
            <w:tcW w:w="2590" w:type="pct"/>
            <w:noWrap/>
            <w:vAlign w:val="center"/>
            <w:hideMark/>
          </w:tcPr>
          <w:p w14:paraId="331C9AA5"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Домаћа тражња</w:t>
            </w:r>
          </w:p>
        </w:tc>
        <w:tc>
          <w:tcPr>
            <w:tcW w:w="603" w:type="pct"/>
            <w:tcBorders>
              <w:top w:val="nil"/>
              <w:left w:val="nil"/>
              <w:bottom w:val="nil"/>
              <w:right w:val="nil"/>
            </w:tcBorders>
            <w:shd w:val="clear" w:color="auto" w:fill="auto"/>
            <w:noWrap/>
            <w:vAlign w:val="center"/>
          </w:tcPr>
          <w:p w14:paraId="6B657897" w14:textId="77777777" w:rsidR="00976097" w:rsidRPr="00DE058F" w:rsidRDefault="00976097" w:rsidP="00953528">
            <w:pPr>
              <w:jc w:val="center"/>
              <w:rPr>
                <w:color w:val="002060"/>
                <w:sz w:val="18"/>
                <w:lang w:val="sr-Cyrl-CS"/>
              </w:rPr>
            </w:pPr>
            <w:r w:rsidRPr="00DE058F">
              <w:rPr>
                <w:color w:val="002060"/>
                <w:sz w:val="18"/>
                <w:lang w:val="sr-Cyrl-CS"/>
              </w:rPr>
              <w:t>4,3</w:t>
            </w:r>
          </w:p>
        </w:tc>
        <w:tc>
          <w:tcPr>
            <w:tcW w:w="604" w:type="pct"/>
            <w:tcBorders>
              <w:top w:val="nil"/>
              <w:left w:val="nil"/>
              <w:bottom w:val="nil"/>
              <w:right w:val="nil"/>
            </w:tcBorders>
            <w:shd w:val="clear" w:color="auto" w:fill="auto"/>
            <w:noWrap/>
            <w:vAlign w:val="center"/>
          </w:tcPr>
          <w:p w14:paraId="2ED03217" w14:textId="77777777" w:rsidR="00976097" w:rsidRPr="00DE058F" w:rsidRDefault="00976097" w:rsidP="00953528">
            <w:pPr>
              <w:jc w:val="center"/>
              <w:rPr>
                <w:color w:val="002060"/>
                <w:sz w:val="18"/>
                <w:lang w:val="sr-Cyrl-CS"/>
              </w:rPr>
            </w:pPr>
            <w:r w:rsidRPr="00DE058F">
              <w:rPr>
                <w:color w:val="002060"/>
                <w:sz w:val="18"/>
                <w:lang w:val="sr-Cyrl-CS"/>
              </w:rPr>
              <w:t>3,9</w:t>
            </w:r>
          </w:p>
        </w:tc>
        <w:tc>
          <w:tcPr>
            <w:tcW w:w="603" w:type="pct"/>
            <w:tcBorders>
              <w:top w:val="nil"/>
              <w:left w:val="nil"/>
              <w:bottom w:val="nil"/>
              <w:right w:val="nil"/>
            </w:tcBorders>
            <w:shd w:val="clear" w:color="auto" w:fill="auto"/>
            <w:noWrap/>
            <w:vAlign w:val="center"/>
          </w:tcPr>
          <w:p w14:paraId="041E724D" w14:textId="77777777" w:rsidR="00976097" w:rsidRPr="00DE058F" w:rsidRDefault="00976097" w:rsidP="00953528">
            <w:pPr>
              <w:jc w:val="center"/>
              <w:rPr>
                <w:color w:val="002060"/>
                <w:sz w:val="18"/>
                <w:lang w:val="sr-Cyrl-CS"/>
              </w:rPr>
            </w:pPr>
            <w:r w:rsidRPr="00DE058F">
              <w:rPr>
                <w:color w:val="002060"/>
                <w:sz w:val="18"/>
                <w:lang w:val="sr-Cyrl-CS"/>
              </w:rPr>
              <w:t>3,8</w:t>
            </w:r>
          </w:p>
        </w:tc>
        <w:tc>
          <w:tcPr>
            <w:tcW w:w="600" w:type="pct"/>
            <w:tcBorders>
              <w:top w:val="nil"/>
              <w:left w:val="nil"/>
              <w:bottom w:val="nil"/>
              <w:right w:val="nil"/>
            </w:tcBorders>
            <w:shd w:val="clear" w:color="auto" w:fill="auto"/>
            <w:noWrap/>
            <w:vAlign w:val="center"/>
          </w:tcPr>
          <w:p w14:paraId="1F13B490" w14:textId="77777777" w:rsidR="00976097" w:rsidRPr="00DE058F" w:rsidRDefault="00976097" w:rsidP="00953528">
            <w:pPr>
              <w:jc w:val="center"/>
              <w:rPr>
                <w:color w:val="002060"/>
                <w:sz w:val="18"/>
                <w:lang w:val="sr-Cyrl-CS"/>
              </w:rPr>
            </w:pPr>
            <w:r w:rsidRPr="00DE058F">
              <w:rPr>
                <w:color w:val="002060"/>
                <w:sz w:val="18"/>
                <w:lang w:val="sr-Cyrl-CS"/>
              </w:rPr>
              <w:t>4,2</w:t>
            </w:r>
          </w:p>
        </w:tc>
      </w:tr>
      <w:tr w:rsidR="00976097" w:rsidRPr="00DE058F" w14:paraId="47FD702A" w14:textId="77777777" w:rsidTr="00953528">
        <w:trPr>
          <w:trHeight w:val="281"/>
          <w:jc w:val="center"/>
        </w:trPr>
        <w:tc>
          <w:tcPr>
            <w:tcW w:w="2590" w:type="pct"/>
            <w:noWrap/>
            <w:vAlign w:val="center"/>
            <w:hideMark/>
          </w:tcPr>
          <w:p w14:paraId="4ED25008"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Лична потрошња</w:t>
            </w:r>
          </w:p>
        </w:tc>
        <w:tc>
          <w:tcPr>
            <w:tcW w:w="603" w:type="pct"/>
            <w:tcBorders>
              <w:top w:val="nil"/>
              <w:left w:val="nil"/>
              <w:bottom w:val="nil"/>
              <w:right w:val="nil"/>
            </w:tcBorders>
            <w:shd w:val="clear" w:color="auto" w:fill="auto"/>
            <w:noWrap/>
            <w:vAlign w:val="center"/>
          </w:tcPr>
          <w:p w14:paraId="75552C54" w14:textId="77777777" w:rsidR="00976097" w:rsidRPr="00DE058F" w:rsidRDefault="00976097" w:rsidP="00953528">
            <w:pPr>
              <w:jc w:val="center"/>
              <w:rPr>
                <w:color w:val="002060"/>
                <w:sz w:val="18"/>
                <w:lang w:val="sr-Cyrl-CS"/>
              </w:rPr>
            </w:pPr>
            <w:r w:rsidRPr="00DE058F">
              <w:rPr>
                <w:color w:val="002060"/>
                <w:sz w:val="18"/>
                <w:lang w:val="sr-Cyrl-CS"/>
              </w:rPr>
              <w:t>2,1</w:t>
            </w:r>
          </w:p>
        </w:tc>
        <w:tc>
          <w:tcPr>
            <w:tcW w:w="604" w:type="pct"/>
            <w:tcBorders>
              <w:top w:val="nil"/>
              <w:left w:val="nil"/>
              <w:bottom w:val="nil"/>
              <w:right w:val="nil"/>
            </w:tcBorders>
            <w:shd w:val="clear" w:color="auto" w:fill="auto"/>
            <w:noWrap/>
            <w:vAlign w:val="center"/>
          </w:tcPr>
          <w:p w14:paraId="5F928228" w14:textId="77777777" w:rsidR="00976097" w:rsidRPr="00DE058F" w:rsidRDefault="00976097" w:rsidP="00953528">
            <w:pPr>
              <w:jc w:val="center"/>
              <w:rPr>
                <w:color w:val="002060"/>
                <w:sz w:val="18"/>
                <w:lang w:val="sr-Cyrl-CS"/>
              </w:rPr>
            </w:pPr>
            <w:r w:rsidRPr="00DE058F">
              <w:rPr>
                <w:color w:val="002060"/>
                <w:sz w:val="18"/>
                <w:lang w:val="sr-Cyrl-CS"/>
              </w:rPr>
              <w:t>2,6</w:t>
            </w:r>
          </w:p>
        </w:tc>
        <w:tc>
          <w:tcPr>
            <w:tcW w:w="603" w:type="pct"/>
            <w:tcBorders>
              <w:top w:val="nil"/>
              <w:left w:val="nil"/>
              <w:bottom w:val="nil"/>
              <w:right w:val="nil"/>
            </w:tcBorders>
            <w:shd w:val="clear" w:color="auto" w:fill="auto"/>
            <w:noWrap/>
            <w:vAlign w:val="center"/>
          </w:tcPr>
          <w:p w14:paraId="12982B40" w14:textId="77777777" w:rsidR="00976097" w:rsidRPr="00DE058F" w:rsidRDefault="00976097" w:rsidP="00953528">
            <w:pPr>
              <w:jc w:val="center"/>
              <w:rPr>
                <w:color w:val="002060"/>
                <w:sz w:val="18"/>
                <w:lang w:val="sr-Cyrl-CS"/>
              </w:rPr>
            </w:pPr>
            <w:r w:rsidRPr="00DE058F">
              <w:rPr>
                <w:color w:val="002060"/>
                <w:sz w:val="18"/>
                <w:lang w:val="sr-Cyrl-CS"/>
              </w:rPr>
              <w:t>2,1</w:t>
            </w:r>
          </w:p>
        </w:tc>
        <w:tc>
          <w:tcPr>
            <w:tcW w:w="600" w:type="pct"/>
            <w:tcBorders>
              <w:top w:val="nil"/>
              <w:left w:val="nil"/>
              <w:bottom w:val="nil"/>
              <w:right w:val="nil"/>
            </w:tcBorders>
            <w:shd w:val="clear" w:color="auto" w:fill="auto"/>
            <w:noWrap/>
            <w:vAlign w:val="center"/>
          </w:tcPr>
          <w:p w14:paraId="72BFED3F" w14:textId="77777777" w:rsidR="00976097" w:rsidRPr="00DE058F" w:rsidRDefault="00976097" w:rsidP="00953528">
            <w:pPr>
              <w:jc w:val="center"/>
              <w:rPr>
                <w:color w:val="002060"/>
                <w:sz w:val="18"/>
                <w:lang w:val="sr-Cyrl-CS"/>
              </w:rPr>
            </w:pPr>
            <w:r w:rsidRPr="00DE058F">
              <w:rPr>
                <w:color w:val="002060"/>
                <w:sz w:val="18"/>
                <w:lang w:val="sr-Cyrl-CS"/>
              </w:rPr>
              <w:t>2,1</w:t>
            </w:r>
          </w:p>
        </w:tc>
      </w:tr>
      <w:tr w:rsidR="00976097" w:rsidRPr="00DE058F" w14:paraId="225C2C00" w14:textId="77777777" w:rsidTr="00953528">
        <w:trPr>
          <w:trHeight w:val="281"/>
          <w:jc w:val="center"/>
        </w:trPr>
        <w:tc>
          <w:tcPr>
            <w:tcW w:w="2590" w:type="pct"/>
            <w:noWrap/>
            <w:vAlign w:val="center"/>
            <w:hideMark/>
          </w:tcPr>
          <w:p w14:paraId="60C4D2D9"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Државна потрошња</w:t>
            </w:r>
          </w:p>
        </w:tc>
        <w:tc>
          <w:tcPr>
            <w:tcW w:w="603" w:type="pct"/>
            <w:tcBorders>
              <w:top w:val="nil"/>
              <w:left w:val="nil"/>
              <w:bottom w:val="nil"/>
              <w:right w:val="nil"/>
            </w:tcBorders>
            <w:shd w:val="clear" w:color="auto" w:fill="auto"/>
            <w:noWrap/>
            <w:vAlign w:val="center"/>
          </w:tcPr>
          <w:p w14:paraId="79D9B5A1" w14:textId="77777777" w:rsidR="00976097" w:rsidRPr="00DE058F" w:rsidRDefault="00976097" w:rsidP="00953528">
            <w:pPr>
              <w:jc w:val="center"/>
              <w:rPr>
                <w:color w:val="002060"/>
                <w:sz w:val="18"/>
                <w:lang w:val="sr-Cyrl-CS"/>
              </w:rPr>
            </w:pPr>
            <w:r w:rsidRPr="00DE058F">
              <w:rPr>
                <w:color w:val="002060"/>
                <w:sz w:val="18"/>
                <w:lang w:val="sr-Cyrl-CS"/>
              </w:rPr>
              <w:t>-0,1</w:t>
            </w:r>
          </w:p>
        </w:tc>
        <w:tc>
          <w:tcPr>
            <w:tcW w:w="604" w:type="pct"/>
            <w:tcBorders>
              <w:top w:val="nil"/>
              <w:left w:val="nil"/>
              <w:bottom w:val="nil"/>
              <w:right w:val="nil"/>
            </w:tcBorders>
            <w:shd w:val="clear" w:color="auto" w:fill="auto"/>
            <w:noWrap/>
            <w:vAlign w:val="center"/>
          </w:tcPr>
          <w:p w14:paraId="3019E9C9" w14:textId="77777777" w:rsidR="00976097" w:rsidRPr="00DE058F" w:rsidRDefault="00976097" w:rsidP="00953528">
            <w:pPr>
              <w:jc w:val="center"/>
              <w:rPr>
                <w:color w:val="002060"/>
                <w:sz w:val="18"/>
                <w:lang w:val="sr-Cyrl-CS"/>
              </w:rPr>
            </w:pPr>
            <w:r w:rsidRPr="00DE058F">
              <w:rPr>
                <w:color w:val="002060"/>
                <w:sz w:val="18"/>
                <w:lang w:val="sr-Cyrl-CS"/>
              </w:rPr>
              <w:t>0,1</w:t>
            </w:r>
          </w:p>
        </w:tc>
        <w:tc>
          <w:tcPr>
            <w:tcW w:w="603" w:type="pct"/>
            <w:tcBorders>
              <w:top w:val="nil"/>
              <w:left w:val="nil"/>
              <w:bottom w:val="nil"/>
              <w:right w:val="nil"/>
            </w:tcBorders>
            <w:shd w:val="clear" w:color="auto" w:fill="auto"/>
            <w:noWrap/>
            <w:vAlign w:val="center"/>
          </w:tcPr>
          <w:p w14:paraId="6D2A8714" w14:textId="77777777" w:rsidR="00976097" w:rsidRPr="00DE058F" w:rsidRDefault="00976097" w:rsidP="00953528">
            <w:pPr>
              <w:jc w:val="center"/>
              <w:rPr>
                <w:color w:val="002060"/>
                <w:sz w:val="18"/>
                <w:lang w:val="sr-Cyrl-CS"/>
              </w:rPr>
            </w:pPr>
            <w:r w:rsidRPr="00DE058F">
              <w:rPr>
                <w:color w:val="002060"/>
                <w:sz w:val="18"/>
                <w:lang w:val="sr-Cyrl-CS"/>
              </w:rPr>
              <w:t>0,2</w:t>
            </w:r>
          </w:p>
        </w:tc>
        <w:tc>
          <w:tcPr>
            <w:tcW w:w="600" w:type="pct"/>
            <w:tcBorders>
              <w:top w:val="nil"/>
              <w:left w:val="nil"/>
              <w:bottom w:val="nil"/>
              <w:right w:val="nil"/>
            </w:tcBorders>
            <w:shd w:val="clear" w:color="auto" w:fill="auto"/>
            <w:noWrap/>
            <w:vAlign w:val="center"/>
          </w:tcPr>
          <w:p w14:paraId="138CF9E9" w14:textId="77777777" w:rsidR="00976097" w:rsidRPr="00DE058F" w:rsidRDefault="00976097" w:rsidP="00953528">
            <w:pPr>
              <w:jc w:val="center"/>
              <w:rPr>
                <w:color w:val="002060"/>
                <w:sz w:val="18"/>
                <w:lang w:val="sr-Cyrl-CS"/>
              </w:rPr>
            </w:pPr>
            <w:r w:rsidRPr="00DE058F">
              <w:rPr>
                <w:color w:val="002060"/>
                <w:sz w:val="18"/>
                <w:lang w:val="sr-Cyrl-CS"/>
              </w:rPr>
              <w:t>0,2</w:t>
            </w:r>
          </w:p>
        </w:tc>
      </w:tr>
      <w:tr w:rsidR="00976097" w:rsidRPr="00DE058F" w14:paraId="1861296D" w14:textId="77777777" w:rsidTr="00953528">
        <w:trPr>
          <w:trHeight w:val="281"/>
          <w:jc w:val="center"/>
        </w:trPr>
        <w:tc>
          <w:tcPr>
            <w:tcW w:w="2590" w:type="pct"/>
            <w:vAlign w:val="center"/>
          </w:tcPr>
          <w:p w14:paraId="4510B2FF"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Инвестициона потрошња</w:t>
            </w:r>
          </w:p>
        </w:tc>
        <w:tc>
          <w:tcPr>
            <w:tcW w:w="603" w:type="pct"/>
            <w:tcBorders>
              <w:top w:val="nil"/>
              <w:left w:val="nil"/>
              <w:bottom w:val="nil"/>
              <w:right w:val="nil"/>
            </w:tcBorders>
            <w:shd w:val="clear" w:color="auto" w:fill="auto"/>
            <w:noWrap/>
            <w:vAlign w:val="center"/>
          </w:tcPr>
          <w:p w14:paraId="2CAFC6EA" w14:textId="77777777" w:rsidR="00976097" w:rsidRPr="00DE058F" w:rsidRDefault="00976097" w:rsidP="00953528">
            <w:pPr>
              <w:jc w:val="center"/>
              <w:rPr>
                <w:color w:val="002060"/>
                <w:sz w:val="18"/>
                <w:lang w:val="sr-Cyrl-CS"/>
              </w:rPr>
            </w:pPr>
            <w:r w:rsidRPr="00DE058F">
              <w:rPr>
                <w:color w:val="002060"/>
                <w:sz w:val="18"/>
                <w:lang w:val="sr-Cyrl-CS"/>
              </w:rPr>
              <w:t>0,7</w:t>
            </w:r>
          </w:p>
        </w:tc>
        <w:tc>
          <w:tcPr>
            <w:tcW w:w="604" w:type="pct"/>
            <w:tcBorders>
              <w:top w:val="nil"/>
              <w:left w:val="nil"/>
              <w:bottom w:val="nil"/>
              <w:right w:val="nil"/>
            </w:tcBorders>
            <w:shd w:val="clear" w:color="auto" w:fill="auto"/>
            <w:noWrap/>
            <w:vAlign w:val="center"/>
          </w:tcPr>
          <w:p w14:paraId="6E6ED686" w14:textId="77777777" w:rsidR="00976097" w:rsidRPr="00DE058F" w:rsidRDefault="00976097" w:rsidP="00953528">
            <w:pPr>
              <w:jc w:val="center"/>
              <w:rPr>
                <w:color w:val="002060"/>
                <w:sz w:val="18"/>
                <w:lang w:val="sr-Cyrl-CS"/>
              </w:rPr>
            </w:pPr>
            <w:r w:rsidRPr="00DE058F">
              <w:rPr>
                <w:color w:val="002060"/>
                <w:sz w:val="18"/>
                <w:lang w:val="sr-Cyrl-CS"/>
              </w:rPr>
              <w:t>1,4</w:t>
            </w:r>
          </w:p>
        </w:tc>
        <w:tc>
          <w:tcPr>
            <w:tcW w:w="603" w:type="pct"/>
            <w:tcBorders>
              <w:top w:val="nil"/>
              <w:left w:val="nil"/>
              <w:bottom w:val="nil"/>
              <w:right w:val="nil"/>
            </w:tcBorders>
            <w:shd w:val="clear" w:color="auto" w:fill="auto"/>
            <w:noWrap/>
            <w:vAlign w:val="center"/>
          </w:tcPr>
          <w:p w14:paraId="2D28B284" w14:textId="77777777" w:rsidR="00976097" w:rsidRPr="00DE058F" w:rsidRDefault="00976097" w:rsidP="00953528">
            <w:pPr>
              <w:jc w:val="center"/>
              <w:rPr>
                <w:color w:val="002060"/>
                <w:sz w:val="18"/>
                <w:lang w:val="sr-Cyrl-CS"/>
              </w:rPr>
            </w:pPr>
            <w:r w:rsidRPr="00DE058F">
              <w:rPr>
                <w:color w:val="002060"/>
                <w:sz w:val="18"/>
                <w:lang w:val="sr-Cyrl-CS"/>
              </w:rPr>
              <w:t>1,6</w:t>
            </w:r>
          </w:p>
        </w:tc>
        <w:tc>
          <w:tcPr>
            <w:tcW w:w="600" w:type="pct"/>
            <w:tcBorders>
              <w:top w:val="nil"/>
              <w:left w:val="nil"/>
              <w:bottom w:val="nil"/>
              <w:right w:val="nil"/>
            </w:tcBorders>
            <w:shd w:val="clear" w:color="auto" w:fill="auto"/>
            <w:noWrap/>
            <w:vAlign w:val="center"/>
          </w:tcPr>
          <w:p w14:paraId="0D5531B8" w14:textId="77777777" w:rsidR="00976097" w:rsidRPr="00DE058F" w:rsidRDefault="00976097" w:rsidP="00953528">
            <w:pPr>
              <w:jc w:val="center"/>
              <w:rPr>
                <w:color w:val="002060"/>
                <w:sz w:val="18"/>
                <w:lang w:val="sr-Cyrl-CS"/>
              </w:rPr>
            </w:pPr>
            <w:r w:rsidRPr="00DE058F">
              <w:rPr>
                <w:color w:val="002060"/>
                <w:sz w:val="18"/>
                <w:lang w:val="sr-Cyrl-CS"/>
              </w:rPr>
              <w:t>1,9</w:t>
            </w:r>
          </w:p>
        </w:tc>
      </w:tr>
      <w:tr w:rsidR="00976097" w:rsidRPr="00DE058F" w14:paraId="2383F8E5" w14:textId="77777777" w:rsidTr="00953528">
        <w:trPr>
          <w:trHeight w:val="281"/>
          <w:jc w:val="center"/>
        </w:trPr>
        <w:tc>
          <w:tcPr>
            <w:tcW w:w="2590" w:type="pct"/>
            <w:vAlign w:val="center"/>
            <w:hideMark/>
          </w:tcPr>
          <w:p w14:paraId="627EFC4F"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Промена у залихама</w:t>
            </w:r>
          </w:p>
        </w:tc>
        <w:tc>
          <w:tcPr>
            <w:tcW w:w="603" w:type="pct"/>
            <w:tcBorders>
              <w:top w:val="nil"/>
              <w:left w:val="nil"/>
              <w:bottom w:val="nil"/>
              <w:right w:val="nil"/>
            </w:tcBorders>
            <w:shd w:val="clear" w:color="auto" w:fill="auto"/>
            <w:noWrap/>
            <w:vAlign w:val="center"/>
          </w:tcPr>
          <w:p w14:paraId="3CA24801" w14:textId="77777777" w:rsidR="00976097" w:rsidRPr="00DE058F" w:rsidRDefault="00976097" w:rsidP="00953528">
            <w:pPr>
              <w:jc w:val="center"/>
              <w:rPr>
                <w:color w:val="002060"/>
                <w:sz w:val="18"/>
                <w:lang w:val="sr-Cyrl-CS"/>
              </w:rPr>
            </w:pPr>
            <w:r w:rsidRPr="00DE058F">
              <w:rPr>
                <w:color w:val="002060"/>
                <w:sz w:val="18"/>
                <w:lang w:val="sr-Cyrl-CS"/>
              </w:rPr>
              <w:t>1,5</w:t>
            </w:r>
          </w:p>
        </w:tc>
        <w:tc>
          <w:tcPr>
            <w:tcW w:w="604" w:type="pct"/>
            <w:tcBorders>
              <w:top w:val="nil"/>
              <w:left w:val="nil"/>
              <w:bottom w:val="nil"/>
              <w:right w:val="nil"/>
            </w:tcBorders>
            <w:shd w:val="clear" w:color="auto" w:fill="auto"/>
            <w:noWrap/>
            <w:vAlign w:val="center"/>
          </w:tcPr>
          <w:p w14:paraId="38B11805" w14:textId="77777777" w:rsidR="00976097" w:rsidRPr="00DE058F" w:rsidRDefault="00976097" w:rsidP="00953528">
            <w:pPr>
              <w:jc w:val="center"/>
              <w:rPr>
                <w:color w:val="002060"/>
                <w:sz w:val="18"/>
                <w:lang w:val="sr-Cyrl-CS"/>
              </w:rPr>
            </w:pPr>
            <w:r w:rsidRPr="00DE058F">
              <w:rPr>
                <w:color w:val="002060"/>
                <w:sz w:val="18"/>
                <w:lang w:val="sr-Cyrl-CS"/>
              </w:rPr>
              <w:t>-0,3</w:t>
            </w:r>
          </w:p>
        </w:tc>
        <w:tc>
          <w:tcPr>
            <w:tcW w:w="603" w:type="pct"/>
            <w:tcBorders>
              <w:top w:val="nil"/>
              <w:left w:val="nil"/>
              <w:bottom w:val="nil"/>
              <w:right w:val="nil"/>
            </w:tcBorders>
            <w:shd w:val="clear" w:color="auto" w:fill="auto"/>
            <w:noWrap/>
            <w:vAlign w:val="center"/>
          </w:tcPr>
          <w:p w14:paraId="7CF3407E" w14:textId="77777777" w:rsidR="00976097" w:rsidRPr="00DE058F" w:rsidRDefault="00976097" w:rsidP="00953528">
            <w:pPr>
              <w:jc w:val="center"/>
              <w:rPr>
                <w:color w:val="002060"/>
                <w:sz w:val="18"/>
                <w:lang w:val="sr-Cyrl-CS"/>
              </w:rPr>
            </w:pPr>
            <w:r w:rsidRPr="00DE058F">
              <w:rPr>
                <w:color w:val="002060"/>
                <w:sz w:val="18"/>
                <w:lang w:val="sr-Cyrl-CS"/>
              </w:rPr>
              <w:t>0,0</w:t>
            </w:r>
          </w:p>
        </w:tc>
        <w:tc>
          <w:tcPr>
            <w:tcW w:w="600" w:type="pct"/>
            <w:tcBorders>
              <w:top w:val="nil"/>
              <w:left w:val="nil"/>
              <w:bottom w:val="nil"/>
              <w:right w:val="nil"/>
            </w:tcBorders>
            <w:shd w:val="clear" w:color="auto" w:fill="auto"/>
            <w:noWrap/>
            <w:vAlign w:val="center"/>
          </w:tcPr>
          <w:p w14:paraId="1AFE2952" w14:textId="77777777" w:rsidR="00976097" w:rsidRPr="00DE058F" w:rsidRDefault="00976097" w:rsidP="00953528">
            <w:pPr>
              <w:jc w:val="center"/>
              <w:rPr>
                <w:color w:val="002060"/>
                <w:sz w:val="18"/>
                <w:lang w:val="sr-Cyrl-CS"/>
              </w:rPr>
            </w:pPr>
            <w:r w:rsidRPr="00DE058F">
              <w:rPr>
                <w:color w:val="002060"/>
                <w:sz w:val="18"/>
                <w:lang w:val="sr-Cyrl-CS"/>
              </w:rPr>
              <w:t>0,0</w:t>
            </w:r>
          </w:p>
        </w:tc>
      </w:tr>
      <w:tr w:rsidR="00976097" w:rsidRPr="00DE058F" w14:paraId="3B5A0F88" w14:textId="77777777" w:rsidTr="00953528">
        <w:trPr>
          <w:trHeight w:val="281"/>
          <w:jc w:val="center"/>
        </w:trPr>
        <w:tc>
          <w:tcPr>
            <w:tcW w:w="2590" w:type="pct"/>
            <w:noWrap/>
            <w:vAlign w:val="center"/>
            <w:hideMark/>
          </w:tcPr>
          <w:p w14:paraId="18F03552"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Нето извоз робе и услуга</w:t>
            </w:r>
          </w:p>
        </w:tc>
        <w:tc>
          <w:tcPr>
            <w:tcW w:w="603" w:type="pct"/>
            <w:tcBorders>
              <w:top w:val="nil"/>
              <w:left w:val="nil"/>
              <w:bottom w:val="nil"/>
              <w:right w:val="nil"/>
            </w:tcBorders>
            <w:shd w:val="clear" w:color="auto" w:fill="auto"/>
            <w:noWrap/>
            <w:vAlign w:val="center"/>
          </w:tcPr>
          <w:p w14:paraId="523A533E" w14:textId="77777777" w:rsidR="00976097" w:rsidRPr="00DE058F" w:rsidRDefault="00976097" w:rsidP="00953528">
            <w:pPr>
              <w:jc w:val="center"/>
              <w:rPr>
                <w:color w:val="002060"/>
                <w:sz w:val="18"/>
                <w:lang w:val="sr-Cyrl-CS"/>
              </w:rPr>
            </w:pPr>
            <w:r w:rsidRPr="00DE058F">
              <w:rPr>
                <w:color w:val="002060"/>
                <w:sz w:val="18"/>
                <w:lang w:val="sr-Cyrl-CS"/>
              </w:rPr>
              <w:t>-0,8</w:t>
            </w:r>
          </w:p>
        </w:tc>
        <w:tc>
          <w:tcPr>
            <w:tcW w:w="604" w:type="pct"/>
            <w:tcBorders>
              <w:top w:val="nil"/>
              <w:left w:val="nil"/>
              <w:bottom w:val="nil"/>
              <w:right w:val="nil"/>
            </w:tcBorders>
            <w:shd w:val="clear" w:color="auto" w:fill="auto"/>
            <w:noWrap/>
            <w:vAlign w:val="center"/>
          </w:tcPr>
          <w:p w14:paraId="2298642A" w14:textId="77777777" w:rsidR="00976097" w:rsidRPr="00DE058F" w:rsidRDefault="00976097" w:rsidP="00953528">
            <w:pPr>
              <w:jc w:val="center"/>
              <w:rPr>
                <w:color w:val="002060"/>
                <w:sz w:val="18"/>
                <w:lang w:val="sr-Cyrl-CS"/>
              </w:rPr>
            </w:pPr>
            <w:r w:rsidRPr="00DE058F">
              <w:rPr>
                <w:color w:val="002060"/>
                <w:sz w:val="18"/>
                <w:lang w:val="sr-Cyrl-CS"/>
              </w:rPr>
              <w:t>0,0</w:t>
            </w:r>
          </w:p>
        </w:tc>
        <w:tc>
          <w:tcPr>
            <w:tcW w:w="603" w:type="pct"/>
            <w:tcBorders>
              <w:top w:val="nil"/>
              <w:left w:val="nil"/>
              <w:bottom w:val="nil"/>
              <w:right w:val="nil"/>
            </w:tcBorders>
            <w:shd w:val="clear" w:color="auto" w:fill="auto"/>
            <w:noWrap/>
            <w:vAlign w:val="center"/>
          </w:tcPr>
          <w:p w14:paraId="4B4775A6" w14:textId="77777777" w:rsidR="00976097" w:rsidRPr="00DE058F" w:rsidRDefault="00976097" w:rsidP="00953528">
            <w:pPr>
              <w:jc w:val="center"/>
              <w:rPr>
                <w:color w:val="002060"/>
                <w:sz w:val="18"/>
                <w:lang w:val="sr-Cyrl-CS"/>
              </w:rPr>
            </w:pPr>
            <w:r w:rsidRPr="00DE058F">
              <w:rPr>
                <w:color w:val="002060"/>
                <w:sz w:val="18"/>
                <w:lang w:val="sr-Cyrl-CS"/>
              </w:rPr>
              <w:t>0,2</w:t>
            </w:r>
          </w:p>
        </w:tc>
        <w:tc>
          <w:tcPr>
            <w:tcW w:w="600" w:type="pct"/>
            <w:tcBorders>
              <w:top w:val="nil"/>
              <w:left w:val="nil"/>
              <w:bottom w:val="nil"/>
              <w:right w:val="nil"/>
            </w:tcBorders>
            <w:shd w:val="clear" w:color="auto" w:fill="auto"/>
            <w:noWrap/>
            <w:vAlign w:val="center"/>
          </w:tcPr>
          <w:p w14:paraId="0F794BB5" w14:textId="77777777" w:rsidR="00976097" w:rsidRPr="00DE058F" w:rsidRDefault="00976097" w:rsidP="00953528">
            <w:pPr>
              <w:jc w:val="center"/>
              <w:rPr>
                <w:color w:val="002060"/>
                <w:sz w:val="18"/>
                <w:lang w:val="sr-Cyrl-CS"/>
              </w:rPr>
            </w:pPr>
            <w:r w:rsidRPr="00DE058F">
              <w:rPr>
                <w:color w:val="002060"/>
                <w:sz w:val="18"/>
                <w:lang w:val="sr-Cyrl-CS"/>
              </w:rPr>
              <w:t>0,3</w:t>
            </w:r>
          </w:p>
        </w:tc>
      </w:tr>
      <w:tr w:rsidR="00976097" w:rsidRPr="00DE058F" w14:paraId="542ABA72" w14:textId="77777777" w:rsidTr="00953528">
        <w:trPr>
          <w:trHeight w:val="281"/>
          <w:jc w:val="center"/>
        </w:trPr>
        <w:tc>
          <w:tcPr>
            <w:tcW w:w="2590" w:type="pct"/>
            <w:shd w:val="clear" w:color="auto" w:fill="E7E6E6" w:themeFill="background2"/>
            <w:noWrap/>
            <w:vAlign w:val="center"/>
            <w:hideMark/>
          </w:tcPr>
          <w:p w14:paraId="0912B7C4" w14:textId="77777777" w:rsidR="00976097" w:rsidRPr="00DE058F" w:rsidRDefault="00976097" w:rsidP="00953528">
            <w:pPr>
              <w:jc w:val="left"/>
              <w:rPr>
                <w:rFonts w:eastAsia="Calibri" w:cstheme="minorHAnsi"/>
                <w:bCs/>
                <w:color w:val="002060"/>
                <w:sz w:val="18"/>
                <w:szCs w:val="18"/>
                <w:lang w:val="sr-Cyrl-CS"/>
              </w:rPr>
            </w:pPr>
            <w:r w:rsidRPr="00DE058F">
              <w:rPr>
                <w:rFonts w:eastAsia="Calibri" w:cstheme="minorHAnsi"/>
                <w:iCs/>
                <w:color w:val="002060"/>
                <w:sz w:val="18"/>
                <w:szCs w:val="18"/>
                <w:lang w:val="sr-Cyrl-CS"/>
              </w:rPr>
              <w:t>Раст БДВ по секторима и нето пореза, %</w:t>
            </w:r>
          </w:p>
        </w:tc>
        <w:tc>
          <w:tcPr>
            <w:tcW w:w="603" w:type="pct"/>
            <w:shd w:val="clear" w:color="auto" w:fill="E7E6E6" w:themeFill="background2"/>
            <w:vAlign w:val="center"/>
          </w:tcPr>
          <w:p w14:paraId="2E208823" w14:textId="77777777" w:rsidR="00976097" w:rsidRPr="00DE058F" w:rsidRDefault="00976097" w:rsidP="00953528">
            <w:pPr>
              <w:jc w:val="center"/>
              <w:rPr>
                <w:rFonts w:eastAsia="Calibri" w:cstheme="minorHAnsi"/>
                <w:bCs/>
                <w:color w:val="002060"/>
                <w:sz w:val="18"/>
                <w:szCs w:val="18"/>
                <w:lang w:val="sr-Cyrl-CS"/>
              </w:rPr>
            </w:pPr>
          </w:p>
        </w:tc>
        <w:tc>
          <w:tcPr>
            <w:tcW w:w="604" w:type="pct"/>
            <w:shd w:val="clear" w:color="auto" w:fill="E7E6E6" w:themeFill="background2"/>
            <w:vAlign w:val="center"/>
          </w:tcPr>
          <w:p w14:paraId="31136774" w14:textId="77777777" w:rsidR="00976097" w:rsidRPr="00DE058F" w:rsidRDefault="00976097" w:rsidP="00953528">
            <w:pPr>
              <w:jc w:val="center"/>
              <w:rPr>
                <w:rFonts w:eastAsia="Calibri" w:cstheme="minorHAnsi"/>
                <w:bCs/>
                <w:color w:val="002060"/>
                <w:sz w:val="18"/>
                <w:szCs w:val="18"/>
                <w:lang w:val="sr-Cyrl-CS"/>
              </w:rPr>
            </w:pPr>
          </w:p>
        </w:tc>
        <w:tc>
          <w:tcPr>
            <w:tcW w:w="603" w:type="pct"/>
            <w:shd w:val="clear" w:color="auto" w:fill="E7E6E6" w:themeFill="background2"/>
            <w:vAlign w:val="center"/>
          </w:tcPr>
          <w:p w14:paraId="5074A495" w14:textId="77777777" w:rsidR="00976097" w:rsidRPr="00DE058F" w:rsidRDefault="00976097" w:rsidP="00953528">
            <w:pPr>
              <w:jc w:val="center"/>
              <w:rPr>
                <w:rFonts w:eastAsia="Calibri" w:cstheme="minorHAnsi"/>
                <w:bCs/>
                <w:color w:val="002060"/>
                <w:sz w:val="18"/>
                <w:szCs w:val="18"/>
                <w:lang w:val="sr-Cyrl-CS"/>
              </w:rPr>
            </w:pPr>
          </w:p>
        </w:tc>
        <w:tc>
          <w:tcPr>
            <w:tcW w:w="600" w:type="pct"/>
            <w:shd w:val="clear" w:color="auto" w:fill="E7E6E6" w:themeFill="background2"/>
            <w:vAlign w:val="center"/>
          </w:tcPr>
          <w:p w14:paraId="25DAC0FF" w14:textId="77777777" w:rsidR="00976097" w:rsidRPr="00DE058F" w:rsidRDefault="00976097" w:rsidP="00953528">
            <w:pPr>
              <w:jc w:val="center"/>
              <w:rPr>
                <w:rFonts w:eastAsia="Calibri" w:cstheme="minorHAnsi"/>
                <w:bCs/>
                <w:color w:val="002060"/>
                <w:sz w:val="18"/>
                <w:szCs w:val="18"/>
                <w:lang w:val="sr-Cyrl-CS"/>
              </w:rPr>
            </w:pPr>
          </w:p>
        </w:tc>
      </w:tr>
      <w:tr w:rsidR="00976097" w:rsidRPr="00DE058F" w14:paraId="5AF1D6BF" w14:textId="77777777" w:rsidTr="00953528">
        <w:trPr>
          <w:trHeight w:val="281"/>
          <w:jc w:val="center"/>
        </w:trPr>
        <w:tc>
          <w:tcPr>
            <w:tcW w:w="2590" w:type="pct"/>
            <w:noWrap/>
            <w:vAlign w:val="center"/>
            <w:hideMark/>
          </w:tcPr>
          <w:p w14:paraId="063F9005"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Пољопривреда</w:t>
            </w:r>
          </w:p>
        </w:tc>
        <w:tc>
          <w:tcPr>
            <w:tcW w:w="603" w:type="pct"/>
            <w:tcBorders>
              <w:top w:val="nil"/>
              <w:left w:val="nil"/>
              <w:bottom w:val="nil"/>
              <w:right w:val="nil"/>
            </w:tcBorders>
            <w:shd w:val="clear" w:color="auto" w:fill="auto"/>
            <w:noWrap/>
            <w:vAlign w:val="center"/>
          </w:tcPr>
          <w:p w14:paraId="4F84B2CF" w14:textId="77777777" w:rsidR="00976097" w:rsidRPr="00DE058F" w:rsidRDefault="00976097" w:rsidP="00953528">
            <w:pPr>
              <w:jc w:val="center"/>
              <w:rPr>
                <w:color w:val="002060"/>
                <w:sz w:val="18"/>
                <w:lang w:val="sr-Cyrl-CS"/>
              </w:rPr>
            </w:pPr>
            <w:r w:rsidRPr="00DE058F">
              <w:rPr>
                <w:color w:val="002060"/>
                <w:sz w:val="18"/>
                <w:lang w:val="sr-Cyrl-CS"/>
              </w:rPr>
              <w:t>0,5</w:t>
            </w:r>
          </w:p>
        </w:tc>
        <w:tc>
          <w:tcPr>
            <w:tcW w:w="604" w:type="pct"/>
            <w:tcBorders>
              <w:top w:val="nil"/>
              <w:left w:val="nil"/>
              <w:bottom w:val="nil"/>
              <w:right w:val="nil"/>
            </w:tcBorders>
            <w:shd w:val="clear" w:color="auto" w:fill="auto"/>
            <w:noWrap/>
            <w:vAlign w:val="center"/>
          </w:tcPr>
          <w:p w14:paraId="30CC825F" w14:textId="77777777" w:rsidR="00976097" w:rsidRPr="00DE058F" w:rsidRDefault="00976097" w:rsidP="00953528">
            <w:pPr>
              <w:jc w:val="center"/>
              <w:rPr>
                <w:color w:val="002060"/>
                <w:sz w:val="18"/>
                <w:lang w:val="sr-Cyrl-CS"/>
              </w:rPr>
            </w:pPr>
            <w:r w:rsidRPr="00DE058F">
              <w:rPr>
                <w:color w:val="002060"/>
                <w:sz w:val="18"/>
                <w:lang w:val="sr-Cyrl-CS"/>
              </w:rPr>
              <w:t>0,0</w:t>
            </w:r>
          </w:p>
        </w:tc>
        <w:tc>
          <w:tcPr>
            <w:tcW w:w="603" w:type="pct"/>
            <w:tcBorders>
              <w:top w:val="nil"/>
              <w:left w:val="nil"/>
              <w:bottom w:val="nil"/>
            </w:tcBorders>
            <w:shd w:val="clear" w:color="auto" w:fill="auto"/>
            <w:noWrap/>
            <w:vAlign w:val="center"/>
          </w:tcPr>
          <w:p w14:paraId="30B241D1" w14:textId="77777777" w:rsidR="00976097" w:rsidRPr="00DE058F" w:rsidRDefault="00976097" w:rsidP="00953528">
            <w:pPr>
              <w:jc w:val="center"/>
              <w:rPr>
                <w:color w:val="002060"/>
                <w:sz w:val="18"/>
                <w:lang w:val="sr-Cyrl-CS"/>
              </w:rPr>
            </w:pPr>
            <w:r w:rsidRPr="00DE058F">
              <w:rPr>
                <w:color w:val="002060"/>
                <w:sz w:val="18"/>
                <w:lang w:val="sr-Cyrl-CS"/>
              </w:rPr>
              <w:t>0,0</w:t>
            </w:r>
          </w:p>
        </w:tc>
        <w:tc>
          <w:tcPr>
            <w:tcW w:w="600" w:type="pct"/>
            <w:tcBorders>
              <w:top w:val="nil"/>
              <w:bottom w:val="nil"/>
            </w:tcBorders>
            <w:shd w:val="clear" w:color="auto" w:fill="auto"/>
            <w:noWrap/>
            <w:vAlign w:val="center"/>
          </w:tcPr>
          <w:p w14:paraId="4193B775" w14:textId="77777777" w:rsidR="00976097" w:rsidRPr="00DE058F" w:rsidRDefault="00976097" w:rsidP="00953528">
            <w:pPr>
              <w:jc w:val="center"/>
              <w:rPr>
                <w:color w:val="002060"/>
                <w:sz w:val="18"/>
                <w:lang w:val="sr-Cyrl-CS"/>
              </w:rPr>
            </w:pPr>
            <w:r w:rsidRPr="00DE058F">
              <w:rPr>
                <w:color w:val="002060"/>
                <w:sz w:val="18"/>
                <w:lang w:val="sr-Cyrl-CS"/>
              </w:rPr>
              <w:t>0,0</w:t>
            </w:r>
          </w:p>
        </w:tc>
      </w:tr>
      <w:tr w:rsidR="00976097" w:rsidRPr="00DE058F" w14:paraId="60E1F831" w14:textId="77777777" w:rsidTr="00953528">
        <w:trPr>
          <w:trHeight w:val="281"/>
          <w:jc w:val="center"/>
        </w:trPr>
        <w:tc>
          <w:tcPr>
            <w:tcW w:w="2590" w:type="pct"/>
            <w:noWrap/>
            <w:vAlign w:val="center"/>
            <w:hideMark/>
          </w:tcPr>
          <w:p w14:paraId="0AC85606"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Индустрија</w:t>
            </w:r>
          </w:p>
        </w:tc>
        <w:tc>
          <w:tcPr>
            <w:tcW w:w="603" w:type="pct"/>
            <w:tcBorders>
              <w:top w:val="nil"/>
              <w:left w:val="nil"/>
              <w:bottom w:val="nil"/>
              <w:right w:val="nil"/>
            </w:tcBorders>
            <w:shd w:val="clear" w:color="auto" w:fill="auto"/>
            <w:noWrap/>
            <w:vAlign w:val="center"/>
          </w:tcPr>
          <w:p w14:paraId="4298E897" w14:textId="77777777" w:rsidR="00976097" w:rsidRPr="00DE058F" w:rsidRDefault="00976097" w:rsidP="00953528">
            <w:pPr>
              <w:jc w:val="center"/>
              <w:rPr>
                <w:color w:val="002060"/>
                <w:sz w:val="18"/>
                <w:lang w:val="sr-Cyrl-CS"/>
              </w:rPr>
            </w:pPr>
            <w:r w:rsidRPr="00DE058F">
              <w:rPr>
                <w:color w:val="002060"/>
                <w:sz w:val="18"/>
                <w:lang w:val="sr-Cyrl-CS"/>
              </w:rPr>
              <w:t>3,7</w:t>
            </w:r>
          </w:p>
        </w:tc>
        <w:tc>
          <w:tcPr>
            <w:tcW w:w="604" w:type="pct"/>
            <w:tcBorders>
              <w:top w:val="nil"/>
              <w:left w:val="nil"/>
              <w:bottom w:val="nil"/>
              <w:right w:val="nil"/>
            </w:tcBorders>
            <w:shd w:val="clear" w:color="auto" w:fill="auto"/>
            <w:noWrap/>
            <w:vAlign w:val="center"/>
          </w:tcPr>
          <w:p w14:paraId="7F1FBC79" w14:textId="77777777" w:rsidR="00976097" w:rsidRPr="00DE058F" w:rsidRDefault="00976097" w:rsidP="00953528">
            <w:pPr>
              <w:jc w:val="center"/>
              <w:rPr>
                <w:color w:val="002060"/>
                <w:sz w:val="18"/>
                <w:lang w:val="sr-Cyrl-CS"/>
              </w:rPr>
            </w:pPr>
            <w:r w:rsidRPr="00DE058F">
              <w:rPr>
                <w:color w:val="002060"/>
                <w:sz w:val="18"/>
                <w:lang w:val="sr-Cyrl-CS"/>
              </w:rPr>
              <w:t>5,1</w:t>
            </w:r>
          </w:p>
        </w:tc>
        <w:tc>
          <w:tcPr>
            <w:tcW w:w="603" w:type="pct"/>
            <w:tcBorders>
              <w:top w:val="nil"/>
              <w:left w:val="nil"/>
              <w:bottom w:val="nil"/>
            </w:tcBorders>
            <w:shd w:val="clear" w:color="auto" w:fill="auto"/>
            <w:noWrap/>
            <w:vAlign w:val="center"/>
          </w:tcPr>
          <w:p w14:paraId="7F8E6311" w14:textId="77777777" w:rsidR="00976097" w:rsidRPr="00DE058F" w:rsidRDefault="00976097" w:rsidP="00953528">
            <w:pPr>
              <w:jc w:val="center"/>
              <w:rPr>
                <w:color w:val="002060"/>
                <w:sz w:val="18"/>
                <w:lang w:val="sr-Cyrl-CS"/>
              </w:rPr>
            </w:pPr>
            <w:r w:rsidRPr="00DE058F">
              <w:rPr>
                <w:color w:val="002060"/>
                <w:sz w:val="18"/>
                <w:lang w:val="sr-Cyrl-CS"/>
              </w:rPr>
              <w:t>5,6</w:t>
            </w:r>
          </w:p>
        </w:tc>
        <w:tc>
          <w:tcPr>
            <w:tcW w:w="600" w:type="pct"/>
            <w:tcBorders>
              <w:top w:val="nil"/>
              <w:bottom w:val="nil"/>
            </w:tcBorders>
            <w:shd w:val="clear" w:color="auto" w:fill="auto"/>
            <w:noWrap/>
            <w:vAlign w:val="center"/>
          </w:tcPr>
          <w:p w14:paraId="147B7FC9" w14:textId="77777777" w:rsidR="00976097" w:rsidRPr="00DE058F" w:rsidRDefault="00976097" w:rsidP="00953528">
            <w:pPr>
              <w:jc w:val="center"/>
              <w:rPr>
                <w:color w:val="002060"/>
                <w:sz w:val="18"/>
                <w:lang w:val="sr-Cyrl-CS"/>
              </w:rPr>
            </w:pPr>
            <w:r w:rsidRPr="00DE058F">
              <w:rPr>
                <w:color w:val="002060"/>
                <w:sz w:val="18"/>
                <w:lang w:val="sr-Cyrl-CS"/>
              </w:rPr>
              <w:t>6,3</w:t>
            </w:r>
          </w:p>
        </w:tc>
      </w:tr>
      <w:tr w:rsidR="00976097" w:rsidRPr="00DE058F" w14:paraId="47413735" w14:textId="77777777" w:rsidTr="00953528">
        <w:trPr>
          <w:trHeight w:val="281"/>
          <w:jc w:val="center"/>
        </w:trPr>
        <w:tc>
          <w:tcPr>
            <w:tcW w:w="2590" w:type="pct"/>
            <w:noWrap/>
            <w:vAlign w:val="center"/>
            <w:hideMark/>
          </w:tcPr>
          <w:p w14:paraId="57FB5627"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Грађевинарство</w:t>
            </w:r>
          </w:p>
        </w:tc>
        <w:tc>
          <w:tcPr>
            <w:tcW w:w="603" w:type="pct"/>
            <w:tcBorders>
              <w:top w:val="nil"/>
              <w:left w:val="nil"/>
              <w:bottom w:val="nil"/>
              <w:right w:val="nil"/>
            </w:tcBorders>
            <w:shd w:val="clear" w:color="auto" w:fill="auto"/>
            <w:noWrap/>
            <w:vAlign w:val="center"/>
          </w:tcPr>
          <w:p w14:paraId="6024F4A7" w14:textId="77777777" w:rsidR="00976097" w:rsidRPr="00DE058F" w:rsidRDefault="00976097" w:rsidP="00953528">
            <w:pPr>
              <w:jc w:val="center"/>
              <w:rPr>
                <w:color w:val="002060"/>
                <w:sz w:val="18"/>
                <w:lang w:val="sr-Cyrl-CS"/>
              </w:rPr>
            </w:pPr>
            <w:r w:rsidRPr="00DE058F">
              <w:rPr>
                <w:color w:val="002060"/>
                <w:sz w:val="18"/>
                <w:lang w:val="sr-Cyrl-CS"/>
              </w:rPr>
              <w:t>1,4</w:t>
            </w:r>
          </w:p>
        </w:tc>
        <w:tc>
          <w:tcPr>
            <w:tcW w:w="604" w:type="pct"/>
            <w:tcBorders>
              <w:top w:val="nil"/>
              <w:left w:val="nil"/>
              <w:bottom w:val="nil"/>
              <w:right w:val="nil"/>
            </w:tcBorders>
            <w:shd w:val="clear" w:color="auto" w:fill="auto"/>
            <w:noWrap/>
            <w:vAlign w:val="center"/>
          </w:tcPr>
          <w:p w14:paraId="04CA8662" w14:textId="77777777" w:rsidR="00976097" w:rsidRPr="00DE058F" w:rsidRDefault="00976097" w:rsidP="00953528">
            <w:pPr>
              <w:jc w:val="center"/>
              <w:rPr>
                <w:color w:val="002060"/>
                <w:sz w:val="18"/>
                <w:lang w:val="sr-Cyrl-CS"/>
              </w:rPr>
            </w:pPr>
            <w:r w:rsidRPr="00DE058F">
              <w:rPr>
                <w:color w:val="002060"/>
                <w:sz w:val="18"/>
                <w:lang w:val="sr-Cyrl-CS"/>
              </w:rPr>
              <w:t>5,5</w:t>
            </w:r>
          </w:p>
        </w:tc>
        <w:tc>
          <w:tcPr>
            <w:tcW w:w="603" w:type="pct"/>
            <w:tcBorders>
              <w:top w:val="nil"/>
              <w:left w:val="nil"/>
              <w:bottom w:val="nil"/>
            </w:tcBorders>
            <w:shd w:val="clear" w:color="auto" w:fill="auto"/>
            <w:noWrap/>
            <w:vAlign w:val="center"/>
          </w:tcPr>
          <w:p w14:paraId="68921DAA" w14:textId="77777777" w:rsidR="00976097" w:rsidRPr="00DE058F" w:rsidRDefault="00976097" w:rsidP="00953528">
            <w:pPr>
              <w:jc w:val="center"/>
              <w:rPr>
                <w:color w:val="002060"/>
                <w:sz w:val="18"/>
                <w:lang w:val="sr-Cyrl-CS"/>
              </w:rPr>
            </w:pPr>
            <w:r w:rsidRPr="00DE058F">
              <w:rPr>
                <w:color w:val="002060"/>
                <w:sz w:val="18"/>
                <w:lang w:val="sr-Cyrl-CS"/>
              </w:rPr>
              <w:t>6,2</w:t>
            </w:r>
          </w:p>
        </w:tc>
        <w:tc>
          <w:tcPr>
            <w:tcW w:w="600" w:type="pct"/>
            <w:tcBorders>
              <w:top w:val="nil"/>
              <w:bottom w:val="nil"/>
            </w:tcBorders>
            <w:shd w:val="clear" w:color="auto" w:fill="auto"/>
            <w:noWrap/>
            <w:vAlign w:val="center"/>
          </w:tcPr>
          <w:p w14:paraId="4888E836" w14:textId="77777777" w:rsidR="00976097" w:rsidRPr="00DE058F" w:rsidRDefault="00976097" w:rsidP="00953528">
            <w:pPr>
              <w:jc w:val="center"/>
              <w:rPr>
                <w:color w:val="002060"/>
                <w:sz w:val="18"/>
                <w:lang w:val="sr-Cyrl-CS"/>
              </w:rPr>
            </w:pPr>
            <w:r w:rsidRPr="00DE058F">
              <w:rPr>
                <w:color w:val="002060"/>
                <w:sz w:val="18"/>
                <w:lang w:val="sr-Cyrl-CS"/>
              </w:rPr>
              <w:t>7,9</w:t>
            </w:r>
          </w:p>
        </w:tc>
      </w:tr>
      <w:tr w:rsidR="00976097" w:rsidRPr="00DE058F" w14:paraId="493B300A" w14:textId="77777777" w:rsidTr="00953528">
        <w:trPr>
          <w:trHeight w:val="281"/>
          <w:jc w:val="center"/>
        </w:trPr>
        <w:tc>
          <w:tcPr>
            <w:tcW w:w="2590" w:type="pct"/>
            <w:noWrap/>
            <w:vAlign w:val="center"/>
            <w:hideMark/>
          </w:tcPr>
          <w:p w14:paraId="2BEFD30F"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Услуге</w:t>
            </w:r>
          </w:p>
        </w:tc>
        <w:tc>
          <w:tcPr>
            <w:tcW w:w="603" w:type="pct"/>
            <w:tcBorders>
              <w:top w:val="nil"/>
              <w:left w:val="nil"/>
              <w:bottom w:val="nil"/>
              <w:right w:val="nil"/>
            </w:tcBorders>
            <w:shd w:val="clear" w:color="auto" w:fill="auto"/>
            <w:noWrap/>
            <w:vAlign w:val="center"/>
          </w:tcPr>
          <w:p w14:paraId="2A80A205" w14:textId="77777777" w:rsidR="00976097" w:rsidRPr="00DE058F" w:rsidRDefault="00976097" w:rsidP="00953528">
            <w:pPr>
              <w:jc w:val="center"/>
              <w:rPr>
                <w:color w:val="002060"/>
                <w:sz w:val="18"/>
                <w:lang w:val="sr-Cyrl-CS"/>
              </w:rPr>
            </w:pPr>
            <w:r w:rsidRPr="00DE058F">
              <w:rPr>
                <w:color w:val="002060"/>
                <w:sz w:val="18"/>
                <w:lang w:val="sr-Cyrl-CS"/>
              </w:rPr>
              <w:t>4,0</w:t>
            </w:r>
          </w:p>
        </w:tc>
        <w:tc>
          <w:tcPr>
            <w:tcW w:w="604" w:type="pct"/>
            <w:tcBorders>
              <w:top w:val="nil"/>
              <w:left w:val="nil"/>
              <w:bottom w:val="nil"/>
              <w:right w:val="nil"/>
            </w:tcBorders>
            <w:shd w:val="clear" w:color="auto" w:fill="auto"/>
            <w:noWrap/>
            <w:vAlign w:val="center"/>
          </w:tcPr>
          <w:p w14:paraId="23D45CCE" w14:textId="77777777" w:rsidR="00976097" w:rsidRPr="00DE058F" w:rsidRDefault="00976097" w:rsidP="00953528">
            <w:pPr>
              <w:jc w:val="center"/>
              <w:rPr>
                <w:color w:val="002060"/>
                <w:sz w:val="18"/>
                <w:lang w:val="sr-Cyrl-CS"/>
              </w:rPr>
            </w:pPr>
            <w:r w:rsidRPr="00DE058F">
              <w:rPr>
                <w:color w:val="002060"/>
                <w:sz w:val="18"/>
                <w:lang w:val="sr-Cyrl-CS"/>
              </w:rPr>
              <w:t>4,1</w:t>
            </w:r>
          </w:p>
        </w:tc>
        <w:tc>
          <w:tcPr>
            <w:tcW w:w="603" w:type="pct"/>
            <w:tcBorders>
              <w:top w:val="nil"/>
              <w:left w:val="nil"/>
              <w:bottom w:val="nil"/>
            </w:tcBorders>
            <w:shd w:val="clear" w:color="auto" w:fill="auto"/>
            <w:noWrap/>
            <w:vAlign w:val="center"/>
          </w:tcPr>
          <w:p w14:paraId="24F90D26" w14:textId="77777777" w:rsidR="00976097" w:rsidRPr="00DE058F" w:rsidRDefault="00976097" w:rsidP="00953528">
            <w:pPr>
              <w:jc w:val="center"/>
              <w:rPr>
                <w:color w:val="002060"/>
                <w:sz w:val="18"/>
                <w:lang w:val="sr-Cyrl-CS"/>
              </w:rPr>
            </w:pPr>
            <w:r w:rsidRPr="00DE058F">
              <w:rPr>
                <w:color w:val="002060"/>
                <w:sz w:val="18"/>
                <w:lang w:val="sr-Cyrl-CS"/>
              </w:rPr>
              <w:t>4,1</w:t>
            </w:r>
          </w:p>
        </w:tc>
        <w:tc>
          <w:tcPr>
            <w:tcW w:w="600" w:type="pct"/>
            <w:tcBorders>
              <w:top w:val="nil"/>
              <w:bottom w:val="nil"/>
            </w:tcBorders>
            <w:shd w:val="clear" w:color="auto" w:fill="auto"/>
            <w:noWrap/>
            <w:vAlign w:val="center"/>
          </w:tcPr>
          <w:p w14:paraId="017A3B22" w14:textId="77777777" w:rsidR="00976097" w:rsidRPr="00DE058F" w:rsidRDefault="00976097" w:rsidP="00953528">
            <w:pPr>
              <w:jc w:val="center"/>
              <w:rPr>
                <w:color w:val="002060"/>
                <w:sz w:val="18"/>
                <w:lang w:val="sr-Cyrl-CS"/>
              </w:rPr>
            </w:pPr>
            <w:r w:rsidRPr="00DE058F">
              <w:rPr>
                <w:color w:val="002060"/>
                <w:sz w:val="18"/>
                <w:lang w:val="sr-Cyrl-CS"/>
              </w:rPr>
              <w:t>4,4</w:t>
            </w:r>
          </w:p>
        </w:tc>
      </w:tr>
      <w:tr w:rsidR="00976097" w:rsidRPr="00DE058F" w14:paraId="33994892" w14:textId="77777777" w:rsidTr="00953528">
        <w:trPr>
          <w:trHeight w:val="281"/>
          <w:jc w:val="center"/>
        </w:trPr>
        <w:tc>
          <w:tcPr>
            <w:tcW w:w="2590" w:type="pct"/>
            <w:noWrap/>
            <w:vAlign w:val="center"/>
          </w:tcPr>
          <w:p w14:paraId="7EAEBB4F"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Нето порези</w:t>
            </w:r>
          </w:p>
        </w:tc>
        <w:tc>
          <w:tcPr>
            <w:tcW w:w="603" w:type="pct"/>
            <w:tcBorders>
              <w:top w:val="nil"/>
              <w:left w:val="nil"/>
              <w:bottom w:val="nil"/>
              <w:right w:val="nil"/>
            </w:tcBorders>
            <w:shd w:val="clear" w:color="auto" w:fill="auto"/>
            <w:noWrap/>
            <w:vAlign w:val="center"/>
          </w:tcPr>
          <w:p w14:paraId="1054BC8A" w14:textId="77777777" w:rsidR="00976097" w:rsidRPr="00DE058F" w:rsidRDefault="00976097" w:rsidP="00953528">
            <w:pPr>
              <w:jc w:val="center"/>
              <w:rPr>
                <w:color w:val="002060"/>
                <w:sz w:val="18"/>
                <w:lang w:val="sr-Cyrl-CS"/>
              </w:rPr>
            </w:pPr>
            <w:r w:rsidRPr="00DE058F">
              <w:rPr>
                <w:color w:val="002060"/>
                <w:sz w:val="18"/>
                <w:lang w:val="sr-Cyrl-CS"/>
              </w:rPr>
              <w:t>4,0</w:t>
            </w:r>
          </w:p>
        </w:tc>
        <w:tc>
          <w:tcPr>
            <w:tcW w:w="604" w:type="pct"/>
            <w:tcBorders>
              <w:top w:val="nil"/>
              <w:left w:val="nil"/>
              <w:bottom w:val="nil"/>
              <w:right w:val="nil"/>
            </w:tcBorders>
            <w:shd w:val="clear" w:color="auto" w:fill="auto"/>
            <w:noWrap/>
            <w:vAlign w:val="center"/>
          </w:tcPr>
          <w:p w14:paraId="1DD1B0E8" w14:textId="77777777" w:rsidR="00976097" w:rsidRPr="00DE058F" w:rsidRDefault="00976097" w:rsidP="00953528">
            <w:pPr>
              <w:jc w:val="center"/>
              <w:rPr>
                <w:color w:val="002060"/>
                <w:sz w:val="18"/>
                <w:lang w:val="sr-Cyrl-CS"/>
              </w:rPr>
            </w:pPr>
            <w:r w:rsidRPr="00DE058F">
              <w:rPr>
                <w:color w:val="002060"/>
                <w:sz w:val="18"/>
                <w:lang w:val="sr-Cyrl-CS"/>
              </w:rPr>
              <w:t>3,8</w:t>
            </w:r>
          </w:p>
        </w:tc>
        <w:tc>
          <w:tcPr>
            <w:tcW w:w="603" w:type="pct"/>
            <w:tcBorders>
              <w:top w:val="nil"/>
              <w:left w:val="nil"/>
              <w:bottom w:val="nil"/>
            </w:tcBorders>
            <w:shd w:val="clear" w:color="auto" w:fill="auto"/>
            <w:noWrap/>
            <w:vAlign w:val="center"/>
          </w:tcPr>
          <w:p w14:paraId="107C85A8" w14:textId="77777777" w:rsidR="00976097" w:rsidRPr="00DE058F" w:rsidRDefault="00976097" w:rsidP="00953528">
            <w:pPr>
              <w:jc w:val="center"/>
              <w:rPr>
                <w:color w:val="002060"/>
                <w:sz w:val="18"/>
                <w:lang w:val="sr-Cyrl-CS"/>
              </w:rPr>
            </w:pPr>
            <w:r w:rsidRPr="00DE058F">
              <w:rPr>
                <w:color w:val="002060"/>
                <w:sz w:val="18"/>
                <w:lang w:val="sr-Cyrl-CS"/>
              </w:rPr>
              <w:t>3,0</w:t>
            </w:r>
          </w:p>
        </w:tc>
        <w:tc>
          <w:tcPr>
            <w:tcW w:w="600" w:type="pct"/>
            <w:tcBorders>
              <w:top w:val="nil"/>
              <w:bottom w:val="nil"/>
            </w:tcBorders>
            <w:shd w:val="clear" w:color="auto" w:fill="auto"/>
            <w:noWrap/>
            <w:vAlign w:val="center"/>
          </w:tcPr>
          <w:p w14:paraId="14203B8D" w14:textId="77777777" w:rsidR="00976097" w:rsidRPr="00DE058F" w:rsidRDefault="00976097" w:rsidP="00953528">
            <w:pPr>
              <w:jc w:val="center"/>
              <w:rPr>
                <w:color w:val="002060"/>
                <w:sz w:val="18"/>
                <w:lang w:val="sr-Cyrl-CS"/>
              </w:rPr>
            </w:pPr>
            <w:r w:rsidRPr="00DE058F">
              <w:rPr>
                <w:color w:val="002060"/>
                <w:sz w:val="18"/>
                <w:lang w:val="sr-Cyrl-CS"/>
              </w:rPr>
              <w:t>3,0</w:t>
            </w:r>
          </w:p>
        </w:tc>
      </w:tr>
      <w:tr w:rsidR="00976097" w:rsidRPr="00DE058F" w14:paraId="4EC91AEA" w14:textId="77777777" w:rsidTr="00953528">
        <w:trPr>
          <w:trHeight w:val="281"/>
          <w:jc w:val="center"/>
        </w:trPr>
        <w:tc>
          <w:tcPr>
            <w:tcW w:w="2590" w:type="pct"/>
            <w:shd w:val="clear" w:color="auto" w:fill="E7E6E6" w:themeFill="background2"/>
            <w:noWrap/>
            <w:vAlign w:val="center"/>
            <w:hideMark/>
          </w:tcPr>
          <w:p w14:paraId="1A81D34C" w14:textId="77777777" w:rsidR="00976097" w:rsidRPr="00DE058F" w:rsidRDefault="00976097" w:rsidP="00953528">
            <w:pPr>
              <w:jc w:val="left"/>
              <w:rPr>
                <w:rFonts w:eastAsia="Calibri" w:cstheme="minorHAnsi"/>
                <w:bCs/>
                <w:color w:val="002060"/>
                <w:sz w:val="18"/>
                <w:szCs w:val="18"/>
                <w:lang w:val="sr-Cyrl-CS"/>
              </w:rPr>
            </w:pPr>
            <w:r w:rsidRPr="00DE058F">
              <w:rPr>
                <w:rFonts w:eastAsia="Calibri" w:cstheme="minorHAnsi"/>
                <w:iCs/>
                <w:color w:val="002060"/>
                <w:sz w:val="18"/>
                <w:szCs w:val="18"/>
                <w:lang w:val="sr-Cyrl-CS"/>
              </w:rPr>
              <w:t>Допринос расту БДП, процентни поени</w:t>
            </w:r>
          </w:p>
        </w:tc>
        <w:tc>
          <w:tcPr>
            <w:tcW w:w="603" w:type="pct"/>
            <w:shd w:val="clear" w:color="auto" w:fill="E7E6E6" w:themeFill="background2"/>
            <w:vAlign w:val="center"/>
          </w:tcPr>
          <w:p w14:paraId="0193BE50" w14:textId="77777777" w:rsidR="00976097" w:rsidRPr="00DE058F" w:rsidRDefault="00976097" w:rsidP="00953528">
            <w:pPr>
              <w:jc w:val="center"/>
              <w:rPr>
                <w:rFonts w:eastAsia="Calibri" w:cstheme="minorHAnsi"/>
                <w:bCs/>
                <w:color w:val="002060"/>
                <w:sz w:val="18"/>
                <w:szCs w:val="18"/>
                <w:lang w:val="sr-Cyrl-CS"/>
              </w:rPr>
            </w:pPr>
          </w:p>
        </w:tc>
        <w:tc>
          <w:tcPr>
            <w:tcW w:w="604" w:type="pct"/>
            <w:shd w:val="clear" w:color="auto" w:fill="E7E6E6" w:themeFill="background2"/>
            <w:vAlign w:val="center"/>
          </w:tcPr>
          <w:p w14:paraId="1BF8C347" w14:textId="77777777" w:rsidR="00976097" w:rsidRPr="00DE058F" w:rsidRDefault="00976097" w:rsidP="00953528">
            <w:pPr>
              <w:jc w:val="center"/>
              <w:rPr>
                <w:rFonts w:eastAsia="Calibri" w:cstheme="minorHAnsi"/>
                <w:bCs/>
                <w:color w:val="002060"/>
                <w:sz w:val="18"/>
                <w:szCs w:val="18"/>
                <w:lang w:val="sr-Cyrl-CS"/>
              </w:rPr>
            </w:pPr>
          </w:p>
        </w:tc>
        <w:tc>
          <w:tcPr>
            <w:tcW w:w="603" w:type="pct"/>
            <w:shd w:val="clear" w:color="auto" w:fill="E7E6E6" w:themeFill="background2"/>
            <w:vAlign w:val="center"/>
          </w:tcPr>
          <w:p w14:paraId="316847D2" w14:textId="77777777" w:rsidR="00976097" w:rsidRPr="00DE058F" w:rsidRDefault="00976097" w:rsidP="00953528">
            <w:pPr>
              <w:jc w:val="center"/>
              <w:rPr>
                <w:rFonts w:eastAsia="Calibri" w:cstheme="minorHAnsi"/>
                <w:bCs/>
                <w:color w:val="002060"/>
                <w:sz w:val="18"/>
                <w:szCs w:val="18"/>
                <w:lang w:val="sr-Cyrl-CS"/>
              </w:rPr>
            </w:pPr>
          </w:p>
        </w:tc>
        <w:tc>
          <w:tcPr>
            <w:tcW w:w="600" w:type="pct"/>
            <w:shd w:val="clear" w:color="auto" w:fill="E7E6E6" w:themeFill="background2"/>
            <w:vAlign w:val="center"/>
          </w:tcPr>
          <w:p w14:paraId="08981E25" w14:textId="77777777" w:rsidR="00976097" w:rsidRPr="00DE058F" w:rsidRDefault="00976097" w:rsidP="00953528">
            <w:pPr>
              <w:jc w:val="center"/>
              <w:rPr>
                <w:rFonts w:eastAsia="Calibri" w:cstheme="minorHAnsi"/>
                <w:bCs/>
                <w:color w:val="002060"/>
                <w:sz w:val="18"/>
                <w:szCs w:val="18"/>
                <w:lang w:val="sr-Cyrl-CS"/>
              </w:rPr>
            </w:pPr>
          </w:p>
        </w:tc>
      </w:tr>
      <w:tr w:rsidR="00976097" w:rsidRPr="00DE058F" w14:paraId="11918A01" w14:textId="77777777" w:rsidTr="00953528">
        <w:trPr>
          <w:trHeight w:val="281"/>
          <w:jc w:val="center"/>
        </w:trPr>
        <w:tc>
          <w:tcPr>
            <w:tcW w:w="2590" w:type="pct"/>
            <w:noWrap/>
            <w:vAlign w:val="center"/>
            <w:hideMark/>
          </w:tcPr>
          <w:p w14:paraId="141A5E50"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Пољопривреда</w:t>
            </w:r>
          </w:p>
        </w:tc>
        <w:tc>
          <w:tcPr>
            <w:tcW w:w="603" w:type="pct"/>
            <w:tcBorders>
              <w:top w:val="nil"/>
              <w:left w:val="nil"/>
              <w:bottom w:val="nil"/>
              <w:right w:val="nil"/>
            </w:tcBorders>
            <w:shd w:val="clear" w:color="auto" w:fill="auto"/>
            <w:noWrap/>
            <w:vAlign w:val="center"/>
          </w:tcPr>
          <w:p w14:paraId="52A0D005" w14:textId="77777777" w:rsidR="00976097" w:rsidRPr="00DE058F" w:rsidRDefault="00976097" w:rsidP="00953528">
            <w:pPr>
              <w:jc w:val="center"/>
              <w:rPr>
                <w:color w:val="002060"/>
                <w:sz w:val="18"/>
                <w:lang w:val="sr-Cyrl-CS"/>
              </w:rPr>
            </w:pPr>
            <w:r w:rsidRPr="00DE058F">
              <w:rPr>
                <w:color w:val="002060"/>
                <w:sz w:val="18"/>
                <w:lang w:val="sr-Cyrl-CS"/>
              </w:rPr>
              <w:t>0,0</w:t>
            </w:r>
          </w:p>
        </w:tc>
        <w:tc>
          <w:tcPr>
            <w:tcW w:w="604" w:type="pct"/>
            <w:tcBorders>
              <w:top w:val="nil"/>
              <w:left w:val="nil"/>
              <w:bottom w:val="nil"/>
              <w:right w:val="nil"/>
            </w:tcBorders>
            <w:shd w:val="clear" w:color="auto" w:fill="auto"/>
            <w:noWrap/>
            <w:vAlign w:val="center"/>
          </w:tcPr>
          <w:p w14:paraId="7E59290D" w14:textId="77777777" w:rsidR="00976097" w:rsidRPr="00DE058F" w:rsidRDefault="00976097" w:rsidP="00953528">
            <w:pPr>
              <w:jc w:val="center"/>
              <w:rPr>
                <w:color w:val="002060"/>
                <w:sz w:val="18"/>
                <w:lang w:val="sr-Cyrl-CS"/>
              </w:rPr>
            </w:pPr>
            <w:r w:rsidRPr="00DE058F">
              <w:rPr>
                <w:color w:val="002060"/>
                <w:sz w:val="18"/>
                <w:lang w:val="sr-Cyrl-CS"/>
              </w:rPr>
              <w:t>0,0</w:t>
            </w:r>
          </w:p>
        </w:tc>
        <w:tc>
          <w:tcPr>
            <w:tcW w:w="603" w:type="pct"/>
            <w:tcBorders>
              <w:top w:val="nil"/>
              <w:left w:val="nil"/>
              <w:bottom w:val="nil"/>
              <w:right w:val="nil"/>
            </w:tcBorders>
            <w:shd w:val="clear" w:color="auto" w:fill="auto"/>
            <w:noWrap/>
            <w:vAlign w:val="center"/>
          </w:tcPr>
          <w:p w14:paraId="3D88E4BD" w14:textId="77777777" w:rsidR="00976097" w:rsidRPr="00DE058F" w:rsidRDefault="00976097" w:rsidP="00953528">
            <w:pPr>
              <w:jc w:val="center"/>
              <w:rPr>
                <w:color w:val="002060"/>
                <w:sz w:val="18"/>
                <w:lang w:val="sr-Cyrl-CS"/>
              </w:rPr>
            </w:pPr>
            <w:r w:rsidRPr="00DE058F">
              <w:rPr>
                <w:color w:val="002060"/>
                <w:sz w:val="18"/>
                <w:lang w:val="sr-Cyrl-CS"/>
              </w:rPr>
              <w:t>0,0</w:t>
            </w:r>
          </w:p>
        </w:tc>
        <w:tc>
          <w:tcPr>
            <w:tcW w:w="600" w:type="pct"/>
            <w:tcBorders>
              <w:top w:val="nil"/>
              <w:left w:val="nil"/>
              <w:bottom w:val="nil"/>
              <w:right w:val="nil"/>
            </w:tcBorders>
            <w:shd w:val="clear" w:color="auto" w:fill="auto"/>
            <w:noWrap/>
            <w:vAlign w:val="center"/>
          </w:tcPr>
          <w:p w14:paraId="47BBFACE" w14:textId="77777777" w:rsidR="00976097" w:rsidRPr="00DE058F" w:rsidRDefault="00976097" w:rsidP="00953528">
            <w:pPr>
              <w:jc w:val="center"/>
              <w:rPr>
                <w:color w:val="002060"/>
                <w:sz w:val="18"/>
                <w:lang w:val="sr-Cyrl-CS"/>
              </w:rPr>
            </w:pPr>
            <w:r w:rsidRPr="00DE058F">
              <w:rPr>
                <w:color w:val="002060"/>
                <w:sz w:val="18"/>
                <w:lang w:val="sr-Cyrl-CS"/>
              </w:rPr>
              <w:t>0,0</w:t>
            </w:r>
          </w:p>
        </w:tc>
      </w:tr>
      <w:tr w:rsidR="00976097" w:rsidRPr="00DE058F" w14:paraId="37DC61C0" w14:textId="77777777" w:rsidTr="00953528">
        <w:trPr>
          <w:trHeight w:val="281"/>
          <w:jc w:val="center"/>
        </w:trPr>
        <w:tc>
          <w:tcPr>
            <w:tcW w:w="2590" w:type="pct"/>
            <w:noWrap/>
            <w:vAlign w:val="center"/>
            <w:hideMark/>
          </w:tcPr>
          <w:p w14:paraId="176801B0"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Индустрија</w:t>
            </w:r>
          </w:p>
        </w:tc>
        <w:tc>
          <w:tcPr>
            <w:tcW w:w="603" w:type="pct"/>
            <w:tcBorders>
              <w:top w:val="nil"/>
              <w:left w:val="nil"/>
              <w:bottom w:val="nil"/>
              <w:right w:val="nil"/>
            </w:tcBorders>
            <w:shd w:val="clear" w:color="auto" w:fill="auto"/>
            <w:noWrap/>
            <w:vAlign w:val="center"/>
          </w:tcPr>
          <w:p w14:paraId="0C156EB2" w14:textId="77777777" w:rsidR="00976097" w:rsidRPr="00DE058F" w:rsidRDefault="00976097" w:rsidP="00953528">
            <w:pPr>
              <w:jc w:val="center"/>
              <w:rPr>
                <w:color w:val="002060"/>
                <w:sz w:val="18"/>
                <w:lang w:val="sr-Cyrl-CS"/>
              </w:rPr>
            </w:pPr>
            <w:r w:rsidRPr="00DE058F">
              <w:rPr>
                <w:color w:val="002060"/>
                <w:sz w:val="18"/>
                <w:lang w:val="sr-Cyrl-CS"/>
              </w:rPr>
              <w:t>0,7</w:t>
            </w:r>
          </w:p>
        </w:tc>
        <w:tc>
          <w:tcPr>
            <w:tcW w:w="604" w:type="pct"/>
            <w:tcBorders>
              <w:top w:val="nil"/>
              <w:left w:val="nil"/>
              <w:bottom w:val="nil"/>
              <w:right w:val="nil"/>
            </w:tcBorders>
            <w:shd w:val="clear" w:color="auto" w:fill="auto"/>
            <w:noWrap/>
            <w:vAlign w:val="center"/>
          </w:tcPr>
          <w:p w14:paraId="2D444728" w14:textId="77777777" w:rsidR="00976097" w:rsidRPr="00DE058F" w:rsidRDefault="00976097" w:rsidP="00953528">
            <w:pPr>
              <w:jc w:val="center"/>
              <w:rPr>
                <w:color w:val="002060"/>
                <w:sz w:val="18"/>
                <w:lang w:val="sr-Cyrl-CS"/>
              </w:rPr>
            </w:pPr>
            <w:r w:rsidRPr="00DE058F">
              <w:rPr>
                <w:color w:val="002060"/>
                <w:sz w:val="18"/>
                <w:lang w:val="sr-Cyrl-CS"/>
              </w:rPr>
              <w:t>1,0</w:t>
            </w:r>
          </w:p>
        </w:tc>
        <w:tc>
          <w:tcPr>
            <w:tcW w:w="603" w:type="pct"/>
            <w:tcBorders>
              <w:top w:val="nil"/>
              <w:left w:val="nil"/>
              <w:bottom w:val="nil"/>
              <w:right w:val="nil"/>
            </w:tcBorders>
            <w:shd w:val="clear" w:color="auto" w:fill="auto"/>
            <w:noWrap/>
            <w:vAlign w:val="center"/>
          </w:tcPr>
          <w:p w14:paraId="2F6A8E9E" w14:textId="77777777" w:rsidR="00976097" w:rsidRPr="00DE058F" w:rsidRDefault="00976097" w:rsidP="00953528">
            <w:pPr>
              <w:jc w:val="center"/>
              <w:rPr>
                <w:color w:val="002060"/>
                <w:sz w:val="18"/>
                <w:lang w:val="sr-Cyrl-CS"/>
              </w:rPr>
            </w:pPr>
            <w:r w:rsidRPr="00DE058F">
              <w:rPr>
                <w:color w:val="002060"/>
                <w:sz w:val="18"/>
                <w:lang w:val="sr-Cyrl-CS"/>
              </w:rPr>
              <w:t>1,1</w:t>
            </w:r>
          </w:p>
        </w:tc>
        <w:tc>
          <w:tcPr>
            <w:tcW w:w="600" w:type="pct"/>
            <w:tcBorders>
              <w:top w:val="nil"/>
              <w:left w:val="nil"/>
              <w:bottom w:val="nil"/>
              <w:right w:val="nil"/>
            </w:tcBorders>
            <w:shd w:val="clear" w:color="auto" w:fill="auto"/>
            <w:noWrap/>
            <w:vAlign w:val="center"/>
          </w:tcPr>
          <w:p w14:paraId="25EE0902" w14:textId="77777777" w:rsidR="00976097" w:rsidRPr="00DE058F" w:rsidRDefault="00976097" w:rsidP="00953528">
            <w:pPr>
              <w:jc w:val="center"/>
              <w:rPr>
                <w:color w:val="002060"/>
                <w:sz w:val="18"/>
                <w:lang w:val="sr-Cyrl-CS"/>
              </w:rPr>
            </w:pPr>
            <w:r w:rsidRPr="00DE058F">
              <w:rPr>
                <w:color w:val="002060"/>
                <w:sz w:val="18"/>
                <w:lang w:val="sr-Cyrl-CS"/>
              </w:rPr>
              <w:t>1,3</w:t>
            </w:r>
          </w:p>
        </w:tc>
      </w:tr>
      <w:tr w:rsidR="00976097" w:rsidRPr="00DE058F" w14:paraId="2A76052C" w14:textId="77777777" w:rsidTr="00953528">
        <w:trPr>
          <w:trHeight w:val="281"/>
          <w:jc w:val="center"/>
        </w:trPr>
        <w:tc>
          <w:tcPr>
            <w:tcW w:w="2590" w:type="pct"/>
            <w:noWrap/>
            <w:vAlign w:val="center"/>
            <w:hideMark/>
          </w:tcPr>
          <w:p w14:paraId="1C9EDC4B"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Грађевинарство</w:t>
            </w:r>
          </w:p>
        </w:tc>
        <w:tc>
          <w:tcPr>
            <w:tcW w:w="603" w:type="pct"/>
            <w:tcBorders>
              <w:top w:val="nil"/>
              <w:left w:val="nil"/>
              <w:bottom w:val="nil"/>
              <w:right w:val="nil"/>
            </w:tcBorders>
            <w:shd w:val="clear" w:color="auto" w:fill="auto"/>
            <w:noWrap/>
            <w:vAlign w:val="center"/>
          </w:tcPr>
          <w:p w14:paraId="1575DF0C" w14:textId="77777777" w:rsidR="00976097" w:rsidRPr="00DE058F" w:rsidRDefault="00976097" w:rsidP="00953528">
            <w:pPr>
              <w:jc w:val="center"/>
              <w:rPr>
                <w:color w:val="002060"/>
                <w:sz w:val="18"/>
                <w:lang w:val="sr-Cyrl-CS"/>
              </w:rPr>
            </w:pPr>
            <w:r w:rsidRPr="00DE058F">
              <w:rPr>
                <w:color w:val="002060"/>
                <w:sz w:val="18"/>
                <w:lang w:val="sr-Cyrl-CS"/>
              </w:rPr>
              <w:t>0,1</w:t>
            </w:r>
          </w:p>
        </w:tc>
        <w:tc>
          <w:tcPr>
            <w:tcW w:w="604" w:type="pct"/>
            <w:tcBorders>
              <w:top w:val="nil"/>
              <w:left w:val="nil"/>
              <w:bottom w:val="nil"/>
              <w:right w:val="nil"/>
            </w:tcBorders>
            <w:shd w:val="clear" w:color="auto" w:fill="auto"/>
            <w:noWrap/>
            <w:vAlign w:val="center"/>
          </w:tcPr>
          <w:p w14:paraId="65FA92DE" w14:textId="77777777" w:rsidR="00976097" w:rsidRPr="00DE058F" w:rsidRDefault="00976097" w:rsidP="00953528">
            <w:pPr>
              <w:jc w:val="center"/>
              <w:rPr>
                <w:color w:val="002060"/>
                <w:sz w:val="18"/>
                <w:lang w:val="sr-Cyrl-CS"/>
              </w:rPr>
            </w:pPr>
            <w:r w:rsidRPr="00DE058F">
              <w:rPr>
                <w:color w:val="002060"/>
                <w:sz w:val="18"/>
                <w:lang w:val="sr-Cyrl-CS"/>
              </w:rPr>
              <w:t>0,3</w:t>
            </w:r>
          </w:p>
        </w:tc>
        <w:tc>
          <w:tcPr>
            <w:tcW w:w="603" w:type="pct"/>
            <w:tcBorders>
              <w:top w:val="nil"/>
              <w:left w:val="nil"/>
              <w:bottom w:val="nil"/>
              <w:right w:val="nil"/>
            </w:tcBorders>
            <w:shd w:val="clear" w:color="auto" w:fill="auto"/>
            <w:noWrap/>
            <w:vAlign w:val="center"/>
          </w:tcPr>
          <w:p w14:paraId="58E141BD" w14:textId="77777777" w:rsidR="00976097" w:rsidRPr="00DE058F" w:rsidRDefault="00976097" w:rsidP="00953528">
            <w:pPr>
              <w:jc w:val="center"/>
              <w:rPr>
                <w:color w:val="002060"/>
                <w:sz w:val="18"/>
                <w:lang w:val="sr-Cyrl-CS"/>
              </w:rPr>
            </w:pPr>
            <w:r w:rsidRPr="00DE058F">
              <w:rPr>
                <w:color w:val="002060"/>
                <w:sz w:val="18"/>
                <w:lang w:val="sr-Cyrl-CS"/>
              </w:rPr>
              <w:t>0,3</w:t>
            </w:r>
          </w:p>
        </w:tc>
        <w:tc>
          <w:tcPr>
            <w:tcW w:w="600" w:type="pct"/>
            <w:tcBorders>
              <w:top w:val="nil"/>
              <w:left w:val="nil"/>
              <w:bottom w:val="nil"/>
              <w:right w:val="nil"/>
            </w:tcBorders>
            <w:shd w:val="clear" w:color="auto" w:fill="auto"/>
            <w:noWrap/>
            <w:vAlign w:val="center"/>
          </w:tcPr>
          <w:p w14:paraId="54A3C980" w14:textId="77777777" w:rsidR="00976097" w:rsidRPr="00DE058F" w:rsidRDefault="00976097" w:rsidP="00953528">
            <w:pPr>
              <w:jc w:val="center"/>
              <w:rPr>
                <w:color w:val="002060"/>
                <w:sz w:val="18"/>
                <w:lang w:val="sr-Cyrl-CS"/>
              </w:rPr>
            </w:pPr>
            <w:r w:rsidRPr="00DE058F">
              <w:rPr>
                <w:color w:val="002060"/>
                <w:sz w:val="18"/>
                <w:lang w:val="sr-Cyrl-CS"/>
              </w:rPr>
              <w:t>0,4</w:t>
            </w:r>
          </w:p>
        </w:tc>
      </w:tr>
      <w:tr w:rsidR="00976097" w:rsidRPr="00DE058F" w14:paraId="168E34FC" w14:textId="77777777" w:rsidTr="00953528">
        <w:trPr>
          <w:trHeight w:val="281"/>
          <w:jc w:val="center"/>
        </w:trPr>
        <w:tc>
          <w:tcPr>
            <w:tcW w:w="2590" w:type="pct"/>
            <w:noWrap/>
            <w:vAlign w:val="center"/>
            <w:hideMark/>
          </w:tcPr>
          <w:p w14:paraId="0CB14261"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Услуге</w:t>
            </w:r>
          </w:p>
        </w:tc>
        <w:tc>
          <w:tcPr>
            <w:tcW w:w="603" w:type="pct"/>
            <w:tcBorders>
              <w:top w:val="nil"/>
              <w:left w:val="nil"/>
              <w:bottom w:val="nil"/>
              <w:right w:val="nil"/>
            </w:tcBorders>
            <w:shd w:val="clear" w:color="auto" w:fill="auto"/>
            <w:noWrap/>
            <w:vAlign w:val="center"/>
          </w:tcPr>
          <w:p w14:paraId="074C2B1B" w14:textId="77777777" w:rsidR="00976097" w:rsidRPr="00DE058F" w:rsidRDefault="00976097" w:rsidP="00953528">
            <w:pPr>
              <w:jc w:val="center"/>
              <w:rPr>
                <w:color w:val="002060"/>
                <w:sz w:val="18"/>
                <w:lang w:val="sr-Cyrl-CS"/>
              </w:rPr>
            </w:pPr>
            <w:r w:rsidRPr="00DE058F">
              <w:rPr>
                <w:color w:val="002060"/>
                <w:sz w:val="18"/>
                <w:lang w:val="sr-Cyrl-CS"/>
              </w:rPr>
              <w:t>2,0</w:t>
            </w:r>
          </w:p>
        </w:tc>
        <w:tc>
          <w:tcPr>
            <w:tcW w:w="604" w:type="pct"/>
            <w:tcBorders>
              <w:top w:val="nil"/>
              <w:left w:val="nil"/>
              <w:bottom w:val="nil"/>
              <w:right w:val="nil"/>
            </w:tcBorders>
            <w:shd w:val="clear" w:color="auto" w:fill="auto"/>
            <w:noWrap/>
            <w:vAlign w:val="center"/>
          </w:tcPr>
          <w:p w14:paraId="101E5033" w14:textId="77777777" w:rsidR="00976097" w:rsidRPr="00DE058F" w:rsidRDefault="00976097" w:rsidP="00953528">
            <w:pPr>
              <w:jc w:val="center"/>
              <w:rPr>
                <w:color w:val="002060"/>
                <w:sz w:val="18"/>
                <w:lang w:val="sr-Cyrl-CS"/>
              </w:rPr>
            </w:pPr>
            <w:r w:rsidRPr="00DE058F">
              <w:rPr>
                <w:color w:val="002060"/>
                <w:sz w:val="18"/>
                <w:lang w:val="sr-Cyrl-CS"/>
              </w:rPr>
              <w:t>2,1</w:t>
            </w:r>
          </w:p>
        </w:tc>
        <w:tc>
          <w:tcPr>
            <w:tcW w:w="603" w:type="pct"/>
            <w:tcBorders>
              <w:top w:val="nil"/>
              <w:left w:val="nil"/>
              <w:bottom w:val="nil"/>
              <w:right w:val="nil"/>
            </w:tcBorders>
            <w:shd w:val="clear" w:color="auto" w:fill="auto"/>
            <w:noWrap/>
            <w:vAlign w:val="center"/>
          </w:tcPr>
          <w:p w14:paraId="75F78080" w14:textId="77777777" w:rsidR="00976097" w:rsidRPr="00DE058F" w:rsidRDefault="00976097" w:rsidP="00953528">
            <w:pPr>
              <w:jc w:val="center"/>
              <w:rPr>
                <w:color w:val="002060"/>
                <w:sz w:val="18"/>
                <w:lang w:val="sr-Cyrl-CS"/>
              </w:rPr>
            </w:pPr>
            <w:r w:rsidRPr="00DE058F">
              <w:rPr>
                <w:color w:val="002060"/>
                <w:sz w:val="18"/>
                <w:lang w:val="sr-Cyrl-CS"/>
              </w:rPr>
              <w:t>2,1</w:t>
            </w:r>
          </w:p>
        </w:tc>
        <w:tc>
          <w:tcPr>
            <w:tcW w:w="600" w:type="pct"/>
            <w:tcBorders>
              <w:top w:val="nil"/>
              <w:left w:val="nil"/>
              <w:bottom w:val="nil"/>
              <w:right w:val="nil"/>
            </w:tcBorders>
            <w:shd w:val="clear" w:color="auto" w:fill="auto"/>
            <w:noWrap/>
            <w:vAlign w:val="center"/>
          </w:tcPr>
          <w:p w14:paraId="3309B5BF" w14:textId="77777777" w:rsidR="00976097" w:rsidRPr="00DE058F" w:rsidRDefault="00976097" w:rsidP="00953528">
            <w:pPr>
              <w:jc w:val="center"/>
              <w:rPr>
                <w:color w:val="002060"/>
                <w:sz w:val="18"/>
                <w:lang w:val="sr-Cyrl-CS"/>
              </w:rPr>
            </w:pPr>
            <w:r w:rsidRPr="00DE058F">
              <w:rPr>
                <w:color w:val="002060"/>
                <w:sz w:val="18"/>
                <w:lang w:val="sr-Cyrl-CS"/>
              </w:rPr>
              <w:t>2,2</w:t>
            </w:r>
          </w:p>
        </w:tc>
      </w:tr>
      <w:tr w:rsidR="00976097" w:rsidRPr="00DE058F" w14:paraId="1C0820E2" w14:textId="77777777" w:rsidTr="00953528">
        <w:trPr>
          <w:trHeight w:val="281"/>
          <w:jc w:val="center"/>
        </w:trPr>
        <w:tc>
          <w:tcPr>
            <w:tcW w:w="2590" w:type="pct"/>
            <w:noWrap/>
            <w:vAlign w:val="center"/>
          </w:tcPr>
          <w:p w14:paraId="68935DCB"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Нето порези</w:t>
            </w:r>
          </w:p>
        </w:tc>
        <w:tc>
          <w:tcPr>
            <w:tcW w:w="603" w:type="pct"/>
            <w:tcBorders>
              <w:top w:val="nil"/>
              <w:left w:val="nil"/>
              <w:bottom w:val="nil"/>
              <w:right w:val="nil"/>
            </w:tcBorders>
            <w:shd w:val="clear" w:color="auto" w:fill="auto"/>
            <w:noWrap/>
            <w:vAlign w:val="center"/>
          </w:tcPr>
          <w:p w14:paraId="78822210" w14:textId="77777777" w:rsidR="00976097" w:rsidRPr="00DE058F" w:rsidRDefault="00976097" w:rsidP="00953528">
            <w:pPr>
              <w:jc w:val="center"/>
              <w:rPr>
                <w:color w:val="002060"/>
                <w:sz w:val="18"/>
                <w:lang w:val="sr-Cyrl-CS"/>
              </w:rPr>
            </w:pPr>
            <w:r w:rsidRPr="00DE058F">
              <w:rPr>
                <w:color w:val="002060"/>
                <w:sz w:val="18"/>
                <w:lang w:val="sr-Cyrl-CS"/>
              </w:rPr>
              <w:t>0,7</w:t>
            </w:r>
          </w:p>
        </w:tc>
        <w:tc>
          <w:tcPr>
            <w:tcW w:w="604" w:type="pct"/>
            <w:tcBorders>
              <w:top w:val="nil"/>
              <w:left w:val="nil"/>
              <w:bottom w:val="nil"/>
              <w:right w:val="nil"/>
            </w:tcBorders>
            <w:shd w:val="clear" w:color="auto" w:fill="auto"/>
            <w:noWrap/>
            <w:vAlign w:val="center"/>
          </w:tcPr>
          <w:p w14:paraId="3361C08A" w14:textId="77777777" w:rsidR="00976097" w:rsidRPr="00DE058F" w:rsidRDefault="00976097" w:rsidP="00953528">
            <w:pPr>
              <w:jc w:val="center"/>
              <w:rPr>
                <w:color w:val="002060"/>
                <w:sz w:val="18"/>
                <w:lang w:val="sr-Cyrl-CS"/>
              </w:rPr>
            </w:pPr>
            <w:r w:rsidRPr="00DE058F">
              <w:rPr>
                <w:color w:val="002060"/>
                <w:sz w:val="18"/>
                <w:lang w:val="sr-Cyrl-CS"/>
              </w:rPr>
              <w:t>0,7</w:t>
            </w:r>
          </w:p>
        </w:tc>
        <w:tc>
          <w:tcPr>
            <w:tcW w:w="603" w:type="pct"/>
            <w:tcBorders>
              <w:top w:val="nil"/>
              <w:left w:val="nil"/>
              <w:bottom w:val="nil"/>
              <w:right w:val="nil"/>
            </w:tcBorders>
            <w:shd w:val="clear" w:color="auto" w:fill="auto"/>
            <w:noWrap/>
            <w:vAlign w:val="center"/>
          </w:tcPr>
          <w:p w14:paraId="48244A5F" w14:textId="77777777" w:rsidR="00976097" w:rsidRPr="00DE058F" w:rsidRDefault="00976097" w:rsidP="00953528">
            <w:pPr>
              <w:jc w:val="center"/>
              <w:rPr>
                <w:color w:val="002060"/>
                <w:sz w:val="18"/>
                <w:lang w:val="sr-Cyrl-CS"/>
              </w:rPr>
            </w:pPr>
            <w:r w:rsidRPr="00DE058F">
              <w:rPr>
                <w:color w:val="002060"/>
                <w:sz w:val="18"/>
                <w:lang w:val="sr-Cyrl-CS"/>
              </w:rPr>
              <w:t>0,5</w:t>
            </w:r>
          </w:p>
        </w:tc>
        <w:tc>
          <w:tcPr>
            <w:tcW w:w="600" w:type="pct"/>
            <w:tcBorders>
              <w:top w:val="nil"/>
              <w:left w:val="nil"/>
              <w:bottom w:val="nil"/>
              <w:right w:val="nil"/>
            </w:tcBorders>
            <w:shd w:val="clear" w:color="auto" w:fill="auto"/>
            <w:noWrap/>
            <w:vAlign w:val="center"/>
          </w:tcPr>
          <w:p w14:paraId="3345E8FE" w14:textId="77777777" w:rsidR="00976097" w:rsidRPr="00DE058F" w:rsidRDefault="00976097" w:rsidP="00953528">
            <w:pPr>
              <w:jc w:val="center"/>
              <w:rPr>
                <w:color w:val="002060"/>
                <w:sz w:val="18"/>
                <w:lang w:val="sr-Cyrl-CS"/>
              </w:rPr>
            </w:pPr>
            <w:r w:rsidRPr="00DE058F">
              <w:rPr>
                <w:color w:val="002060"/>
                <w:sz w:val="18"/>
                <w:lang w:val="sr-Cyrl-CS"/>
              </w:rPr>
              <w:t>0,5</w:t>
            </w:r>
          </w:p>
        </w:tc>
      </w:tr>
      <w:tr w:rsidR="00976097" w:rsidRPr="00DE058F" w14:paraId="2515E980" w14:textId="77777777" w:rsidTr="00953528">
        <w:trPr>
          <w:trHeight w:val="281"/>
          <w:jc w:val="center"/>
        </w:trPr>
        <w:tc>
          <w:tcPr>
            <w:tcW w:w="2590" w:type="pct"/>
            <w:shd w:val="clear" w:color="auto" w:fill="E7E6E6" w:themeFill="background2"/>
            <w:noWrap/>
            <w:vAlign w:val="center"/>
            <w:hideMark/>
          </w:tcPr>
          <w:p w14:paraId="7EE231F3" w14:textId="77777777" w:rsidR="00976097" w:rsidRPr="00DE058F" w:rsidRDefault="00976097" w:rsidP="00953528">
            <w:pPr>
              <w:jc w:val="left"/>
              <w:rPr>
                <w:rFonts w:eastAsia="Calibri" w:cstheme="minorHAnsi"/>
                <w:bCs/>
                <w:iCs/>
                <w:color w:val="002060"/>
                <w:sz w:val="18"/>
                <w:szCs w:val="18"/>
                <w:lang w:val="sr-Cyrl-CS"/>
              </w:rPr>
            </w:pPr>
            <w:r w:rsidRPr="00DE058F">
              <w:rPr>
                <w:rFonts w:eastAsia="Calibri" w:cstheme="minorHAnsi"/>
                <w:iCs/>
                <w:color w:val="002060"/>
                <w:sz w:val="18"/>
                <w:szCs w:val="18"/>
                <w:lang w:val="sr-Cyrl-CS"/>
              </w:rPr>
              <w:t>Кретање цена, %</w:t>
            </w:r>
          </w:p>
        </w:tc>
        <w:tc>
          <w:tcPr>
            <w:tcW w:w="603" w:type="pct"/>
            <w:shd w:val="clear" w:color="auto" w:fill="E7E6E6" w:themeFill="background2"/>
            <w:noWrap/>
            <w:vAlign w:val="center"/>
          </w:tcPr>
          <w:p w14:paraId="46A32BCA" w14:textId="77777777" w:rsidR="00976097" w:rsidRPr="00DE058F" w:rsidRDefault="00976097" w:rsidP="00953528">
            <w:pPr>
              <w:jc w:val="center"/>
              <w:rPr>
                <w:rFonts w:eastAsia="Calibri" w:cstheme="minorHAnsi"/>
                <w:iCs/>
                <w:color w:val="002060"/>
                <w:sz w:val="18"/>
                <w:szCs w:val="18"/>
                <w:lang w:val="sr-Cyrl-CS"/>
              </w:rPr>
            </w:pPr>
          </w:p>
        </w:tc>
        <w:tc>
          <w:tcPr>
            <w:tcW w:w="604" w:type="pct"/>
            <w:shd w:val="clear" w:color="auto" w:fill="E7E6E6" w:themeFill="background2"/>
            <w:noWrap/>
            <w:vAlign w:val="center"/>
          </w:tcPr>
          <w:p w14:paraId="7CD3CF9A" w14:textId="77777777" w:rsidR="00976097" w:rsidRPr="00DE058F" w:rsidRDefault="00976097" w:rsidP="00953528">
            <w:pPr>
              <w:jc w:val="center"/>
              <w:rPr>
                <w:rFonts w:eastAsia="Calibri" w:cstheme="minorHAnsi"/>
                <w:color w:val="002060"/>
                <w:sz w:val="18"/>
                <w:szCs w:val="18"/>
                <w:lang w:val="sr-Cyrl-CS"/>
              </w:rPr>
            </w:pPr>
          </w:p>
        </w:tc>
        <w:tc>
          <w:tcPr>
            <w:tcW w:w="603" w:type="pct"/>
            <w:shd w:val="clear" w:color="auto" w:fill="E7E6E6" w:themeFill="background2"/>
            <w:noWrap/>
            <w:vAlign w:val="center"/>
          </w:tcPr>
          <w:p w14:paraId="64D04460" w14:textId="77777777" w:rsidR="00976097" w:rsidRPr="00DE058F" w:rsidRDefault="00976097" w:rsidP="00953528">
            <w:pPr>
              <w:jc w:val="center"/>
              <w:rPr>
                <w:rFonts w:eastAsia="Calibri" w:cstheme="minorHAnsi"/>
                <w:color w:val="002060"/>
                <w:sz w:val="18"/>
                <w:szCs w:val="18"/>
                <w:lang w:val="sr-Cyrl-CS"/>
              </w:rPr>
            </w:pPr>
          </w:p>
        </w:tc>
        <w:tc>
          <w:tcPr>
            <w:tcW w:w="600" w:type="pct"/>
            <w:shd w:val="clear" w:color="auto" w:fill="E7E6E6" w:themeFill="background2"/>
            <w:noWrap/>
            <w:vAlign w:val="center"/>
          </w:tcPr>
          <w:p w14:paraId="24DBF36A" w14:textId="77777777" w:rsidR="00976097" w:rsidRPr="00DE058F" w:rsidRDefault="00976097" w:rsidP="00953528">
            <w:pPr>
              <w:jc w:val="center"/>
              <w:rPr>
                <w:rFonts w:eastAsia="Calibri" w:cstheme="minorHAnsi"/>
                <w:color w:val="002060"/>
                <w:sz w:val="18"/>
                <w:szCs w:val="18"/>
                <w:lang w:val="sr-Cyrl-CS"/>
              </w:rPr>
            </w:pPr>
          </w:p>
        </w:tc>
      </w:tr>
      <w:tr w:rsidR="00976097" w:rsidRPr="00DE058F" w14:paraId="77F7B6A5" w14:textId="77777777" w:rsidTr="00953528">
        <w:trPr>
          <w:trHeight w:val="281"/>
          <w:jc w:val="center"/>
        </w:trPr>
        <w:tc>
          <w:tcPr>
            <w:tcW w:w="2590" w:type="pct"/>
            <w:noWrap/>
            <w:vAlign w:val="center"/>
            <w:hideMark/>
          </w:tcPr>
          <w:p w14:paraId="54AB8B9F"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БДП дефлатор</w:t>
            </w:r>
          </w:p>
        </w:tc>
        <w:tc>
          <w:tcPr>
            <w:tcW w:w="603" w:type="pct"/>
            <w:tcBorders>
              <w:top w:val="nil"/>
              <w:left w:val="nil"/>
              <w:bottom w:val="nil"/>
              <w:right w:val="nil"/>
            </w:tcBorders>
            <w:shd w:val="clear" w:color="auto" w:fill="auto"/>
            <w:noWrap/>
            <w:vAlign w:val="center"/>
          </w:tcPr>
          <w:p w14:paraId="54182E79" w14:textId="77777777" w:rsidR="00976097" w:rsidRPr="00DE058F" w:rsidRDefault="00976097" w:rsidP="00953528">
            <w:pPr>
              <w:jc w:val="center"/>
              <w:rPr>
                <w:color w:val="002060"/>
                <w:sz w:val="18"/>
                <w:lang w:val="sr-Cyrl-CS"/>
              </w:rPr>
            </w:pPr>
            <w:r w:rsidRPr="00DE058F">
              <w:rPr>
                <w:color w:val="002060"/>
                <w:sz w:val="18"/>
                <w:lang w:val="sr-Cyrl-CS"/>
              </w:rPr>
              <w:t>6,5</w:t>
            </w:r>
          </w:p>
        </w:tc>
        <w:tc>
          <w:tcPr>
            <w:tcW w:w="604" w:type="pct"/>
            <w:tcBorders>
              <w:top w:val="nil"/>
              <w:left w:val="nil"/>
              <w:bottom w:val="nil"/>
              <w:right w:val="nil"/>
            </w:tcBorders>
            <w:shd w:val="clear" w:color="auto" w:fill="auto"/>
            <w:noWrap/>
            <w:vAlign w:val="center"/>
          </w:tcPr>
          <w:p w14:paraId="3EBBBE62" w14:textId="77777777" w:rsidR="00976097" w:rsidRPr="00DE058F" w:rsidRDefault="00976097" w:rsidP="00953528">
            <w:pPr>
              <w:jc w:val="center"/>
              <w:rPr>
                <w:color w:val="002060"/>
                <w:sz w:val="18"/>
                <w:lang w:val="sr-Cyrl-CS"/>
              </w:rPr>
            </w:pPr>
            <w:r w:rsidRPr="00DE058F">
              <w:rPr>
                <w:color w:val="002060"/>
                <w:sz w:val="18"/>
                <w:lang w:val="sr-Cyrl-CS"/>
              </w:rPr>
              <w:t>4,0</w:t>
            </w:r>
          </w:p>
        </w:tc>
        <w:tc>
          <w:tcPr>
            <w:tcW w:w="603" w:type="pct"/>
            <w:tcBorders>
              <w:top w:val="nil"/>
              <w:left w:val="nil"/>
              <w:bottom w:val="nil"/>
              <w:right w:val="nil"/>
            </w:tcBorders>
            <w:shd w:val="clear" w:color="auto" w:fill="auto"/>
            <w:noWrap/>
            <w:vAlign w:val="center"/>
          </w:tcPr>
          <w:p w14:paraId="43839B0E" w14:textId="77777777" w:rsidR="00976097" w:rsidRPr="00DE058F" w:rsidRDefault="00976097" w:rsidP="00953528">
            <w:pPr>
              <w:jc w:val="center"/>
              <w:rPr>
                <w:color w:val="002060"/>
                <w:sz w:val="18"/>
                <w:lang w:val="sr-Cyrl-CS"/>
              </w:rPr>
            </w:pPr>
            <w:r w:rsidRPr="00DE058F">
              <w:rPr>
                <w:color w:val="002060"/>
                <w:sz w:val="18"/>
                <w:lang w:val="sr-Cyrl-CS"/>
              </w:rPr>
              <w:t>3,3</w:t>
            </w:r>
          </w:p>
        </w:tc>
        <w:tc>
          <w:tcPr>
            <w:tcW w:w="600" w:type="pct"/>
            <w:tcBorders>
              <w:top w:val="nil"/>
              <w:left w:val="nil"/>
              <w:bottom w:val="nil"/>
              <w:right w:val="nil"/>
            </w:tcBorders>
            <w:shd w:val="clear" w:color="auto" w:fill="auto"/>
            <w:noWrap/>
            <w:vAlign w:val="center"/>
          </w:tcPr>
          <w:p w14:paraId="2AE03FAE" w14:textId="77777777" w:rsidR="00976097" w:rsidRPr="00DE058F" w:rsidRDefault="00976097" w:rsidP="00953528">
            <w:pPr>
              <w:jc w:val="center"/>
              <w:rPr>
                <w:color w:val="002060"/>
                <w:sz w:val="18"/>
                <w:lang w:val="sr-Cyrl-CS"/>
              </w:rPr>
            </w:pPr>
            <w:r w:rsidRPr="00DE058F">
              <w:rPr>
                <w:color w:val="002060"/>
                <w:sz w:val="18"/>
                <w:lang w:val="sr-Cyrl-CS"/>
              </w:rPr>
              <w:t>3,2</w:t>
            </w:r>
          </w:p>
        </w:tc>
      </w:tr>
      <w:tr w:rsidR="00976097" w:rsidRPr="00DE058F" w14:paraId="2A8B121F" w14:textId="77777777" w:rsidTr="00953528">
        <w:trPr>
          <w:trHeight w:val="281"/>
          <w:jc w:val="center"/>
        </w:trPr>
        <w:tc>
          <w:tcPr>
            <w:tcW w:w="2590" w:type="pct"/>
            <w:noWrap/>
            <w:vAlign w:val="center"/>
            <w:hideMark/>
          </w:tcPr>
          <w:p w14:paraId="7526E03C"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Потрошачке цене (годишњи просек)</w:t>
            </w:r>
          </w:p>
        </w:tc>
        <w:tc>
          <w:tcPr>
            <w:tcW w:w="603" w:type="pct"/>
            <w:tcBorders>
              <w:top w:val="nil"/>
              <w:left w:val="nil"/>
              <w:bottom w:val="nil"/>
              <w:right w:val="nil"/>
            </w:tcBorders>
            <w:shd w:val="clear" w:color="auto" w:fill="auto"/>
            <w:noWrap/>
            <w:vAlign w:val="center"/>
          </w:tcPr>
          <w:p w14:paraId="6F754738" w14:textId="77777777" w:rsidR="00976097" w:rsidRPr="00DE058F" w:rsidRDefault="00976097" w:rsidP="00953528">
            <w:pPr>
              <w:jc w:val="center"/>
              <w:rPr>
                <w:color w:val="002060"/>
                <w:sz w:val="18"/>
                <w:lang w:val="sr-Cyrl-CS"/>
              </w:rPr>
            </w:pPr>
            <w:r w:rsidRPr="00DE058F">
              <w:rPr>
                <w:color w:val="002060"/>
                <w:sz w:val="18"/>
                <w:lang w:val="sr-Cyrl-CS"/>
              </w:rPr>
              <w:t>9,2</w:t>
            </w:r>
          </w:p>
        </w:tc>
        <w:tc>
          <w:tcPr>
            <w:tcW w:w="604" w:type="pct"/>
            <w:tcBorders>
              <w:top w:val="nil"/>
              <w:left w:val="nil"/>
              <w:bottom w:val="nil"/>
              <w:right w:val="nil"/>
            </w:tcBorders>
            <w:shd w:val="clear" w:color="auto" w:fill="auto"/>
            <w:noWrap/>
            <w:vAlign w:val="center"/>
          </w:tcPr>
          <w:p w14:paraId="013A1F11" w14:textId="77777777" w:rsidR="00976097" w:rsidRPr="00DE058F" w:rsidRDefault="00976097" w:rsidP="00953528">
            <w:pPr>
              <w:jc w:val="center"/>
              <w:rPr>
                <w:color w:val="002060"/>
                <w:sz w:val="18"/>
                <w:lang w:val="sr-Cyrl-CS"/>
              </w:rPr>
            </w:pPr>
            <w:r w:rsidRPr="00DE058F">
              <w:rPr>
                <w:color w:val="002060"/>
                <w:sz w:val="18"/>
                <w:lang w:val="sr-Cyrl-CS"/>
              </w:rPr>
              <w:t>5,3</w:t>
            </w:r>
          </w:p>
        </w:tc>
        <w:tc>
          <w:tcPr>
            <w:tcW w:w="603" w:type="pct"/>
            <w:tcBorders>
              <w:top w:val="nil"/>
              <w:left w:val="nil"/>
              <w:bottom w:val="nil"/>
              <w:right w:val="nil"/>
            </w:tcBorders>
            <w:shd w:val="clear" w:color="auto" w:fill="auto"/>
            <w:noWrap/>
            <w:vAlign w:val="center"/>
          </w:tcPr>
          <w:p w14:paraId="2DC67C0F" w14:textId="77777777" w:rsidR="00976097" w:rsidRPr="00DE058F" w:rsidRDefault="00976097" w:rsidP="00953528">
            <w:pPr>
              <w:jc w:val="center"/>
              <w:rPr>
                <w:color w:val="002060"/>
                <w:sz w:val="18"/>
                <w:lang w:val="sr-Cyrl-CS"/>
              </w:rPr>
            </w:pPr>
            <w:r w:rsidRPr="00DE058F">
              <w:rPr>
                <w:color w:val="002060"/>
                <w:sz w:val="18"/>
                <w:lang w:val="sr-Cyrl-CS"/>
              </w:rPr>
              <w:t>3,0</w:t>
            </w:r>
          </w:p>
        </w:tc>
        <w:tc>
          <w:tcPr>
            <w:tcW w:w="600" w:type="pct"/>
            <w:tcBorders>
              <w:top w:val="nil"/>
              <w:left w:val="nil"/>
              <w:bottom w:val="nil"/>
              <w:right w:val="nil"/>
            </w:tcBorders>
            <w:shd w:val="clear" w:color="auto" w:fill="auto"/>
            <w:noWrap/>
            <w:vAlign w:val="center"/>
          </w:tcPr>
          <w:p w14:paraId="32921DB9" w14:textId="77777777" w:rsidR="00976097" w:rsidRPr="00DE058F" w:rsidRDefault="00976097" w:rsidP="00953528">
            <w:pPr>
              <w:jc w:val="center"/>
              <w:rPr>
                <w:color w:val="002060"/>
                <w:sz w:val="18"/>
                <w:lang w:val="sr-Cyrl-CS"/>
              </w:rPr>
            </w:pPr>
            <w:r w:rsidRPr="00DE058F">
              <w:rPr>
                <w:color w:val="002060"/>
                <w:sz w:val="18"/>
                <w:lang w:val="sr-Cyrl-CS"/>
              </w:rPr>
              <w:t>3,0</w:t>
            </w:r>
          </w:p>
        </w:tc>
      </w:tr>
      <w:tr w:rsidR="00976097" w:rsidRPr="00DE058F" w14:paraId="483110F4" w14:textId="77777777" w:rsidTr="00953528">
        <w:trPr>
          <w:trHeight w:val="281"/>
          <w:jc w:val="center"/>
        </w:trPr>
        <w:tc>
          <w:tcPr>
            <w:tcW w:w="2590" w:type="pct"/>
            <w:shd w:val="clear" w:color="auto" w:fill="E7E6E6" w:themeFill="background2"/>
            <w:noWrap/>
            <w:vAlign w:val="center"/>
            <w:hideMark/>
          </w:tcPr>
          <w:p w14:paraId="3442EB2B" w14:textId="77777777" w:rsidR="00976097" w:rsidRPr="00DE058F" w:rsidRDefault="00976097" w:rsidP="00953528">
            <w:pPr>
              <w:jc w:val="left"/>
              <w:rPr>
                <w:rFonts w:eastAsia="Calibri" w:cstheme="minorHAnsi"/>
                <w:bCs/>
                <w:iCs/>
                <w:color w:val="002060"/>
                <w:sz w:val="18"/>
                <w:szCs w:val="18"/>
                <w:lang w:val="sr-Cyrl-CS"/>
              </w:rPr>
            </w:pPr>
            <w:r w:rsidRPr="00DE058F">
              <w:rPr>
                <w:rFonts w:eastAsia="Calibri" w:cstheme="minorHAnsi"/>
                <w:iCs/>
                <w:color w:val="002060"/>
                <w:sz w:val="18"/>
                <w:szCs w:val="18"/>
                <w:lang w:val="sr-Cyrl-CS"/>
              </w:rPr>
              <w:t>Кретања у спољном сектору, % БДП</w:t>
            </w:r>
          </w:p>
        </w:tc>
        <w:tc>
          <w:tcPr>
            <w:tcW w:w="603" w:type="pct"/>
            <w:shd w:val="clear" w:color="auto" w:fill="E7E6E6" w:themeFill="background2"/>
            <w:noWrap/>
            <w:vAlign w:val="center"/>
          </w:tcPr>
          <w:p w14:paraId="06449FC9" w14:textId="77777777" w:rsidR="00976097" w:rsidRPr="00DE058F" w:rsidRDefault="00976097" w:rsidP="00953528">
            <w:pPr>
              <w:jc w:val="center"/>
              <w:rPr>
                <w:rFonts w:eastAsia="Calibri" w:cstheme="minorHAnsi"/>
                <w:color w:val="002060"/>
                <w:sz w:val="18"/>
                <w:szCs w:val="18"/>
                <w:lang w:val="sr-Cyrl-CS"/>
              </w:rPr>
            </w:pPr>
          </w:p>
        </w:tc>
        <w:tc>
          <w:tcPr>
            <w:tcW w:w="604" w:type="pct"/>
            <w:shd w:val="clear" w:color="auto" w:fill="E7E6E6" w:themeFill="background2"/>
            <w:noWrap/>
            <w:vAlign w:val="center"/>
          </w:tcPr>
          <w:p w14:paraId="11B2A4F9" w14:textId="77777777" w:rsidR="00976097" w:rsidRPr="00DE058F" w:rsidRDefault="00976097" w:rsidP="00953528">
            <w:pPr>
              <w:jc w:val="center"/>
              <w:rPr>
                <w:rFonts w:eastAsia="Calibri" w:cstheme="minorHAnsi"/>
                <w:color w:val="002060"/>
                <w:sz w:val="18"/>
                <w:szCs w:val="18"/>
                <w:lang w:val="sr-Cyrl-CS"/>
              </w:rPr>
            </w:pPr>
          </w:p>
        </w:tc>
        <w:tc>
          <w:tcPr>
            <w:tcW w:w="603" w:type="pct"/>
            <w:shd w:val="clear" w:color="auto" w:fill="E7E6E6" w:themeFill="background2"/>
            <w:noWrap/>
            <w:vAlign w:val="center"/>
          </w:tcPr>
          <w:p w14:paraId="0D6F901B" w14:textId="77777777" w:rsidR="00976097" w:rsidRPr="00DE058F" w:rsidRDefault="00976097" w:rsidP="00953528">
            <w:pPr>
              <w:jc w:val="center"/>
              <w:rPr>
                <w:rFonts w:eastAsia="Calibri" w:cstheme="minorHAnsi"/>
                <w:color w:val="002060"/>
                <w:sz w:val="18"/>
                <w:szCs w:val="18"/>
                <w:lang w:val="sr-Cyrl-CS"/>
              </w:rPr>
            </w:pPr>
          </w:p>
        </w:tc>
        <w:tc>
          <w:tcPr>
            <w:tcW w:w="600" w:type="pct"/>
            <w:shd w:val="clear" w:color="auto" w:fill="E7E6E6" w:themeFill="background2"/>
            <w:noWrap/>
            <w:vAlign w:val="center"/>
          </w:tcPr>
          <w:p w14:paraId="0BF81B04" w14:textId="77777777" w:rsidR="00976097" w:rsidRPr="00DE058F" w:rsidRDefault="00976097" w:rsidP="00953528">
            <w:pPr>
              <w:jc w:val="center"/>
              <w:rPr>
                <w:rFonts w:eastAsia="Calibri" w:cstheme="minorHAnsi"/>
                <w:color w:val="002060"/>
                <w:sz w:val="18"/>
                <w:szCs w:val="18"/>
                <w:lang w:val="sr-Cyrl-CS"/>
              </w:rPr>
            </w:pPr>
          </w:p>
        </w:tc>
      </w:tr>
      <w:tr w:rsidR="00976097" w:rsidRPr="00DE058F" w14:paraId="5745C02D" w14:textId="77777777" w:rsidTr="00953528">
        <w:trPr>
          <w:trHeight w:val="281"/>
          <w:jc w:val="center"/>
        </w:trPr>
        <w:tc>
          <w:tcPr>
            <w:tcW w:w="2590" w:type="pct"/>
            <w:noWrap/>
            <w:vAlign w:val="center"/>
            <w:hideMark/>
          </w:tcPr>
          <w:p w14:paraId="1D642E15"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Салдо роба и услуга</w:t>
            </w:r>
          </w:p>
        </w:tc>
        <w:tc>
          <w:tcPr>
            <w:tcW w:w="603" w:type="pct"/>
            <w:tcBorders>
              <w:top w:val="nil"/>
              <w:left w:val="nil"/>
              <w:bottom w:val="nil"/>
              <w:right w:val="nil"/>
            </w:tcBorders>
            <w:shd w:val="clear" w:color="000000" w:fill="FFFFFF"/>
            <w:noWrap/>
            <w:vAlign w:val="center"/>
          </w:tcPr>
          <w:p w14:paraId="274897B9" w14:textId="77777777" w:rsidR="00976097" w:rsidRPr="00DE058F" w:rsidRDefault="00976097" w:rsidP="00953528">
            <w:pPr>
              <w:jc w:val="center"/>
              <w:rPr>
                <w:color w:val="002060"/>
                <w:sz w:val="18"/>
                <w:lang w:val="sr-Cyrl-CS"/>
              </w:rPr>
            </w:pPr>
            <w:r w:rsidRPr="00DE058F">
              <w:rPr>
                <w:color w:val="002060"/>
                <w:sz w:val="18"/>
                <w:lang w:val="sr-Cyrl-CS"/>
              </w:rPr>
              <w:t>-10,7</w:t>
            </w:r>
          </w:p>
        </w:tc>
        <w:tc>
          <w:tcPr>
            <w:tcW w:w="604" w:type="pct"/>
            <w:tcBorders>
              <w:top w:val="nil"/>
              <w:left w:val="nil"/>
              <w:bottom w:val="nil"/>
              <w:right w:val="nil"/>
            </w:tcBorders>
            <w:shd w:val="clear" w:color="000000" w:fill="FFFFFF"/>
            <w:noWrap/>
            <w:vAlign w:val="center"/>
          </w:tcPr>
          <w:p w14:paraId="26F1619C" w14:textId="77777777" w:rsidR="00976097" w:rsidRPr="00DE058F" w:rsidRDefault="00976097" w:rsidP="00953528">
            <w:pPr>
              <w:jc w:val="center"/>
              <w:rPr>
                <w:color w:val="002060"/>
                <w:sz w:val="18"/>
                <w:lang w:val="sr-Cyrl-CS"/>
              </w:rPr>
            </w:pPr>
            <w:r w:rsidRPr="00DE058F">
              <w:rPr>
                <w:color w:val="002060"/>
                <w:sz w:val="18"/>
                <w:lang w:val="sr-Cyrl-CS"/>
              </w:rPr>
              <w:t>-10,8</w:t>
            </w:r>
          </w:p>
        </w:tc>
        <w:tc>
          <w:tcPr>
            <w:tcW w:w="603" w:type="pct"/>
            <w:tcBorders>
              <w:top w:val="nil"/>
              <w:left w:val="nil"/>
              <w:bottom w:val="nil"/>
              <w:right w:val="nil"/>
            </w:tcBorders>
            <w:shd w:val="clear" w:color="000000" w:fill="FFFFFF"/>
            <w:noWrap/>
            <w:vAlign w:val="center"/>
          </w:tcPr>
          <w:p w14:paraId="153A6981" w14:textId="77777777" w:rsidR="00976097" w:rsidRPr="00DE058F" w:rsidRDefault="00976097" w:rsidP="00953528">
            <w:pPr>
              <w:jc w:val="center"/>
              <w:rPr>
                <w:color w:val="002060"/>
                <w:sz w:val="18"/>
                <w:lang w:val="sr-Cyrl-CS"/>
              </w:rPr>
            </w:pPr>
            <w:r w:rsidRPr="00DE058F">
              <w:rPr>
                <w:color w:val="002060"/>
                <w:sz w:val="18"/>
                <w:lang w:val="sr-Cyrl-CS"/>
              </w:rPr>
              <w:t>-10,1</w:t>
            </w:r>
          </w:p>
        </w:tc>
        <w:tc>
          <w:tcPr>
            <w:tcW w:w="600" w:type="pct"/>
            <w:tcBorders>
              <w:top w:val="nil"/>
              <w:left w:val="nil"/>
              <w:bottom w:val="nil"/>
              <w:right w:val="nil"/>
            </w:tcBorders>
            <w:shd w:val="clear" w:color="000000" w:fill="FFFFFF"/>
            <w:noWrap/>
            <w:vAlign w:val="center"/>
          </w:tcPr>
          <w:p w14:paraId="7CEE2671" w14:textId="77777777" w:rsidR="00976097" w:rsidRPr="00DE058F" w:rsidRDefault="00976097" w:rsidP="00953528">
            <w:pPr>
              <w:jc w:val="center"/>
              <w:rPr>
                <w:color w:val="002060"/>
                <w:sz w:val="18"/>
                <w:lang w:val="sr-Cyrl-CS"/>
              </w:rPr>
            </w:pPr>
            <w:r w:rsidRPr="00DE058F">
              <w:rPr>
                <w:color w:val="002060"/>
                <w:sz w:val="18"/>
                <w:lang w:val="sr-Cyrl-CS"/>
              </w:rPr>
              <w:t>-9,3</w:t>
            </w:r>
          </w:p>
        </w:tc>
      </w:tr>
      <w:tr w:rsidR="00976097" w:rsidRPr="00DE058F" w14:paraId="4B221F6E" w14:textId="77777777" w:rsidTr="00953528">
        <w:trPr>
          <w:trHeight w:val="281"/>
          <w:jc w:val="center"/>
        </w:trPr>
        <w:tc>
          <w:tcPr>
            <w:tcW w:w="2590" w:type="pct"/>
            <w:noWrap/>
            <w:vAlign w:val="center"/>
            <w:hideMark/>
          </w:tcPr>
          <w:p w14:paraId="29EA5365"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Салдо текућег рачуна</w:t>
            </w:r>
          </w:p>
        </w:tc>
        <w:tc>
          <w:tcPr>
            <w:tcW w:w="603" w:type="pct"/>
            <w:tcBorders>
              <w:top w:val="nil"/>
              <w:left w:val="nil"/>
              <w:bottom w:val="nil"/>
              <w:right w:val="nil"/>
            </w:tcBorders>
            <w:shd w:val="clear" w:color="000000" w:fill="FFFFFF"/>
            <w:noWrap/>
            <w:vAlign w:val="center"/>
          </w:tcPr>
          <w:p w14:paraId="1D8E0363" w14:textId="77777777" w:rsidR="00976097" w:rsidRPr="00DE058F" w:rsidRDefault="00976097" w:rsidP="00953528">
            <w:pPr>
              <w:jc w:val="center"/>
              <w:rPr>
                <w:color w:val="002060"/>
                <w:sz w:val="18"/>
                <w:lang w:val="sr-Cyrl-CS"/>
              </w:rPr>
            </w:pPr>
            <w:r w:rsidRPr="00DE058F">
              <w:rPr>
                <w:color w:val="002060"/>
                <w:sz w:val="18"/>
                <w:lang w:val="sr-Cyrl-CS"/>
              </w:rPr>
              <w:t>-6,7</w:t>
            </w:r>
          </w:p>
        </w:tc>
        <w:tc>
          <w:tcPr>
            <w:tcW w:w="604" w:type="pct"/>
            <w:tcBorders>
              <w:top w:val="nil"/>
              <w:left w:val="nil"/>
              <w:bottom w:val="nil"/>
              <w:right w:val="nil"/>
            </w:tcBorders>
            <w:shd w:val="clear" w:color="000000" w:fill="FFFFFF"/>
            <w:noWrap/>
            <w:vAlign w:val="center"/>
          </w:tcPr>
          <w:p w14:paraId="6C24C18E" w14:textId="77777777" w:rsidR="00976097" w:rsidRPr="00DE058F" w:rsidRDefault="00976097" w:rsidP="00953528">
            <w:pPr>
              <w:jc w:val="center"/>
              <w:rPr>
                <w:color w:val="002060"/>
                <w:sz w:val="18"/>
                <w:lang w:val="sr-Cyrl-CS"/>
              </w:rPr>
            </w:pPr>
            <w:r w:rsidRPr="00DE058F">
              <w:rPr>
                <w:color w:val="002060"/>
                <w:sz w:val="18"/>
                <w:lang w:val="sr-Cyrl-CS"/>
              </w:rPr>
              <w:t>-6,9</w:t>
            </w:r>
          </w:p>
        </w:tc>
        <w:tc>
          <w:tcPr>
            <w:tcW w:w="603" w:type="pct"/>
            <w:tcBorders>
              <w:top w:val="nil"/>
              <w:left w:val="nil"/>
              <w:bottom w:val="nil"/>
              <w:right w:val="nil"/>
            </w:tcBorders>
            <w:shd w:val="clear" w:color="000000" w:fill="FFFFFF"/>
            <w:noWrap/>
            <w:vAlign w:val="center"/>
          </w:tcPr>
          <w:p w14:paraId="5922678F" w14:textId="77777777" w:rsidR="00976097" w:rsidRPr="00DE058F" w:rsidRDefault="00976097" w:rsidP="00953528">
            <w:pPr>
              <w:jc w:val="center"/>
              <w:rPr>
                <w:color w:val="002060"/>
                <w:sz w:val="18"/>
                <w:lang w:val="sr-Cyrl-CS"/>
              </w:rPr>
            </w:pPr>
            <w:r w:rsidRPr="00DE058F">
              <w:rPr>
                <w:color w:val="002060"/>
                <w:sz w:val="18"/>
                <w:lang w:val="sr-Cyrl-CS"/>
              </w:rPr>
              <w:t>-6,4</w:t>
            </w:r>
          </w:p>
        </w:tc>
        <w:tc>
          <w:tcPr>
            <w:tcW w:w="600" w:type="pct"/>
            <w:tcBorders>
              <w:top w:val="nil"/>
              <w:left w:val="nil"/>
              <w:bottom w:val="nil"/>
              <w:right w:val="nil"/>
            </w:tcBorders>
            <w:shd w:val="clear" w:color="000000" w:fill="FFFFFF"/>
            <w:noWrap/>
            <w:vAlign w:val="center"/>
          </w:tcPr>
          <w:p w14:paraId="17EBC646" w14:textId="77777777" w:rsidR="00976097" w:rsidRPr="00DE058F" w:rsidRDefault="00976097" w:rsidP="00953528">
            <w:pPr>
              <w:jc w:val="center"/>
              <w:rPr>
                <w:color w:val="002060"/>
                <w:sz w:val="18"/>
                <w:lang w:val="sr-Cyrl-CS"/>
              </w:rPr>
            </w:pPr>
            <w:r w:rsidRPr="00DE058F">
              <w:rPr>
                <w:color w:val="002060"/>
                <w:sz w:val="18"/>
                <w:lang w:val="sr-Cyrl-CS"/>
              </w:rPr>
              <w:t>-6,0</w:t>
            </w:r>
          </w:p>
        </w:tc>
      </w:tr>
      <w:tr w:rsidR="00976097" w:rsidRPr="00DE058F" w14:paraId="075DCE10" w14:textId="77777777" w:rsidTr="00953528">
        <w:trPr>
          <w:trHeight w:val="283"/>
          <w:jc w:val="center"/>
        </w:trPr>
        <w:tc>
          <w:tcPr>
            <w:tcW w:w="2590" w:type="pct"/>
            <w:shd w:val="clear" w:color="auto" w:fill="E7E6E6" w:themeFill="background2"/>
            <w:noWrap/>
            <w:vAlign w:val="center"/>
            <w:hideMark/>
          </w:tcPr>
          <w:p w14:paraId="771C9B0B" w14:textId="77777777" w:rsidR="00976097" w:rsidRPr="00DE058F" w:rsidRDefault="00976097" w:rsidP="00953528">
            <w:pPr>
              <w:jc w:val="left"/>
              <w:rPr>
                <w:rFonts w:eastAsia="Calibri" w:cstheme="minorHAnsi"/>
                <w:bCs/>
                <w:iCs/>
                <w:color w:val="002060"/>
                <w:sz w:val="18"/>
                <w:szCs w:val="18"/>
                <w:lang w:val="sr-Cyrl-CS"/>
              </w:rPr>
            </w:pPr>
            <w:r w:rsidRPr="00DE058F">
              <w:rPr>
                <w:rFonts w:eastAsia="Calibri" w:cstheme="minorHAnsi"/>
                <w:iCs/>
                <w:color w:val="002060"/>
                <w:sz w:val="18"/>
                <w:szCs w:val="18"/>
                <w:lang w:val="sr-Cyrl-CS"/>
              </w:rPr>
              <w:t>Фискални индикатори, % БДП</w:t>
            </w:r>
          </w:p>
        </w:tc>
        <w:tc>
          <w:tcPr>
            <w:tcW w:w="603" w:type="pct"/>
            <w:shd w:val="clear" w:color="auto" w:fill="E7E6E6" w:themeFill="background2"/>
            <w:noWrap/>
            <w:vAlign w:val="center"/>
          </w:tcPr>
          <w:p w14:paraId="1F74FE44" w14:textId="77777777" w:rsidR="00976097" w:rsidRPr="00DE058F" w:rsidRDefault="00976097" w:rsidP="00953528">
            <w:pPr>
              <w:jc w:val="center"/>
              <w:rPr>
                <w:rFonts w:eastAsia="Calibri" w:cstheme="minorHAnsi"/>
                <w:iCs/>
                <w:color w:val="002060"/>
                <w:sz w:val="18"/>
                <w:szCs w:val="18"/>
                <w:lang w:val="sr-Cyrl-CS"/>
              </w:rPr>
            </w:pPr>
          </w:p>
        </w:tc>
        <w:tc>
          <w:tcPr>
            <w:tcW w:w="604" w:type="pct"/>
            <w:shd w:val="clear" w:color="auto" w:fill="E7E6E6" w:themeFill="background2"/>
            <w:noWrap/>
            <w:vAlign w:val="center"/>
          </w:tcPr>
          <w:p w14:paraId="664B478C" w14:textId="77777777" w:rsidR="00976097" w:rsidRPr="00DE058F" w:rsidRDefault="00976097" w:rsidP="00953528">
            <w:pPr>
              <w:jc w:val="center"/>
              <w:rPr>
                <w:rFonts w:eastAsia="Calibri" w:cstheme="minorHAnsi"/>
                <w:color w:val="002060"/>
                <w:sz w:val="18"/>
                <w:szCs w:val="18"/>
                <w:lang w:val="sr-Cyrl-CS"/>
              </w:rPr>
            </w:pPr>
          </w:p>
        </w:tc>
        <w:tc>
          <w:tcPr>
            <w:tcW w:w="603" w:type="pct"/>
            <w:shd w:val="clear" w:color="auto" w:fill="E7E6E6" w:themeFill="background2"/>
            <w:noWrap/>
            <w:vAlign w:val="center"/>
          </w:tcPr>
          <w:p w14:paraId="7104C5AF" w14:textId="77777777" w:rsidR="00976097" w:rsidRPr="00DE058F" w:rsidRDefault="00976097" w:rsidP="00953528">
            <w:pPr>
              <w:jc w:val="center"/>
              <w:rPr>
                <w:rFonts w:eastAsia="Calibri" w:cstheme="minorHAnsi"/>
                <w:color w:val="002060"/>
                <w:sz w:val="18"/>
                <w:szCs w:val="18"/>
                <w:lang w:val="sr-Cyrl-CS"/>
              </w:rPr>
            </w:pPr>
          </w:p>
        </w:tc>
        <w:tc>
          <w:tcPr>
            <w:tcW w:w="600" w:type="pct"/>
            <w:shd w:val="clear" w:color="auto" w:fill="E7E6E6" w:themeFill="background2"/>
            <w:noWrap/>
            <w:vAlign w:val="center"/>
          </w:tcPr>
          <w:p w14:paraId="5F20C621" w14:textId="77777777" w:rsidR="00976097" w:rsidRPr="00DE058F" w:rsidRDefault="00976097" w:rsidP="00953528">
            <w:pPr>
              <w:jc w:val="center"/>
              <w:rPr>
                <w:rFonts w:eastAsia="Calibri" w:cstheme="minorHAnsi"/>
                <w:color w:val="002060"/>
                <w:sz w:val="18"/>
                <w:szCs w:val="18"/>
                <w:lang w:val="sr-Cyrl-CS"/>
              </w:rPr>
            </w:pPr>
          </w:p>
        </w:tc>
      </w:tr>
      <w:tr w:rsidR="00976097" w:rsidRPr="00DE058F" w14:paraId="55FD17A7" w14:textId="77777777" w:rsidTr="00953528">
        <w:trPr>
          <w:trHeight w:val="281"/>
          <w:jc w:val="center"/>
        </w:trPr>
        <w:tc>
          <w:tcPr>
            <w:tcW w:w="2590" w:type="pct"/>
            <w:noWrap/>
            <w:vAlign w:val="center"/>
            <w:hideMark/>
          </w:tcPr>
          <w:p w14:paraId="34B6E8C5"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Фискални резултат опште државе</w:t>
            </w:r>
          </w:p>
        </w:tc>
        <w:tc>
          <w:tcPr>
            <w:tcW w:w="603" w:type="pct"/>
            <w:shd w:val="clear" w:color="auto" w:fill="auto"/>
            <w:noWrap/>
            <w:vAlign w:val="center"/>
          </w:tcPr>
          <w:p w14:paraId="680CA6CE" w14:textId="77777777" w:rsidR="00976097" w:rsidRPr="00DE058F" w:rsidRDefault="00976097" w:rsidP="00953528">
            <w:pPr>
              <w:jc w:val="center"/>
              <w:rPr>
                <w:color w:val="002060"/>
                <w:sz w:val="18"/>
                <w:lang w:val="sr-Cyrl-CS"/>
              </w:rPr>
            </w:pPr>
            <w:r w:rsidRPr="00DE058F">
              <w:rPr>
                <w:rFonts w:cstheme="minorHAnsi"/>
                <w:color w:val="002060"/>
                <w:sz w:val="18"/>
                <w:szCs w:val="18"/>
                <w:lang w:val="sr-Cyrl-CS"/>
              </w:rPr>
              <w:t>-3,0</w:t>
            </w:r>
          </w:p>
        </w:tc>
        <w:tc>
          <w:tcPr>
            <w:tcW w:w="604" w:type="pct"/>
            <w:shd w:val="clear" w:color="auto" w:fill="auto"/>
            <w:noWrap/>
            <w:vAlign w:val="center"/>
          </w:tcPr>
          <w:p w14:paraId="4868137D" w14:textId="77777777" w:rsidR="00976097" w:rsidRPr="00DE058F" w:rsidRDefault="00976097" w:rsidP="00953528">
            <w:pPr>
              <w:jc w:val="center"/>
              <w:rPr>
                <w:color w:val="002060"/>
                <w:sz w:val="18"/>
                <w:lang w:val="sr-Cyrl-CS"/>
              </w:rPr>
            </w:pPr>
            <w:r w:rsidRPr="00DE058F">
              <w:rPr>
                <w:rFonts w:cstheme="minorHAnsi"/>
                <w:color w:val="002060"/>
                <w:sz w:val="18"/>
                <w:szCs w:val="18"/>
                <w:lang w:val="sr-Cyrl-CS"/>
              </w:rPr>
              <w:t>-1,5</w:t>
            </w:r>
          </w:p>
        </w:tc>
        <w:tc>
          <w:tcPr>
            <w:tcW w:w="603" w:type="pct"/>
            <w:shd w:val="clear" w:color="auto" w:fill="auto"/>
            <w:noWrap/>
            <w:vAlign w:val="center"/>
          </w:tcPr>
          <w:p w14:paraId="5BC07667" w14:textId="77777777" w:rsidR="00976097" w:rsidRPr="00DE058F" w:rsidRDefault="00976097" w:rsidP="00953528">
            <w:pPr>
              <w:jc w:val="center"/>
              <w:rPr>
                <w:color w:val="002060"/>
                <w:sz w:val="18"/>
                <w:lang w:val="sr-Cyrl-CS"/>
              </w:rPr>
            </w:pPr>
            <w:r w:rsidRPr="00DE058F">
              <w:rPr>
                <w:rFonts w:cstheme="minorHAnsi"/>
                <w:color w:val="002060"/>
                <w:sz w:val="18"/>
                <w:szCs w:val="18"/>
                <w:lang w:val="sr-Cyrl-CS"/>
              </w:rPr>
              <w:t>-1,0</w:t>
            </w:r>
          </w:p>
        </w:tc>
        <w:tc>
          <w:tcPr>
            <w:tcW w:w="600" w:type="pct"/>
            <w:shd w:val="clear" w:color="auto" w:fill="auto"/>
            <w:noWrap/>
            <w:vAlign w:val="center"/>
          </w:tcPr>
          <w:p w14:paraId="018B3F03" w14:textId="77777777" w:rsidR="00976097" w:rsidRPr="00DE058F" w:rsidRDefault="00976097" w:rsidP="00953528">
            <w:pPr>
              <w:jc w:val="center"/>
              <w:rPr>
                <w:rFonts w:eastAsia="Calibri" w:cstheme="minorHAnsi"/>
                <w:color w:val="002060"/>
                <w:sz w:val="18"/>
                <w:szCs w:val="18"/>
                <w:lang w:val="sr-Cyrl-CS"/>
              </w:rPr>
            </w:pPr>
            <w:r w:rsidRPr="00DE058F">
              <w:rPr>
                <w:rFonts w:cstheme="minorHAnsi"/>
                <w:color w:val="002060"/>
                <w:sz w:val="18"/>
                <w:szCs w:val="18"/>
                <w:lang w:val="sr-Cyrl-CS"/>
              </w:rPr>
              <w:t>-0,5</w:t>
            </w:r>
          </w:p>
        </w:tc>
      </w:tr>
      <w:tr w:rsidR="00976097" w:rsidRPr="00DE058F" w14:paraId="07019BFB" w14:textId="77777777" w:rsidTr="00953528">
        <w:trPr>
          <w:trHeight w:val="281"/>
          <w:jc w:val="center"/>
        </w:trPr>
        <w:tc>
          <w:tcPr>
            <w:tcW w:w="2590" w:type="pct"/>
            <w:noWrap/>
            <w:vAlign w:val="center"/>
            <w:hideMark/>
          </w:tcPr>
          <w:p w14:paraId="69813909"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Консолидовани приходи</w:t>
            </w:r>
          </w:p>
        </w:tc>
        <w:tc>
          <w:tcPr>
            <w:tcW w:w="603" w:type="pct"/>
            <w:shd w:val="clear" w:color="auto" w:fill="auto"/>
            <w:noWrap/>
            <w:vAlign w:val="center"/>
          </w:tcPr>
          <w:p w14:paraId="1D75EBA2" w14:textId="77777777" w:rsidR="00976097" w:rsidRPr="00DE058F" w:rsidRDefault="00976097" w:rsidP="00953528">
            <w:pPr>
              <w:jc w:val="center"/>
              <w:rPr>
                <w:color w:val="002060"/>
                <w:sz w:val="18"/>
                <w:lang w:val="sr-Cyrl-CS"/>
              </w:rPr>
            </w:pPr>
            <w:r w:rsidRPr="00DE058F">
              <w:rPr>
                <w:rFonts w:cstheme="minorHAnsi"/>
                <w:color w:val="002060"/>
                <w:sz w:val="18"/>
                <w:szCs w:val="18"/>
                <w:lang w:val="sr-Cyrl-CS"/>
              </w:rPr>
              <w:t>42,0</w:t>
            </w:r>
          </w:p>
        </w:tc>
        <w:tc>
          <w:tcPr>
            <w:tcW w:w="604" w:type="pct"/>
            <w:shd w:val="clear" w:color="auto" w:fill="auto"/>
            <w:noWrap/>
            <w:vAlign w:val="center"/>
          </w:tcPr>
          <w:p w14:paraId="4FDD65C4" w14:textId="77777777" w:rsidR="00976097" w:rsidRPr="00DE058F" w:rsidRDefault="00976097" w:rsidP="00953528">
            <w:pPr>
              <w:jc w:val="center"/>
              <w:rPr>
                <w:color w:val="002060"/>
                <w:sz w:val="18"/>
                <w:lang w:val="sr-Cyrl-CS"/>
              </w:rPr>
            </w:pPr>
            <w:r w:rsidRPr="00DE058F">
              <w:rPr>
                <w:rFonts w:cstheme="minorHAnsi"/>
                <w:color w:val="002060"/>
                <w:sz w:val="18"/>
                <w:szCs w:val="18"/>
                <w:lang w:val="sr-Cyrl-CS"/>
              </w:rPr>
              <w:t>41,2</w:t>
            </w:r>
          </w:p>
        </w:tc>
        <w:tc>
          <w:tcPr>
            <w:tcW w:w="603" w:type="pct"/>
            <w:shd w:val="clear" w:color="auto" w:fill="auto"/>
            <w:noWrap/>
            <w:vAlign w:val="center"/>
          </w:tcPr>
          <w:p w14:paraId="7B95E7B7" w14:textId="77777777" w:rsidR="00976097" w:rsidRPr="00DE058F" w:rsidRDefault="00976097" w:rsidP="00953528">
            <w:pPr>
              <w:jc w:val="center"/>
              <w:rPr>
                <w:color w:val="002060"/>
                <w:sz w:val="18"/>
                <w:lang w:val="sr-Cyrl-CS"/>
              </w:rPr>
            </w:pPr>
            <w:r w:rsidRPr="00DE058F">
              <w:rPr>
                <w:color w:val="002060"/>
                <w:sz w:val="18"/>
                <w:lang w:val="sr-Cyrl-CS"/>
              </w:rPr>
              <w:t>40,7</w:t>
            </w:r>
          </w:p>
        </w:tc>
        <w:tc>
          <w:tcPr>
            <w:tcW w:w="600" w:type="pct"/>
            <w:shd w:val="clear" w:color="auto" w:fill="auto"/>
            <w:noWrap/>
            <w:vAlign w:val="center"/>
          </w:tcPr>
          <w:p w14:paraId="40E75DAD" w14:textId="77777777" w:rsidR="00976097" w:rsidRPr="00DE058F" w:rsidRDefault="00976097" w:rsidP="00953528">
            <w:pPr>
              <w:jc w:val="center"/>
              <w:rPr>
                <w:rFonts w:eastAsia="Calibri" w:cstheme="minorHAnsi"/>
                <w:color w:val="002060"/>
                <w:sz w:val="18"/>
                <w:szCs w:val="18"/>
                <w:lang w:val="sr-Cyrl-CS"/>
              </w:rPr>
            </w:pPr>
            <w:r w:rsidRPr="00DE058F">
              <w:rPr>
                <w:rFonts w:eastAsia="Calibri" w:cstheme="minorHAnsi"/>
                <w:color w:val="002060"/>
                <w:sz w:val="18"/>
                <w:szCs w:val="18"/>
                <w:lang w:val="sr-Cyrl-CS"/>
              </w:rPr>
              <w:t>40,1</w:t>
            </w:r>
          </w:p>
        </w:tc>
      </w:tr>
      <w:tr w:rsidR="00976097" w:rsidRPr="00DE058F" w14:paraId="5F7709A2" w14:textId="77777777" w:rsidTr="00953528">
        <w:trPr>
          <w:trHeight w:val="281"/>
          <w:jc w:val="center"/>
        </w:trPr>
        <w:tc>
          <w:tcPr>
            <w:tcW w:w="2590" w:type="pct"/>
            <w:noWrap/>
            <w:vAlign w:val="center"/>
            <w:hideMark/>
          </w:tcPr>
          <w:p w14:paraId="63C98F66" w14:textId="77777777" w:rsidR="00976097" w:rsidRPr="00DE058F" w:rsidRDefault="00976097" w:rsidP="00953528">
            <w:pPr>
              <w:ind w:left="113"/>
              <w:jc w:val="left"/>
              <w:rPr>
                <w:rFonts w:eastAsia="Calibri" w:cstheme="minorHAnsi"/>
                <w:color w:val="002060"/>
                <w:sz w:val="18"/>
                <w:szCs w:val="18"/>
                <w:lang w:val="sr-Cyrl-CS"/>
              </w:rPr>
            </w:pPr>
            <w:r w:rsidRPr="00DE058F">
              <w:rPr>
                <w:rFonts w:eastAsia="Calibri" w:cstheme="minorHAnsi"/>
                <w:color w:val="002060"/>
                <w:sz w:val="18"/>
                <w:szCs w:val="18"/>
                <w:lang w:val="sr-Cyrl-CS"/>
              </w:rPr>
              <w:t>Консолидовани расходи</w:t>
            </w:r>
          </w:p>
        </w:tc>
        <w:tc>
          <w:tcPr>
            <w:tcW w:w="603" w:type="pct"/>
            <w:shd w:val="clear" w:color="auto" w:fill="auto"/>
            <w:noWrap/>
            <w:vAlign w:val="center"/>
          </w:tcPr>
          <w:p w14:paraId="468F2421" w14:textId="77777777" w:rsidR="00976097" w:rsidRPr="00DE058F" w:rsidRDefault="00976097" w:rsidP="00953528">
            <w:pPr>
              <w:jc w:val="center"/>
              <w:rPr>
                <w:color w:val="002060"/>
                <w:sz w:val="18"/>
                <w:lang w:val="sr-Cyrl-CS"/>
              </w:rPr>
            </w:pPr>
            <w:r w:rsidRPr="00DE058F">
              <w:rPr>
                <w:color w:val="002060"/>
                <w:sz w:val="18"/>
                <w:lang w:val="sr-Cyrl-CS"/>
              </w:rPr>
              <w:t>45,0</w:t>
            </w:r>
          </w:p>
        </w:tc>
        <w:tc>
          <w:tcPr>
            <w:tcW w:w="604" w:type="pct"/>
            <w:shd w:val="clear" w:color="auto" w:fill="auto"/>
            <w:noWrap/>
            <w:vAlign w:val="center"/>
          </w:tcPr>
          <w:p w14:paraId="7C69EB4A" w14:textId="77777777" w:rsidR="00976097" w:rsidRPr="00DE058F" w:rsidRDefault="00976097" w:rsidP="00953528">
            <w:pPr>
              <w:jc w:val="center"/>
              <w:rPr>
                <w:color w:val="002060"/>
                <w:sz w:val="18"/>
                <w:lang w:val="sr-Cyrl-CS"/>
              </w:rPr>
            </w:pPr>
            <w:r w:rsidRPr="00DE058F">
              <w:rPr>
                <w:color w:val="002060"/>
                <w:sz w:val="18"/>
                <w:lang w:val="sr-Cyrl-CS"/>
              </w:rPr>
              <w:t>42,7</w:t>
            </w:r>
          </w:p>
        </w:tc>
        <w:tc>
          <w:tcPr>
            <w:tcW w:w="603" w:type="pct"/>
            <w:shd w:val="clear" w:color="auto" w:fill="auto"/>
            <w:noWrap/>
            <w:vAlign w:val="center"/>
          </w:tcPr>
          <w:p w14:paraId="067465E8" w14:textId="77777777" w:rsidR="00976097" w:rsidRPr="00DE058F" w:rsidRDefault="00976097" w:rsidP="00953528">
            <w:pPr>
              <w:jc w:val="center"/>
              <w:rPr>
                <w:color w:val="002060"/>
                <w:sz w:val="18"/>
                <w:lang w:val="sr-Cyrl-CS"/>
              </w:rPr>
            </w:pPr>
            <w:r w:rsidRPr="00DE058F">
              <w:rPr>
                <w:color w:val="002060"/>
                <w:sz w:val="18"/>
                <w:lang w:val="sr-Cyrl-CS"/>
              </w:rPr>
              <w:t>41,7</w:t>
            </w:r>
          </w:p>
        </w:tc>
        <w:tc>
          <w:tcPr>
            <w:tcW w:w="600" w:type="pct"/>
            <w:shd w:val="clear" w:color="auto" w:fill="auto"/>
            <w:noWrap/>
            <w:vAlign w:val="center"/>
          </w:tcPr>
          <w:p w14:paraId="3A7617AD" w14:textId="77777777" w:rsidR="00976097" w:rsidRPr="00DE058F" w:rsidRDefault="00976097" w:rsidP="00953528">
            <w:pPr>
              <w:jc w:val="center"/>
              <w:rPr>
                <w:rFonts w:eastAsia="Calibri" w:cstheme="minorHAnsi"/>
                <w:color w:val="002060"/>
                <w:sz w:val="18"/>
                <w:szCs w:val="18"/>
                <w:lang w:val="sr-Cyrl-CS"/>
              </w:rPr>
            </w:pPr>
            <w:r w:rsidRPr="00DE058F">
              <w:rPr>
                <w:rFonts w:eastAsia="Calibri" w:cstheme="minorHAnsi"/>
                <w:color w:val="002060"/>
                <w:sz w:val="18"/>
                <w:szCs w:val="18"/>
                <w:lang w:val="sr-Cyrl-CS"/>
              </w:rPr>
              <w:t>40,6</w:t>
            </w:r>
          </w:p>
        </w:tc>
      </w:tr>
      <w:tr w:rsidR="00976097" w:rsidRPr="00DE058F" w14:paraId="353F60DA" w14:textId="77777777" w:rsidTr="00953528">
        <w:trPr>
          <w:trHeight w:val="281"/>
          <w:jc w:val="center"/>
        </w:trPr>
        <w:tc>
          <w:tcPr>
            <w:tcW w:w="2590" w:type="pct"/>
            <w:tcBorders>
              <w:bottom w:val="single" w:sz="4" w:space="0" w:color="002060"/>
            </w:tcBorders>
            <w:noWrap/>
            <w:vAlign w:val="center"/>
            <w:hideMark/>
          </w:tcPr>
          <w:p w14:paraId="74B9781F" w14:textId="77777777" w:rsidR="00976097" w:rsidRPr="00DE058F" w:rsidRDefault="00976097" w:rsidP="00953528">
            <w:pPr>
              <w:ind w:left="113"/>
              <w:jc w:val="left"/>
              <w:rPr>
                <w:rFonts w:eastAsia="Calibri" w:cstheme="minorHAnsi"/>
                <w:bCs/>
                <w:color w:val="002060"/>
                <w:sz w:val="18"/>
                <w:szCs w:val="18"/>
                <w:lang w:val="sr-Cyrl-CS"/>
              </w:rPr>
            </w:pPr>
            <w:r w:rsidRPr="00DE058F">
              <w:rPr>
                <w:rFonts w:eastAsia="Calibri" w:cstheme="minorHAnsi"/>
                <w:color w:val="002060"/>
                <w:sz w:val="18"/>
                <w:szCs w:val="18"/>
                <w:lang w:val="sr-Cyrl-CS"/>
              </w:rPr>
              <w:t>Бруто дуг сектора опште државе</w:t>
            </w:r>
          </w:p>
        </w:tc>
        <w:tc>
          <w:tcPr>
            <w:tcW w:w="603" w:type="pct"/>
            <w:tcBorders>
              <w:bottom w:val="single" w:sz="4" w:space="0" w:color="auto"/>
            </w:tcBorders>
            <w:shd w:val="clear" w:color="auto" w:fill="auto"/>
            <w:noWrap/>
            <w:vAlign w:val="center"/>
          </w:tcPr>
          <w:p w14:paraId="0A422929" w14:textId="77777777" w:rsidR="00976097" w:rsidRPr="00DE058F" w:rsidRDefault="00976097" w:rsidP="00953528">
            <w:pPr>
              <w:jc w:val="center"/>
              <w:rPr>
                <w:rFonts w:eastAsia="Calibri" w:cstheme="minorHAnsi"/>
                <w:color w:val="002060"/>
                <w:sz w:val="18"/>
                <w:szCs w:val="18"/>
                <w:lang w:val="sr-Cyrl-CS"/>
              </w:rPr>
            </w:pPr>
            <w:r w:rsidRPr="00DE058F">
              <w:rPr>
                <w:rFonts w:eastAsia="Calibri" w:cstheme="minorHAnsi"/>
                <w:color w:val="002060"/>
                <w:sz w:val="18"/>
                <w:szCs w:val="18"/>
                <w:lang w:val="sr-Cyrl-CS"/>
              </w:rPr>
              <w:t>54,6</w:t>
            </w:r>
          </w:p>
        </w:tc>
        <w:tc>
          <w:tcPr>
            <w:tcW w:w="604" w:type="pct"/>
            <w:tcBorders>
              <w:bottom w:val="single" w:sz="4" w:space="0" w:color="auto"/>
            </w:tcBorders>
            <w:shd w:val="clear" w:color="auto" w:fill="auto"/>
            <w:noWrap/>
            <w:vAlign w:val="center"/>
          </w:tcPr>
          <w:p w14:paraId="2731D2F4" w14:textId="77777777" w:rsidR="00976097" w:rsidRPr="00DE058F" w:rsidRDefault="00976097" w:rsidP="00953528">
            <w:pPr>
              <w:jc w:val="center"/>
              <w:rPr>
                <w:rFonts w:eastAsia="Calibri" w:cstheme="minorHAnsi"/>
                <w:color w:val="002060"/>
                <w:sz w:val="18"/>
                <w:szCs w:val="18"/>
                <w:lang w:val="sr-Cyrl-CS"/>
              </w:rPr>
            </w:pPr>
            <w:r w:rsidRPr="00DE058F">
              <w:rPr>
                <w:rFonts w:eastAsia="Calibri" w:cstheme="minorHAnsi"/>
                <w:color w:val="002060"/>
                <w:sz w:val="18"/>
                <w:szCs w:val="18"/>
                <w:lang w:val="sr-Cyrl-CS"/>
              </w:rPr>
              <w:t>53,1</w:t>
            </w:r>
          </w:p>
        </w:tc>
        <w:tc>
          <w:tcPr>
            <w:tcW w:w="603" w:type="pct"/>
            <w:tcBorders>
              <w:bottom w:val="single" w:sz="4" w:space="0" w:color="auto"/>
            </w:tcBorders>
            <w:shd w:val="clear" w:color="auto" w:fill="auto"/>
            <w:noWrap/>
            <w:vAlign w:val="center"/>
          </w:tcPr>
          <w:p w14:paraId="3D7691F0" w14:textId="77777777" w:rsidR="00976097" w:rsidRPr="00DE058F" w:rsidRDefault="00976097" w:rsidP="00953528">
            <w:pPr>
              <w:jc w:val="center"/>
              <w:rPr>
                <w:rFonts w:eastAsia="Calibri" w:cstheme="minorHAnsi"/>
                <w:color w:val="002060"/>
                <w:sz w:val="18"/>
                <w:szCs w:val="18"/>
                <w:lang w:val="sr-Cyrl-CS"/>
              </w:rPr>
            </w:pPr>
            <w:r w:rsidRPr="00DE058F">
              <w:rPr>
                <w:rFonts w:eastAsia="Calibri" w:cstheme="minorHAnsi"/>
                <w:color w:val="002060"/>
                <w:sz w:val="18"/>
                <w:szCs w:val="18"/>
                <w:lang w:val="sr-Cyrl-CS"/>
              </w:rPr>
              <w:t>52,0</w:t>
            </w:r>
          </w:p>
        </w:tc>
        <w:tc>
          <w:tcPr>
            <w:tcW w:w="600" w:type="pct"/>
            <w:tcBorders>
              <w:bottom w:val="single" w:sz="4" w:space="0" w:color="auto"/>
            </w:tcBorders>
            <w:shd w:val="clear" w:color="auto" w:fill="auto"/>
            <w:noWrap/>
            <w:vAlign w:val="center"/>
          </w:tcPr>
          <w:p w14:paraId="08C97FFA" w14:textId="77777777" w:rsidR="00976097" w:rsidRPr="00DE058F" w:rsidRDefault="00976097" w:rsidP="00953528">
            <w:pPr>
              <w:jc w:val="center"/>
              <w:rPr>
                <w:rFonts w:eastAsia="Calibri" w:cstheme="minorHAnsi"/>
                <w:color w:val="002060"/>
                <w:sz w:val="18"/>
                <w:szCs w:val="18"/>
                <w:lang w:val="sr-Cyrl-CS"/>
              </w:rPr>
            </w:pPr>
            <w:r w:rsidRPr="00DE058F">
              <w:rPr>
                <w:rFonts w:eastAsia="Calibri" w:cstheme="minorHAnsi"/>
                <w:color w:val="002060"/>
                <w:sz w:val="18"/>
                <w:szCs w:val="18"/>
                <w:lang w:val="sr-Cyrl-CS"/>
              </w:rPr>
              <w:t>50,7</w:t>
            </w:r>
          </w:p>
        </w:tc>
      </w:tr>
      <w:bookmarkEnd w:id="62"/>
      <w:bookmarkEnd w:id="63"/>
      <w:bookmarkEnd w:id="64"/>
    </w:tbl>
    <w:p w14:paraId="70A7E214" w14:textId="77777777" w:rsidR="00BB2F03" w:rsidRPr="00DE058F" w:rsidRDefault="00BB2F03" w:rsidP="00D751D5">
      <w:pPr>
        <w:jc w:val="left"/>
        <w:rPr>
          <w:rFonts w:cstheme="minorHAnsi"/>
          <w:sz w:val="16"/>
          <w:szCs w:val="16"/>
          <w:lang w:val="sr-Cyrl-CS"/>
        </w:rPr>
      </w:pPr>
    </w:p>
    <w:p w14:paraId="7398FC51" w14:textId="77777777" w:rsidR="00BB2F03" w:rsidRPr="00DE058F" w:rsidRDefault="00BB2F03" w:rsidP="00D751D5">
      <w:pPr>
        <w:jc w:val="left"/>
        <w:rPr>
          <w:rFonts w:cstheme="minorHAnsi"/>
          <w:sz w:val="16"/>
          <w:szCs w:val="16"/>
          <w:lang w:val="sr-Cyrl-CS"/>
        </w:rPr>
        <w:sectPr w:rsidR="00BB2F03" w:rsidRPr="00DE058F" w:rsidSect="001A0255">
          <w:footerReference w:type="default" r:id="rId183"/>
          <w:pgSz w:w="12240" w:h="15840" w:code="1"/>
          <w:pgMar w:top="1440" w:right="1440" w:bottom="1440" w:left="1440" w:header="720" w:footer="720" w:gutter="0"/>
          <w:cols w:space="720"/>
          <w:docGrid w:linePitch="360"/>
        </w:sectPr>
      </w:pPr>
    </w:p>
    <w:p w14:paraId="7A6068A6" w14:textId="77777777" w:rsidR="00BF6FDD" w:rsidRPr="00DE058F" w:rsidRDefault="00BF6FDD" w:rsidP="00C91F83">
      <w:pPr>
        <w:spacing w:after="0"/>
        <w:ind w:left="567"/>
        <w:rPr>
          <w:color w:val="2F5496" w:themeColor="accent1" w:themeShade="BF"/>
          <w:sz w:val="14"/>
          <w:szCs w:val="26"/>
          <w:lang w:val="sr-Cyrl-CS"/>
        </w:rPr>
      </w:pPr>
      <w:bookmarkStart w:id="65" w:name="_Toc72394589"/>
      <w:bookmarkStart w:id="66" w:name="_Toc86923731"/>
    </w:p>
    <w:p w14:paraId="5F9B9C5E" w14:textId="77777777" w:rsidR="00BF6FDD" w:rsidRPr="00DE058F" w:rsidRDefault="00BF6FDD" w:rsidP="00C91F83">
      <w:pPr>
        <w:keepNext/>
        <w:keepLines/>
        <w:spacing w:before="40"/>
        <w:outlineLvl w:val="0"/>
        <w:rPr>
          <w:rFonts w:eastAsiaTheme="majorEastAsia" w:cstheme="minorHAnsi"/>
          <w:color w:val="002060"/>
          <w:sz w:val="24"/>
          <w:szCs w:val="26"/>
          <w:lang w:val="sr-Cyrl-CS"/>
        </w:rPr>
      </w:pPr>
      <w:bookmarkStart w:id="67" w:name="_Toc103598562"/>
      <w:bookmarkStart w:id="68" w:name="_Toc104899615"/>
      <w:r w:rsidRPr="00DE058F">
        <w:rPr>
          <w:rFonts w:eastAsiaTheme="majorEastAsia" w:cstheme="minorHAnsi"/>
          <w:color w:val="002060"/>
          <w:sz w:val="24"/>
          <w:szCs w:val="26"/>
          <w:lang w:val="sr-Cyrl-CS"/>
        </w:rPr>
        <w:t>Прилог 2 – Фискални оквир опште државе у 2023. години</w:t>
      </w:r>
      <w:bookmarkEnd w:id="67"/>
      <w:bookmarkEnd w:id="68"/>
    </w:p>
    <w:tbl>
      <w:tblPr>
        <w:tblStyle w:val="ListTable1Light-Accent3"/>
        <w:tblW w:w="5000" w:type="pct"/>
        <w:tblLook w:val="04A0" w:firstRow="1" w:lastRow="0" w:firstColumn="1" w:lastColumn="0" w:noHBand="0" w:noVBand="1"/>
      </w:tblPr>
      <w:tblGrid>
        <w:gridCol w:w="2925"/>
        <w:gridCol w:w="1048"/>
        <w:gridCol w:w="1048"/>
        <w:gridCol w:w="1059"/>
        <w:gridCol w:w="1024"/>
        <w:gridCol w:w="1094"/>
        <w:gridCol w:w="1038"/>
        <w:gridCol w:w="1094"/>
        <w:gridCol w:w="1094"/>
        <w:gridCol w:w="1094"/>
        <w:gridCol w:w="1094"/>
        <w:gridCol w:w="1094"/>
      </w:tblGrid>
      <w:tr w:rsidR="00BF6FDD" w:rsidRPr="00DE058F" w14:paraId="074D7FB6" w14:textId="77777777" w:rsidTr="00C91F83">
        <w:trPr>
          <w:cnfStyle w:val="100000000000" w:firstRow="1" w:lastRow="0" w:firstColumn="0" w:lastColumn="0" w:oddVBand="0" w:evenVBand="0" w:oddHBand="0" w:evenHBand="0" w:firstRowFirstColumn="0" w:firstRowLastColumn="0" w:lastRowFirstColumn="0" w:lastRowLastColumn="0"/>
          <w:trHeight w:val="687"/>
        </w:trPr>
        <w:tc>
          <w:tcPr>
            <w:cnfStyle w:val="001000000000" w:firstRow="0" w:lastRow="0" w:firstColumn="1" w:lastColumn="0" w:oddVBand="0" w:evenVBand="0" w:oddHBand="0" w:evenHBand="0" w:firstRowFirstColumn="0" w:firstRowLastColumn="0" w:lastRowFirstColumn="0" w:lastRowLastColumn="0"/>
            <w:tcW w:w="994" w:type="pct"/>
            <w:tcBorders>
              <w:top w:val="single" w:sz="4" w:space="0" w:color="auto"/>
              <w:bottom w:val="single" w:sz="4" w:space="0" w:color="auto"/>
            </w:tcBorders>
            <w:noWrap/>
            <w:hideMark/>
          </w:tcPr>
          <w:p w14:paraId="6FCAA9EC" w14:textId="77777777" w:rsidR="00BF6FDD" w:rsidRPr="00DE058F" w:rsidRDefault="00BF6FDD" w:rsidP="00C91F83">
            <w:pPr>
              <w:tabs>
                <w:tab w:val="center" w:pos="4680"/>
                <w:tab w:val="right" w:pos="9360"/>
              </w:tabs>
              <w:rPr>
                <w:rFonts w:ascii="Calibri" w:hAnsi="Calibri" w:cs="Calibri"/>
                <w:color w:val="002060"/>
                <w:sz w:val="14"/>
                <w:szCs w:val="14"/>
                <w:lang w:val="sr-Cyrl-CS"/>
              </w:rPr>
            </w:pPr>
            <w:r w:rsidRPr="00DE058F">
              <w:rPr>
                <w:rFonts w:ascii="Calibri" w:hAnsi="Calibri" w:cs="Calibri"/>
                <w:color w:val="002060"/>
                <w:sz w:val="14"/>
                <w:szCs w:val="14"/>
                <w:lang w:val="sr-Cyrl-CS"/>
              </w:rPr>
              <w:t> </w:t>
            </w:r>
          </w:p>
        </w:tc>
        <w:tc>
          <w:tcPr>
            <w:tcW w:w="356" w:type="pct"/>
            <w:tcBorders>
              <w:top w:val="single" w:sz="4" w:space="0" w:color="auto"/>
              <w:bottom w:val="single" w:sz="4" w:space="0" w:color="auto"/>
            </w:tcBorders>
            <w:vAlign w:val="center"/>
            <w:hideMark/>
          </w:tcPr>
          <w:p w14:paraId="4CE5B287" w14:textId="77777777" w:rsidR="00BF6FDD" w:rsidRPr="00DE058F" w:rsidRDefault="00BF6FDD" w:rsidP="00C91F8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DE058F">
              <w:rPr>
                <w:rFonts w:ascii="Calibri" w:hAnsi="Calibri" w:cs="Calibri"/>
                <w:b w:val="0"/>
                <w:color w:val="002060"/>
                <w:sz w:val="14"/>
                <w:szCs w:val="14"/>
                <w:lang w:val="sr-Cyrl-CS"/>
              </w:rPr>
              <w:t>Општа држава*</w:t>
            </w:r>
          </w:p>
        </w:tc>
        <w:tc>
          <w:tcPr>
            <w:tcW w:w="356" w:type="pct"/>
            <w:tcBorders>
              <w:top w:val="single" w:sz="4" w:space="0" w:color="auto"/>
              <w:bottom w:val="single" w:sz="4" w:space="0" w:color="auto"/>
            </w:tcBorders>
            <w:vAlign w:val="center"/>
            <w:hideMark/>
          </w:tcPr>
          <w:p w14:paraId="22FEBF2F" w14:textId="77777777" w:rsidR="00BF6FDD" w:rsidRPr="00DE058F" w:rsidRDefault="00BF6FDD" w:rsidP="00C91F8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DE058F">
              <w:rPr>
                <w:rFonts w:ascii="Calibri" w:hAnsi="Calibri" w:cs="Calibri"/>
                <w:b w:val="0"/>
                <w:color w:val="002060"/>
                <w:sz w:val="14"/>
                <w:szCs w:val="14"/>
                <w:lang w:val="sr-Cyrl-CS"/>
              </w:rPr>
              <w:t>Буџет Републике</w:t>
            </w:r>
          </w:p>
        </w:tc>
        <w:tc>
          <w:tcPr>
            <w:tcW w:w="360" w:type="pct"/>
            <w:tcBorders>
              <w:top w:val="single" w:sz="4" w:space="0" w:color="auto"/>
              <w:bottom w:val="single" w:sz="4" w:space="0" w:color="auto"/>
            </w:tcBorders>
            <w:vAlign w:val="center"/>
            <w:hideMark/>
          </w:tcPr>
          <w:p w14:paraId="21F93542" w14:textId="77777777" w:rsidR="00BF6FDD" w:rsidRPr="00DE058F" w:rsidRDefault="00BF6FDD" w:rsidP="00C91F8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DE058F">
              <w:rPr>
                <w:rFonts w:ascii="Calibri" w:hAnsi="Calibri" w:cs="Calibri"/>
                <w:b w:val="0"/>
                <w:color w:val="002060"/>
                <w:sz w:val="14"/>
                <w:szCs w:val="14"/>
                <w:lang w:val="sr-Cyrl-CS"/>
              </w:rPr>
              <w:t>Јединице локалне самоуправе</w:t>
            </w:r>
          </w:p>
        </w:tc>
        <w:tc>
          <w:tcPr>
            <w:tcW w:w="348" w:type="pct"/>
            <w:tcBorders>
              <w:top w:val="single" w:sz="4" w:space="0" w:color="auto"/>
              <w:bottom w:val="single" w:sz="4" w:space="0" w:color="auto"/>
            </w:tcBorders>
            <w:vAlign w:val="center"/>
            <w:hideMark/>
          </w:tcPr>
          <w:p w14:paraId="707CEDE1" w14:textId="77777777" w:rsidR="00BF6FDD" w:rsidRPr="00DE058F" w:rsidRDefault="00BF6FDD" w:rsidP="00C91F8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DE058F">
              <w:rPr>
                <w:rFonts w:ascii="Calibri" w:hAnsi="Calibri" w:cs="Calibri"/>
                <w:b w:val="0"/>
                <w:color w:val="002060"/>
                <w:sz w:val="14"/>
                <w:szCs w:val="14"/>
                <w:lang w:val="sr-Cyrl-CS"/>
              </w:rPr>
              <w:t>Градови и општине</w:t>
            </w:r>
          </w:p>
        </w:tc>
        <w:tc>
          <w:tcPr>
            <w:tcW w:w="372" w:type="pct"/>
            <w:tcBorders>
              <w:top w:val="single" w:sz="4" w:space="0" w:color="auto"/>
              <w:bottom w:val="single" w:sz="4" w:space="0" w:color="auto"/>
            </w:tcBorders>
            <w:noWrap/>
            <w:vAlign w:val="center"/>
            <w:hideMark/>
          </w:tcPr>
          <w:p w14:paraId="03BEC6D4" w14:textId="77777777" w:rsidR="00BF6FDD" w:rsidRPr="00DE058F" w:rsidRDefault="00BF6FDD" w:rsidP="00C91F8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DE058F">
              <w:rPr>
                <w:rFonts w:ascii="Calibri" w:hAnsi="Calibri" w:cs="Calibri"/>
                <w:b w:val="0"/>
                <w:color w:val="002060"/>
                <w:sz w:val="14"/>
                <w:szCs w:val="14"/>
                <w:lang w:val="sr-Cyrl-CS"/>
              </w:rPr>
              <w:t>AП Војводина</w:t>
            </w:r>
          </w:p>
        </w:tc>
        <w:tc>
          <w:tcPr>
            <w:tcW w:w="353" w:type="pct"/>
            <w:tcBorders>
              <w:top w:val="single" w:sz="4" w:space="0" w:color="auto"/>
              <w:bottom w:val="single" w:sz="4" w:space="0" w:color="auto"/>
            </w:tcBorders>
            <w:vAlign w:val="center"/>
            <w:hideMark/>
          </w:tcPr>
          <w:p w14:paraId="48DE70AE" w14:textId="77777777" w:rsidR="00BF6FDD" w:rsidRPr="00DE058F" w:rsidRDefault="00BF6FDD" w:rsidP="00C91F8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DE058F">
              <w:rPr>
                <w:rFonts w:ascii="Calibri" w:hAnsi="Calibri" w:cs="Calibri"/>
                <w:b w:val="0"/>
                <w:color w:val="002060"/>
                <w:sz w:val="14"/>
                <w:szCs w:val="14"/>
                <w:lang w:val="sr-Cyrl-CS"/>
              </w:rPr>
              <w:t>ЈП „Путеви Србије” и Коридори Србије д.о.о.</w:t>
            </w:r>
          </w:p>
        </w:tc>
        <w:tc>
          <w:tcPr>
            <w:tcW w:w="372" w:type="pct"/>
            <w:tcBorders>
              <w:top w:val="single" w:sz="4" w:space="0" w:color="auto"/>
              <w:bottom w:val="single" w:sz="4" w:space="0" w:color="auto"/>
            </w:tcBorders>
            <w:noWrap/>
            <w:vAlign w:val="center"/>
            <w:hideMark/>
          </w:tcPr>
          <w:p w14:paraId="1895AFDC" w14:textId="77777777" w:rsidR="00BF6FDD" w:rsidRPr="00DE058F" w:rsidRDefault="00BF6FDD" w:rsidP="00C91F8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DE058F">
              <w:rPr>
                <w:rFonts w:ascii="Calibri" w:hAnsi="Calibri" w:cs="Calibri"/>
                <w:b w:val="0"/>
                <w:color w:val="002060"/>
                <w:sz w:val="14"/>
                <w:szCs w:val="14"/>
                <w:lang w:val="sr-Cyrl-CS"/>
              </w:rPr>
              <w:t>ООСО</w:t>
            </w:r>
          </w:p>
        </w:tc>
        <w:tc>
          <w:tcPr>
            <w:tcW w:w="372" w:type="pct"/>
            <w:tcBorders>
              <w:top w:val="single" w:sz="4" w:space="0" w:color="auto"/>
              <w:bottom w:val="single" w:sz="4" w:space="0" w:color="auto"/>
            </w:tcBorders>
            <w:noWrap/>
            <w:vAlign w:val="center"/>
            <w:hideMark/>
          </w:tcPr>
          <w:p w14:paraId="41884CEF" w14:textId="77777777" w:rsidR="00BF6FDD" w:rsidRPr="00DE058F" w:rsidRDefault="00BF6FDD" w:rsidP="00C91F8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DE058F">
              <w:rPr>
                <w:rFonts w:ascii="Calibri" w:hAnsi="Calibri" w:cs="Calibri"/>
                <w:b w:val="0"/>
                <w:color w:val="002060"/>
                <w:sz w:val="14"/>
                <w:szCs w:val="14"/>
                <w:lang w:val="sr-Cyrl-CS"/>
              </w:rPr>
              <w:t>Фонд ПИО</w:t>
            </w:r>
          </w:p>
        </w:tc>
        <w:tc>
          <w:tcPr>
            <w:tcW w:w="372" w:type="pct"/>
            <w:tcBorders>
              <w:top w:val="single" w:sz="4" w:space="0" w:color="auto"/>
              <w:bottom w:val="single" w:sz="4" w:space="0" w:color="auto"/>
            </w:tcBorders>
            <w:noWrap/>
            <w:vAlign w:val="center"/>
            <w:hideMark/>
          </w:tcPr>
          <w:p w14:paraId="24FC47A4" w14:textId="77777777" w:rsidR="00BF6FDD" w:rsidRPr="00DE058F" w:rsidRDefault="00BF6FDD" w:rsidP="00C91F8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DE058F">
              <w:rPr>
                <w:rFonts w:ascii="Calibri" w:hAnsi="Calibri" w:cs="Calibri"/>
                <w:b w:val="0"/>
                <w:color w:val="002060"/>
                <w:sz w:val="14"/>
                <w:szCs w:val="14"/>
                <w:lang w:val="sr-Cyrl-CS"/>
              </w:rPr>
              <w:t>РФЗО</w:t>
            </w:r>
          </w:p>
        </w:tc>
        <w:tc>
          <w:tcPr>
            <w:tcW w:w="372" w:type="pct"/>
            <w:tcBorders>
              <w:top w:val="single" w:sz="4" w:space="0" w:color="auto"/>
              <w:bottom w:val="single" w:sz="4" w:space="0" w:color="auto"/>
            </w:tcBorders>
            <w:noWrap/>
            <w:vAlign w:val="center"/>
            <w:hideMark/>
          </w:tcPr>
          <w:p w14:paraId="7D5517BF" w14:textId="77777777" w:rsidR="00BF6FDD" w:rsidRPr="00DE058F" w:rsidRDefault="00BF6FDD" w:rsidP="00C91F8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DE058F">
              <w:rPr>
                <w:rFonts w:ascii="Calibri" w:hAnsi="Calibri" w:cs="Calibri"/>
                <w:b w:val="0"/>
                <w:color w:val="002060"/>
                <w:sz w:val="14"/>
                <w:szCs w:val="14"/>
                <w:lang w:val="sr-Cyrl-CS"/>
              </w:rPr>
              <w:t>НСЗ</w:t>
            </w:r>
          </w:p>
        </w:tc>
        <w:tc>
          <w:tcPr>
            <w:tcW w:w="372" w:type="pct"/>
            <w:tcBorders>
              <w:top w:val="single" w:sz="4" w:space="0" w:color="auto"/>
              <w:bottom w:val="single" w:sz="4" w:space="0" w:color="auto"/>
            </w:tcBorders>
            <w:noWrap/>
            <w:vAlign w:val="center"/>
            <w:hideMark/>
          </w:tcPr>
          <w:p w14:paraId="447CEAEE" w14:textId="77777777" w:rsidR="00BF6FDD" w:rsidRPr="00DE058F" w:rsidRDefault="00BF6FDD" w:rsidP="00C91F8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DE058F">
              <w:rPr>
                <w:rFonts w:ascii="Calibri" w:hAnsi="Calibri" w:cs="Calibri"/>
                <w:b w:val="0"/>
                <w:color w:val="002060"/>
                <w:sz w:val="14"/>
                <w:szCs w:val="14"/>
                <w:lang w:val="sr-Cyrl-CS"/>
              </w:rPr>
              <w:t>Фонд СОВО</w:t>
            </w:r>
          </w:p>
        </w:tc>
      </w:tr>
      <w:tr w:rsidR="00BF6FDD" w:rsidRPr="00DE058F" w14:paraId="6687DFFA" w14:textId="77777777" w:rsidTr="00C91F83">
        <w:trPr>
          <w:cnfStyle w:val="000000100000" w:firstRow="0" w:lastRow="0" w:firstColumn="0" w:lastColumn="0" w:oddVBand="0" w:evenVBand="0" w:oddHBand="1" w:evenHBand="0" w:firstRowFirstColumn="0" w:firstRowLastColumn="0" w:lastRowFirstColumn="0" w:lastRowLastColumn="0"/>
          <w:trHeight w:val="222"/>
        </w:trPr>
        <w:tc>
          <w:tcPr>
            <w:cnfStyle w:val="001000000000" w:firstRow="0" w:lastRow="0" w:firstColumn="1" w:lastColumn="0" w:oddVBand="0" w:evenVBand="0" w:oddHBand="0" w:evenHBand="0" w:firstRowFirstColumn="0" w:firstRowLastColumn="0" w:lastRowFirstColumn="0" w:lastRowLastColumn="0"/>
            <w:tcW w:w="994" w:type="pct"/>
            <w:tcBorders>
              <w:top w:val="single" w:sz="4" w:space="0" w:color="auto"/>
              <w:bottom w:val="single" w:sz="4" w:space="0" w:color="auto"/>
            </w:tcBorders>
            <w:shd w:val="clear" w:color="auto" w:fill="auto"/>
            <w:noWrap/>
            <w:hideMark/>
          </w:tcPr>
          <w:p w14:paraId="43291506" w14:textId="77777777" w:rsidR="00BF6FDD" w:rsidRPr="00DE058F" w:rsidRDefault="00BF6FDD" w:rsidP="00C91F83">
            <w:pPr>
              <w:tabs>
                <w:tab w:val="center" w:pos="4680"/>
                <w:tab w:val="right" w:pos="9360"/>
              </w:tabs>
              <w:rPr>
                <w:rFonts w:ascii="Calibri" w:hAnsi="Calibri" w:cs="Calibri"/>
                <w:color w:val="002060"/>
                <w:sz w:val="14"/>
                <w:szCs w:val="14"/>
                <w:lang w:val="sr-Cyrl-CS"/>
              </w:rPr>
            </w:pPr>
            <w:r w:rsidRPr="00DE058F">
              <w:rPr>
                <w:rFonts w:ascii="Calibri" w:hAnsi="Calibri" w:cs="Calibri"/>
                <w:color w:val="002060"/>
                <w:sz w:val="14"/>
                <w:szCs w:val="14"/>
                <w:lang w:val="sr-Cyrl-CS"/>
              </w:rPr>
              <w:t> </w:t>
            </w:r>
          </w:p>
        </w:tc>
        <w:tc>
          <w:tcPr>
            <w:tcW w:w="356" w:type="pct"/>
            <w:tcBorders>
              <w:top w:val="single" w:sz="4" w:space="0" w:color="auto"/>
              <w:bottom w:val="single" w:sz="4" w:space="0" w:color="auto"/>
            </w:tcBorders>
            <w:shd w:val="clear" w:color="auto" w:fill="auto"/>
            <w:hideMark/>
          </w:tcPr>
          <w:p w14:paraId="1A1871F5"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DE058F">
              <w:rPr>
                <w:rFonts w:ascii="Calibri" w:hAnsi="Calibri" w:cs="Calibri"/>
                <w:color w:val="002060"/>
                <w:sz w:val="14"/>
                <w:szCs w:val="14"/>
                <w:lang w:val="sr-Cyrl-CS"/>
              </w:rPr>
              <w:t>1=2+3+6+7</w:t>
            </w:r>
          </w:p>
        </w:tc>
        <w:tc>
          <w:tcPr>
            <w:tcW w:w="356" w:type="pct"/>
            <w:tcBorders>
              <w:top w:val="single" w:sz="4" w:space="0" w:color="auto"/>
              <w:bottom w:val="single" w:sz="4" w:space="0" w:color="auto"/>
            </w:tcBorders>
            <w:shd w:val="clear" w:color="auto" w:fill="auto"/>
            <w:hideMark/>
          </w:tcPr>
          <w:p w14:paraId="36D87143"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DE058F">
              <w:rPr>
                <w:rFonts w:ascii="Calibri" w:hAnsi="Calibri" w:cs="Calibri"/>
                <w:color w:val="002060"/>
                <w:sz w:val="14"/>
                <w:szCs w:val="14"/>
                <w:lang w:val="sr-Cyrl-CS"/>
              </w:rPr>
              <w:t>2</w:t>
            </w:r>
          </w:p>
        </w:tc>
        <w:tc>
          <w:tcPr>
            <w:tcW w:w="360" w:type="pct"/>
            <w:tcBorders>
              <w:top w:val="single" w:sz="4" w:space="0" w:color="auto"/>
              <w:bottom w:val="single" w:sz="4" w:space="0" w:color="auto"/>
            </w:tcBorders>
            <w:shd w:val="clear" w:color="auto" w:fill="auto"/>
            <w:hideMark/>
          </w:tcPr>
          <w:p w14:paraId="287DE617"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DE058F">
              <w:rPr>
                <w:rFonts w:ascii="Calibri" w:hAnsi="Calibri" w:cs="Calibri"/>
                <w:color w:val="002060"/>
                <w:sz w:val="14"/>
                <w:szCs w:val="14"/>
                <w:lang w:val="sr-Cyrl-CS"/>
              </w:rPr>
              <w:t>3=4+5</w:t>
            </w:r>
          </w:p>
        </w:tc>
        <w:tc>
          <w:tcPr>
            <w:tcW w:w="348" w:type="pct"/>
            <w:tcBorders>
              <w:top w:val="single" w:sz="4" w:space="0" w:color="auto"/>
              <w:bottom w:val="single" w:sz="4" w:space="0" w:color="auto"/>
            </w:tcBorders>
            <w:shd w:val="clear" w:color="auto" w:fill="auto"/>
            <w:hideMark/>
          </w:tcPr>
          <w:p w14:paraId="00F0D687"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DE058F">
              <w:rPr>
                <w:rFonts w:ascii="Calibri" w:hAnsi="Calibri" w:cs="Calibri"/>
                <w:color w:val="002060"/>
                <w:sz w:val="14"/>
                <w:szCs w:val="14"/>
                <w:lang w:val="sr-Cyrl-CS"/>
              </w:rPr>
              <w:t>4</w:t>
            </w:r>
          </w:p>
        </w:tc>
        <w:tc>
          <w:tcPr>
            <w:tcW w:w="372" w:type="pct"/>
            <w:tcBorders>
              <w:top w:val="single" w:sz="4" w:space="0" w:color="auto"/>
              <w:bottom w:val="single" w:sz="4" w:space="0" w:color="auto"/>
            </w:tcBorders>
            <w:shd w:val="clear" w:color="auto" w:fill="auto"/>
            <w:noWrap/>
            <w:hideMark/>
          </w:tcPr>
          <w:p w14:paraId="3262A82D"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DE058F">
              <w:rPr>
                <w:rFonts w:ascii="Calibri" w:hAnsi="Calibri" w:cs="Calibri"/>
                <w:color w:val="002060"/>
                <w:sz w:val="14"/>
                <w:szCs w:val="14"/>
                <w:lang w:val="sr-Cyrl-CS"/>
              </w:rPr>
              <w:t>5</w:t>
            </w:r>
          </w:p>
        </w:tc>
        <w:tc>
          <w:tcPr>
            <w:tcW w:w="353" w:type="pct"/>
            <w:tcBorders>
              <w:top w:val="single" w:sz="4" w:space="0" w:color="auto"/>
              <w:bottom w:val="single" w:sz="4" w:space="0" w:color="auto"/>
            </w:tcBorders>
            <w:shd w:val="clear" w:color="auto" w:fill="auto"/>
            <w:noWrap/>
            <w:hideMark/>
          </w:tcPr>
          <w:p w14:paraId="0DDA837E"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DE058F">
              <w:rPr>
                <w:rFonts w:ascii="Calibri" w:hAnsi="Calibri" w:cs="Calibri"/>
                <w:color w:val="002060"/>
                <w:sz w:val="14"/>
                <w:szCs w:val="14"/>
                <w:lang w:val="sr-Cyrl-CS"/>
              </w:rPr>
              <w:t>6</w:t>
            </w:r>
          </w:p>
        </w:tc>
        <w:tc>
          <w:tcPr>
            <w:tcW w:w="372" w:type="pct"/>
            <w:tcBorders>
              <w:top w:val="single" w:sz="4" w:space="0" w:color="auto"/>
              <w:bottom w:val="single" w:sz="4" w:space="0" w:color="auto"/>
            </w:tcBorders>
            <w:shd w:val="clear" w:color="auto" w:fill="auto"/>
            <w:noWrap/>
            <w:hideMark/>
          </w:tcPr>
          <w:p w14:paraId="12F34025"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DE058F">
              <w:rPr>
                <w:rFonts w:ascii="Calibri" w:hAnsi="Calibri" w:cs="Calibri"/>
                <w:color w:val="002060"/>
                <w:sz w:val="14"/>
                <w:szCs w:val="14"/>
                <w:lang w:val="sr-Cyrl-CS"/>
              </w:rPr>
              <w:t>7=8+9+10+11</w:t>
            </w:r>
          </w:p>
        </w:tc>
        <w:tc>
          <w:tcPr>
            <w:tcW w:w="372" w:type="pct"/>
            <w:tcBorders>
              <w:top w:val="single" w:sz="4" w:space="0" w:color="auto"/>
              <w:bottom w:val="single" w:sz="4" w:space="0" w:color="auto"/>
            </w:tcBorders>
            <w:shd w:val="clear" w:color="auto" w:fill="auto"/>
            <w:noWrap/>
            <w:hideMark/>
          </w:tcPr>
          <w:p w14:paraId="18F09297"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DE058F">
              <w:rPr>
                <w:rFonts w:ascii="Calibri" w:hAnsi="Calibri" w:cs="Calibri"/>
                <w:color w:val="002060"/>
                <w:sz w:val="14"/>
                <w:szCs w:val="14"/>
                <w:lang w:val="sr-Cyrl-CS"/>
              </w:rPr>
              <w:t>8</w:t>
            </w:r>
          </w:p>
        </w:tc>
        <w:tc>
          <w:tcPr>
            <w:tcW w:w="372" w:type="pct"/>
            <w:tcBorders>
              <w:top w:val="single" w:sz="4" w:space="0" w:color="auto"/>
              <w:bottom w:val="single" w:sz="4" w:space="0" w:color="auto"/>
            </w:tcBorders>
            <w:shd w:val="clear" w:color="auto" w:fill="auto"/>
            <w:noWrap/>
            <w:hideMark/>
          </w:tcPr>
          <w:p w14:paraId="60345D18"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DE058F">
              <w:rPr>
                <w:rFonts w:ascii="Calibri" w:hAnsi="Calibri" w:cs="Calibri"/>
                <w:color w:val="002060"/>
                <w:sz w:val="14"/>
                <w:szCs w:val="14"/>
                <w:lang w:val="sr-Cyrl-CS"/>
              </w:rPr>
              <w:t>9</w:t>
            </w:r>
          </w:p>
        </w:tc>
        <w:tc>
          <w:tcPr>
            <w:tcW w:w="372" w:type="pct"/>
            <w:tcBorders>
              <w:top w:val="single" w:sz="4" w:space="0" w:color="auto"/>
              <w:bottom w:val="single" w:sz="4" w:space="0" w:color="auto"/>
            </w:tcBorders>
            <w:shd w:val="clear" w:color="auto" w:fill="auto"/>
            <w:noWrap/>
            <w:hideMark/>
          </w:tcPr>
          <w:p w14:paraId="53E446AF"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DE058F">
              <w:rPr>
                <w:rFonts w:ascii="Calibri" w:hAnsi="Calibri" w:cs="Calibri"/>
                <w:color w:val="002060"/>
                <w:sz w:val="14"/>
                <w:szCs w:val="14"/>
                <w:lang w:val="sr-Cyrl-CS"/>
              </w:rPr>
              <w:t>10</w:t>
            </w:r>
          </w:p>
        </w:tc>
        <w:tc>
          <w:tcPr>
            <w:tcW w:w="372" w:type="pct"/>
            <w:tcBorders>
              <w:top w:val="single" w:sz="4" w:space="0" w:color="auto"/>
              <w:bottom w:val="single" w:sz="4" w:space="0" w:color="auto"/>
            </w:tcBorders>
            <w:shd w:val="clear" w:color="auto" w:fill="auto"/>
            <w:noWrap/>
            <w:hideMark/>
          </w:tcPr>
          <w:p w14:paraId="77788B60"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DE058F">
              <w:rPr>
                <w:rFonts w:ascii="Calibri" w:hAnsi="Calibri" w:cs="Calibri"/>
                <w:color w:val="002060"/>
                <w:sz w:val="14"/>
                <w:szCs w:val="14"/>
                <w:lang w:val="sr-Cyrl-CS"/>
              </w:rPr>
              <w:t>11</w:t>
            </w:r>
          </w:p>
        </w:tc>
      </w:tr>
      <w:tr w:rsidR="00BF6FDD" w:rsidRPr="00DE058F" w14:paraId="162842E2"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single" w:sz="4" w:space="0" w:color="auto"/>
            </w:tcBorders>
            <w:shd w:val="clear" w:color="auto" w:fill="BFBFBF" w:themeFill="background1" w:themeFillShade="BF"/>
            <w:noWrap/>
            <w:vAlign w:val="bottom"/>
            <w:hideMark/>
          </w:tcPr>
          <w:p w14:paraId="05A86EA3" w14:textId="77777777" w:rsidR="00BF6FDD" w:rsidRPr="00DE058F" w:rsidRDefault="00BF6FDD" w:rsidP="00C91F83">
            <w:pPr>
              <w:tabs>
                <w:tab w:val="center" w:pos="4680"/>
                <w:tab w:val="right" w:pos="9360"/>
              </w:tabs>
              <w:rPr>
                <w:rFonts w:cstheme="minorHAnsi"/>
                <w:color w:val="002060"/>
                <w:sz w:val="14"/>
                <w:szCs w:val="14"/>
                <w:lang w:val="sr-Cyrl-CS"/>
              </w:rPr>
            </w:pPr>
            <w:r w:rsidRPr="00DE058F">
              <w:rPr>
                <w:rFonts w:cstheme="minorHAnsi"/>
                <w:color w:val="002060"/>
                <w:sz w:val="14"/>
                <w:szCs w:val="14"/>
                <w:lang w:val="sr-Cyrl-CS"/>
              </w:rPr>
              <w:t>Јавни приходи</w:t>
            </w:r>
          </w:p>
        </w:tc>
        <w:tc>
          <w:tcPr>
            <w:tcW w:w="356" w:type="pct"/>
            <w:tcBorders>
              <w:top w:val="single" w:sz="4" w:space="0" w:color="auto"/>
            </w:tcBorders>
            <w:shd w:val="clear" w:color="auto" w:fill="BFBFBF" w:themeFill="background1" w:themeFillShade="BF"/>
            <w:noWrap/>
            <w:vAlign w:val="bottom"/>
            <w:hideMark/>
          </w:tcPr>
          <w:p w14:paraId="29A91D83"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3.073,5</w:t>
            </w:r>
          </w:p>
        </w:tc>
        <w:tc>
          <w:tcPr>
            <w:tcW w:w="356" w:type="pct"/>
            <w:tcBorders>
              <w:top w:val="single" w:sz="4" w:space="0" w:color="auto"/>
            </w:tcBorders>
            <w:shd w:val="clear" w:color="auto" w:fill="BFBFBF" w:themeFill="background1" w:themeFillShade="BF"/>
            <w:noWrap/>
            <w:vAlign w:val="bottom"/>
            <w:hideMark/>
          </w:tcPr>
          <w:p w14:paraId="57DDEA34"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1.645,7</w:t>
            </w:r>
          </w:p>
        </w:tc>
        <w:tc>
          <w:tcPr>
            <w:tcW w:w="360" w:type="pct"/>
            <w:tcBorders>
              <w:top w:val="single" w:sz="4" w:space="0" w:color="auto"/>
            </w:tcBorders>
            <w:shd w:val="clear" w:color="auto" w:fill="BFBFBF" w:themeFill="background1" w:themeFillShade="BF"/>
            <w:noWrap/>
            <w:vAlign w:val="bottom"/>
            <w:hideMark/>
          </w:tcPr>
          <w:p w14:paraId="776EAEE5"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388,8</w:t>
            </w:r>
          </w:p>
        </w:tc>
        <w:tc>
          <w:tcPr>
            <w:tcW w:w="348" w:type="pct"/>
            <w:tcBorders>
              <w:top w:val="single" w:sz="4" w:space="0" w:color="auto"/>
            </w:tcBorders>
            <w:shd w:val="clear" w:color="auto" w:fill="BFBFBF" w:themeFill="background1" w:themeFillShade="BF"/>
            <w:noWrap/>
            <w:vAlign w:val="bottom"/>
            <w:hideMark/>
          </w:tcPr>
          <w:p w14:paraId="6C387782"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358,0</w:t>
            </w:r>
          </w:p>
        </w:tc>
        <w:tc>
          <w:tcPr>
            <w:tcW w:w="372" w:type="pct"/>
            <w:tcBorders>
              <w:top w:val="single" w:sz="4" w:space="0" w:color="auto"/>
            </w:tcBorders>
            <w:shd w:val="clear" w:color="auto" w:fill="BFBFBF" w:themeFill="background1" w:themeFillShade="BF"/>
            <w:noWrap/>
            <w:vAlign w:val="bottom"/>
            <w:hideMark/>
          </w:tcPr>
          <w:p w14:paraId="4D4D9ADB"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30,8</w:t>
            </w:r>
          </w:p>
        </w:tc>
        <w:tc>
          <w:tcPr>
            <w:tcW w:w="353" w:type="pct"/>
            <w:tcBorders>
              <w:top w:val="single" w:sz="4" w:space="0" w:color="auto"/>
            </w:tcBorders>
            <w:shd w:val="clear" w:color="auto" w:fill="BFBFBF" w:themeFill="background1" w:themeFillShade="BF"/>
            <w:noWrap/>
            <w:vAlign w:val="bottom"/>
            <w:hideMark/>
          </w:tcPr>
          <w:p w14:paraId="353A9B4D"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43,7</w:t>
            </w:r>
          </w:p>
        </w:tc>
        <w:tc>
          <w:tcPr>
            <w:tcW w:w="372" w:type="pct"/>
            <w:tcBorders>
              <w:top w:val="single" w:sz="4" w:space="0" w:color="auto"/>
            </w:tcBorders>
            <w:shd w:val="clear" w:color="auto" w:fill="BFBFBF" w:themeFill="background1" w:themeFillShade="BF"/>
            <w:noWrap/>
            <w:vAlign w:val="bottom"/>
            <w:hideMark/>
          </w:tcPr>
          <w:p w14:paraId="2464A75A"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995,3</w:t>
            </w:r>
          </w:p>
        </w:tc>
        <w:tc>
          <w:tcPr>
            <w:tcW w:w="372" w:type="pct"/>
            <w:tcBorders>
              <w:top w:val="single" w:sz="4" w:space="0" w:color="auto"/>
            </w:tcBorders>
            <w:shd w:val="clear" w:color="auto" w:fill="BFBFBF" w:themeFill="background1" w:themeFillShade="BF"/>
            <w:noWrap/>
            <w:vAlign w:val="bottom"/>
            <w:hideMark/>
          </w:tcPr>
          <w:p w14:paraId="4474DB05"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689,0</w:t>
            </w:r>
          </w:p>
        </w:tc>
        <w:tc>
          <w:tcPr>
            <w:tcW w:w="372" w:type="pct"/>
            <w:tcBorders>
              <w:top w:val="single" w:sz="4" w:space="0" w:color="auto"/>
            </w:tcBorders>
            <w:shd w:val="clear" w:color="auto" w:fill="BFBFBF" w:themeFill="background1" w:themeFillShade="BF"/>
            <w:noWrap/>
            <w:vAlign w:val="bottom"/>
            <w:hideMark/>
          </w:tcPr>
          <w:p w14:paraId="520338EA"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280,4</w:t>
            </w:r>
          </w:p>
        </w:tc>
        <w:tc>
          <w:tcPr>
            <w:tcW w:w="372" w:type="pct"/>
            <w:tcBorders>
              <w:top w:val="single" w:sz="4" w:space="0" w:color="auto"/>
            </w:tcBorders>
            <w:shd w:val="clear" w:color="auto" w:fill="BFBFBF" w:themeFill="background1" w:themeFillShade="BF"/>
            <w:noWrap/>
            <w:vAlign w:val="bottom"/>
            <w:hideMark/>
          </w:tcPr>
          <w:p w14:paraId="60AB4AA3"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22,0</w:t>
            </w:r>
          </w:p>
        </w:tc>
        <w:tc>
          <w:tcPr>
            <w:tcW w:w="372" w:type="pct"/>
            <w:tcBorders>
              <w:top w:val="single" w:sz="4" w:space="0" w:color="auto"/>
            </w:tcBorders>
            <w:shd w:val="clear" w:color="auto" w:fill="BFBFBF" w:themeFill="background1" w:themeFillShade="BF"/>
            <w:noWrap/>
            <w:vAlign w:val="bottom"/>
            <w:hideMark/>
          </w:tcPr>
          <w:p w14:paraId="265B430E"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3,9</w:t>
            </w:r>
          </w:p>
        </w:tc>
      </w:tr>
      <w:tr w:rsidR="00BF6FDD" w:rsidRPr="00DE058F" w14:paraId="2A774E5E"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219AA6EE"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 xml:space="preserve">   Текући приходи</w:t>
            </w:r>
          </w:p>
        </w:tc>
        <w:tc>
          <w:tcPr>
            <w:tcW w:w="356" w:type="pct"/>
            <w:tcBorders>
              <w:top w:val="nil"/>
            </w:tcBorders>
            <w:shd w:val="clear" w:color="auto" w:fill="FFFFFF" w:themeFill="background1"/>
            <w:noWrap/>
            <w:vAlign w:val="bottom"/>
            <w:hideMark/>
          </w:tcPr>
          <w:p w14:paraId="4502AF3C"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3.047,6</w:t>
            </w:r>
          </w:p>
        </w:tc>
        <w:tc>
          <w:tcPr>
            <w:tcW w:w="356" w:type="pct"/>
            <w:tcBorders>
              <w:top w:val="nil"/>
            </w:tcBorders>
            <w:shd w:val="clear" w:color="auto" w:fill="FFFFFF" w:themeFill="background1"/>
            <w:noWrap/>
            <w:vAlign w:val="bottom"/>
            <w:hideMark/>
          </w:tcPr>
          <w:p w14:paraId="1309622C"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1.622,2</w:t>
            </w:r>
          </w:p>
        </w:tc>
        <w:tc>
          <w:tcPr>
            <w:tcW w:w="360" w:type="pct"/>
            <w:tcBorders>
              <w:top w:val="nil"/>
            </w:tcBorders>
            <w:shd w:val="clear" w:color="auto" w:fill="FFFFFF" w:themeFill="background1"/>
            <w:noWrap/>
            <w:vAlign w:val="bottom"/>
            <w:hideMark/>
          </w:tcPr>
          <w:p w14:paraId="6A07EF80"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386,8</w:t>
            </w:r>
          </w:p>
        </w:tc>
        <w:tc>
          <w:tcPr>
            <w:tcW w:w="348" w:type="pct"/>
            <w:tcBorders>
              <w:top w:val="nil"/>
            </w:tcBorders>
            <w:shd w:val="clear" w:color="auto" w:fill="FFFFFF" w:themeFill="background1"/>
            <w:noWrap/>
            <w:vAlign w:val="bottom"/>
            <w:hideMark/>
          </w:tcPr>
          <w:p w14:paraId="4D7BE035"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356,0</w:t>
            </w:r>
          </w:p>
        </w:tc>
        <w:tc>
          <w:tcPr>
            <w:tcW w:w="372" w:type="pct"/>
            <w:tcBorders>
              <w:top w:val="nil"/>
            </w:tcBorders>
            <w:shd w:val="clear" w:color="auto" w:fill="FFFFFF" w:themeFill="background1"/>
            <w:noWrap/>
            <w:vAlign w:val="bottom"/>
            <w:hideMark/>
          </w:tcPr>
          <w:p w14:paraId="245541E0"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30,8</w:t>
            </w:r>
          </w:p>
        </w:tc>
        <w:tc>
          <w:tcPr>
            <w:tcW w:w="353" w:type="pct"/>
            <w:tcBorders>
              <w:top w:val="nil"/>
            </w:tcBorders>
            <w:shd w:val="clear" w:color="auto" w:fill="FFFFFF" w:themeFill="background1"/>
            <w:noWrap/>
            <w:vAlign w:val="bottom"/>
            <w:hideMark/>
          </w:tcPr>
          <w:p w14:paraId="75CCE213"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43,7</w:t>
            </w:r>
          </w:p>
        </w:tc>
        <w:tc>
          <w:tcPr>
            <w:tcW w:w="372" w:type="pct"/>
            <w:tcBorders>
              <w:top w:val="nil"/>
            </w:tcBorders>
            <w:shd w:val="clear" w:color="auto" w:fill="FFFFFF" w:themeFill="background1"/>
            <w:noWrap/>
            <w:vAlign w:val="bottom"/>
            <w:hideMark/>
          </w:tcPr>
          <w:p w14:paraId="5009D97B"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994,8</w:t>
            </w:r>
          </w:p>
        </w:tc>
        <w:tc>
          <w:tcPr>
            <w:tcW w:w="372" w:type="pct"/>
            <w:tcBorders>
              <w:top w:val="nil"/>
            </w:tcBorders>
            <w:shd w:val="clear" w:color="auto" w:fill="FFFFFF" w:themeFill="background1"/>
            <w:noWrap/>
            <w:vAlign w:val="bottom"/>
            <w:hideMark/>
          </w:tcPr>
          <w:p w14:paraId="24E910C9"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689,0</w:t>
            </w:r>
          </w:p>
        </w:tc>
        <w:tc>
          <w:tcPr>
            <w:tcW w:w="372" w:type="pct"/>
            <w:tcBorders>
              <w:top w:val="nil"/>
            </w:tcBorders>
            <w:shd w:val="clear" w:color="auto" w:fill="FFFFFF" w:themeFill="background1"/>
            <w:noWrap/>
            <w:vAlign w:val="bottom"/>
            <w:hideMark/>
          </w:tcPr>
          <w:p w14:paraId="1C35C557"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280,4</w:t>
            </w:r>
          </w:p>
        </w:tc>
        <w:tc>
          <w:tcPr>
            <w:tcW w:w="372" w:type="pct"/>
            <w:tcBorders>
              <w:top w:val="nil"/>
            </w:tcBorders>
            <w:shd w:val="clear" w:color="auto" w:fill="FFFFFF" w:themeFill="background1"/>
            <w:noWrap/>
            <w:vAlign w:val="bottom"/>
            <w:hideMark/>
          </w:tcPr>
          <w:p w14:paraId="55E057AC"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21,5</w:t>
            </w:r>
          </w:p>
        </w:tc>
        <w:tc>
          <w:tcPr>
            <w:tcW w:w="372" w:type="pct"/>
            <w:tcBorders>
              <w:top w:val="nil"/>
            </w:tcBorders>
            <w:shd w:val="clear" w:color="auto" w:fill="FFFFFF" w:themeFill="background1"/>
            <w:noWrap/>
            <w:vAlign w:val="bottom"/>
            <w:hideMark/>
          </w:tcPr>
          <w:p w14:paraId="1A903CC0"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3,9</w:t>
            </w:r>
          </w:p>
        </w:tc>
      </w:tr>
      <w:tr w:rsidR="00BF6FDD" w:rsidRPr="00DE058F" w14:paraId="3808136B"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3E0643F7"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 xml:space="preserve">      Порески приходи</w:t>
            </w:r>
          </w:p>
        </w:tc>
        <w:tc>
          <w:tcPr>
            <w:tcW w:w="356" w:type="pct"/>
            <w:tcBorders>
              <w:top w:val="nil"/>
            </w:tcBorders>
            <w:shd w:val="clear" w:color="auto" w:fill="FFFFFF" w:themeFill="background1"/>
            <w:noWrap/>
            <w:vAlign w:val="bottom"/>
            <w:hideMark/>
          </w:tcPr>
          <w:p w14:paraId="116A3014"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2.771,2</w:t>
            </w:r>
          </w:p>
        </w:tc>
        <w:tc>
          <w:tcPr>
            <w:tcW w:w="356" w:type="pct"/>
            <w:tcBorders>
              <w:top w:val="nil"/>
            </w:tcBorders>
            <w:shd w:val="clear" w:color="auto" w:fill="FFFFFF" w:themeFill="background1"/>
            <w:noWrap/>
            <w:vAlign w:val="bottom"/>
            <w:hideMark/>
          </w:tcPr>
          <w:p w14:paraId="31C31E79"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1.482,6</w:t>
            </w:r>
          </w:p>
        </w:tc>
        <w:tc>
          <w:tcPr>
            <w:tcW w:w="360" w:type="pct"/>
            <w:tcBorders>
              <w:top w:val="nil"/>
            </w:tcBorders>
            <w:shd w:val="clear" w:color="auto" w:fill="FFFFFF" w:themeFill="background1"/>
            <w:noWrap/>
            <w:vAlign w:val="bottom"/>
            <w:hideMark/>
          </w:tcPr>
          <w:p w14:paraId="2574CC12"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306,8</w:t>
            </w:r>
          </w:p>
        </w:tc>
        <w:tc>
          <w:tcPr>
            <w:tcW w:w="348" w:type="pct"/>
            <w:tcBorders>
              <w:top w:val="nil"/>
            </w:tcBorders>
            <w:shd w:val="clear" w:color="auto" w:fill="FFFFFF" w:themeFill="background1"/>
            <w:noWrap/>
            <w:vAlign w:val="bottom"/>
            <w:hideMark/>
          </w:tcPr>
          <w:p w14:paraId="0CC5864A"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282,7</w:t>
            </w:r>
          </w:p>
        </w:tc>
        <w:tc>
          <w:tcPr>
            <w:tcW w:w="372" w:type="pct"/>
            <w:tcBorders>
              <w:top w:val="nil"/>
            </w:tcBorders>
            <w:shd w:val="clear" w:color="auto" w:fill="FFFFFF" w:themeFill="background1"/>
            <w:noWrap/>
            <w:vAlign w:val="bottom"/>
            <w:hideMark/>
          </w:tcPr>
          <w:p w14:paraId="10BD7DC2"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24,1</w:t>
            </w:r>
          </w:p>
        </w:tc>
        <w:tc>
          <w:tcPr>
            <w:tcW w:w="353" w:type="pct"/>
            <w:tcBorders>
              <w:top w:val="nil"/>
            </w:tcBorders>
            <w:shd w:val="clear" w:color="auto" w:fill="FFFFFF" w:themeFill="background1"/>
            <w:noWrap/>
            <w:vAlign w:val="bottom"/>
          </w:tcPr>
          <w:p w14:paraId="508E29C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hideMark/>
          </w:tcPr>
          <w:p w14:paraId="78E5C13C"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981,8</w:t>
            </w:r>
          </w:p>
        </w:tc>
        <w:tc>
          <w:tcPr>
            <w:tcW w:w="372" w:type="pct"/>
            <w:tcBorders>
              <w:top w:val="nil"/>
            </w:tcBorders>
            <w:shd w:val="clear" w:color="auto" w:fill="FFFFFF" w:themeFill="background1"/>
            <w:noWrap/>
            <w:vAlign w:val="bottom"/>
            <w:hideMark/>
          </w:tcPr>
          <w:p w14:paraId="21330400"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687,9</w:t>
            </w:r>
          </w:p>
        </w:tc>
        <w:tc>
          <w:tcPr>
            <w:tcW w:w="372" w:type="pct"/>
            <w:tcBorders>
              <w:top w:val="nil"/>
            </w:tcBorders>
            <w:shd w:val="clear" w:color="auto" w:fill="FFFFFF" w:themeFill="background1"/>
            <w:noWrap/>
            <w:vAlign w:val="bottom"/>
            <w:hideMark/>
          </w:tcPr>
          <w:p w14:paraId="3D2D2860"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270,4</w:t>
            </w:r>
          </w:p>
        </w:tc>
        <w:tc>
          <w:tcPr>
            <w:tcW w:w="372" w:type="pct"/>
            <w:tcBorders>
              <w:top w:val="nil"/>
            </w:tcBorders>
            <w:shd w:val="clear" w:color="auto" w:fill="FFFFFF" w:themeFill="background1"/>
            <w:noWrap/>
            <w:vAlign w:val="bottom"/>
            <w:hideMark/>
          </w:tcPr>
          <w:p w14:paraId="0872C372"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20,3</w:t>
            </w:r>
          </w:p>
        </w:tc>
        <w:tc>
          <w:tcPr>
            <w:tcW w:w="372" w:type="pct"/>
            <w:tcBorders>
              <w:top w:val="nil"/>
            </w:tcBorders>
            <w:shd w:val="clear" w:color="auto" w:fill="FFFFFF" w:themeFill="background1"/>
            <w:noWrap/>
            <w:vAlign w:val="bottom"/>
            <w:hideMark/>
          </w:tcPr>
          <w:p w14:paraId="35C0945A"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3,2</w:t>
            </w:r>
          </w:p>
        </w:tc>
      </w:tr>
      <w:tr w:rsidR="00BF6FDD" w:rsidRPr="00DE058F" w14:paraId="29C91A39"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28DDB7BB"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 xml:space="preserve">            Порез на доходак</w:t>
            </w:r>
          </w:p>
        </w:tc>
        <w:tc>
          <w:tcPr>
            <w:tcW w:w="356" w:type="pct"/>
            <w:tcBorders>
              <w:top w:val="nil"/>
            </w:tcBorders>
            <w:shd w:val="clear" w:color="auto" w:fill="FFFFFF" w:themeFill="background1"/>
            <w:noWrap/>
            <w:vAlign w:val="bottom"/>
            <w:hideMark/>
          </w:tcPr>
          <w:p w14:paraId="5CDE3BD3"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300,1</w:t>
            </w:r>
          </w:p>
        </w:tc>
        <w:tc>
          <w:tcPr>
            <w:tcW w:w="356" w:type="pct"/>
            <w:tcBorders>
              <w:top w:val="nil"/>
            </w:tcBorders>
            <w:shd w:val="clear" w:color="auto" w:fill="FFFFFF" w:themeFill="background1"/>
            <w:noWrap/>
            <w:vAlign w:val="bottom"/>
            <w:hideMark/>
          </w:tcPr>
          <w:p w14:paraId="54AA0503"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95,2</w:t>
            </w:r>
          </w:p>
        </w:tc>
        <w:tc>
          <w:tcPr>
            <w:tcW w:w="360" w:type="pct"/>
            <w:tcBorders>
              <w:top w:val="nil"/>
            </w:tcBorders>
            <w:shd w:val="clear" w:color="auto" w:fill="FFFFFF" w:themeFill="background1"/>
            <w:noWrap/>
            <w:vAlign w:val="bottom"/>
            <w:hideMark/>
          </w:tcPr>
          <w:p w14:paraId="198F2B7E"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205,0</w:t>
            </w:r>
          </w:p>
        </w:tc>
        <w:tc>
          <w:tcPr>
            <w:tcW w:w="348" w:type="pct"/>
            <w:tcBorders>
              <w:top w:val="nil"/>
            </w:tcBorders>
            <w:shd w:val="clear" w:color="auto" w:fill="FFFFFF" w:themeFill="background1"/>
            <w:noWrap/>
            <w:vAlign w:val="bottom"/>
            <w:hideMark/>
          </w:tcPr>
          <w:p w14:paraId="24844DBA"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194,9</w:t>
            </w:r>
          </w:p>
        </w:tc>
        <w:tc>
          <w:tcPr>
            <w:tcW w:w="372" w:type="pct"/>
            <w:tcBorders>
              <w:top w:val="nil"/>
            </w:tcBorders>
            <w:shd w:val="clear" w:color="auto" w:fill="FFFFFF" w:themeFill="background1"/>
            <w:noWrap/>
            <w:vAlign w:val="bottom"/>
            <w:hideMark/>
          </w:tcPr>
          <w:p w14:paraId="02A6A0F5"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10,1</w:t>
            </w:r>
          </w:p>
        </w:tc>
        <w:tc>
          <w:tcPr>
            <w:tcW w:w="353" w:type="pct"/>
            <w:tcBorders>
              <w:top w:val="nil"/>
            </w:tcBorders>
            <w:shd w:val="clear" w:color="auto" w:fill="FFFFFF" w:themeFill="background1"/>
            <w:noWrap/>
            <w:vAlign w:val="bottom"/>
          </w:tcPr>
          <w:p w14:paraId="4D7975F3"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hideMark/>
          </w:tcPr>
          <w:p w14:paraId="47AEC5CB"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vAlign w:val="bottom"/>
          </w:tcPr>
          <w:p w14:paraId="16E6D76A"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30E2A8BE"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02705373"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2A3E0EC3"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r>
      <w:tr w:rsidR="00BF6FDD" w:rsidRPr="00DE058F" w14:paraId="4731467A"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22FFBCD9"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 xml:space="preserve">            Доприноси</w:t>
            </w:r>
          </w:p>
        </w:tc>
        <w:tc>
          <w:tcPr>
            <w:tcW w:w="356" w:type="pct"/>
            <w:tcBorders>
              <w:top w:val="nil"/>
            </w:tcBorders>
            <w:shd w:val="clear" w:color="auto" w:fill="FFFFFF" w:themeFill="background1"/>
            <w:noWrap/>
            <w:vAlign w:val="bottom"/>
            <w:hideMark/>
          </w:tcPr>
          <w:p w14:paraId="47FC96E4"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981,8</w:t>
            </w:r>
          </w:p>
        </w:tc>
        <w:tc>
          <w:tcPr>
            <w:tcW w:w="356" w:type="pct"/>
            <w:tcBorders>
              <w:top w:val="nil"/>
            </w:tcBorders>
            <w:shd w:val="clear" w:color="auto" w:fill="FFFFFF" w:themeFill="background1"/>
            <w:noWrap/>
            <w:vAlign w:val="bottom"/>
            <w:hideMark/>
          </w:tcPr>
          <w:p w14:paraId="40357C4C"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60" w:type="pct"/>
            <w:tcBorders>
              <w:top w:val="nil"/>
            </w:tcBorders>
            <w:shd w:val="clear" w:color="auto" w:fill="FFFFFF" w:themeFill="background1"/>
            <w:noWrap/>
            <w:vAlign w:val="bottom"/>
            <w:hideMark/>
          </w:tcPr>
          <w:p w14:paraId="5EEE56C9"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vAlign w:val="bottom"/>
            <w:hideMark/>
          </w:tcPr>
          <w:p w14:paraId="78843B6D"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03E8BFB5"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tcPr>
          <w:p w14:paraId="130F4704"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4C242A23"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981,8</w:t>
            </w:r>
          </w:p>
        </w:tc>
        <w:tc>
          <w:tcPr>
            <w:tcW w:w="372" w:type="pct"/>
            <w:tcBorders>
              <w:top w:val="nil"/>
            </w:tcBorders>
            <w:shd w:val="clear" w:color="auto" w:fill="FFFFFF" w:themeFill="background1"/>
            <w:noWrap/>
            <w:vAlign w:val="bottom"/>
            <w:hideMark/>
          </w:tcPr>
          <w:p w14:paraId="227157B5"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687,9</w:t>
            </w:r>
          </w:p>
        </w:tc>
        <w:tc>
          <w:tcPr>
            <w:tcW w:w="372" w:type="pct"/>
            <w:tcBorders>
              <w:top w:val="nil"/>
            </w:tcBorders>
            <w:shd w:val="clear" w:color="auto" w:fill="FFFFFF" w:themeFill="background1"/>
            <w:noWrap/>
            <w:vAlign w:val="bottom"/>
            <w:hideMark/>
          </w:tcPr>
          <w:p w14:paraId="713E902B"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270,4</w:t>
            </w:r>
          </w:p>
        </w:tc>
        <w:tc>
          <w:tcPr>
            <w:tcW w:w="372" w:type="pct"/>
            <w:tcBorders>
              <w:top w:val="nil"/>
            </w:tcBorders>
            <w:shd w:val="clear" w:color="auto" w:fill="FFFFFF" w:themeFill="background1"/>
            <w:noWrap/>
            <w:vAlign w:val="bottom"/>
            <w:hideMark/>
          </w:tcPr>
          <w:p w14:paraId="082DC486"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20,3</w:t>
            </w:r>
          </w:p>
        </w:tc>
        <w:tc>
          <w:tcPr>
            <w:tcW w:w="372" w:type="pct"/>
            <w:tcBorders>
              <w:top w:val="nil"/>
            </w:tcBorders>
            <w:shd w:val="clear" w:color="auto" w:fill="FFFFFF" w:themeFill="background1"/>
            <w:noWrap/>
            <w:vAlign w:val="bottom"/>
            <w:hideMark/>
          </w:tcPr>
          <w:p w14:paraId="5ED908BE"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3,2</w:t>
            </w:r>
          </w:p>
        </w:tc>
      </w:tr>
      <w:tr w:rsidR="00BF6FDD" w:rsidRPr="00DE058F" w14:paraId="4076FE08"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48698DE9"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 xml:space="preserve">            Порез на добит </w:t>
            </w:r>
          </w:p>
        </w:tc>
        <w:tc>
          <w:tcPr>
            <w:tcW w:w="356" w:type="pct"/>
            <w:tcBorders>
              <w:top w:val="nil"/>
            </w:tcBorders>
            <w:shd w:val="clear" w:color="auto" w:fill="FFFFFF" w:themeFill="background1"/>
            <w:noWrap/>
            <w:vAlign w:val="bottom"/>
            <w:hideMark/>
          </w:tcPr>
          <w:p w14:paraId="14760A73"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154,5</w:t>
            </w:r>
          </w:p>
        </w:tc>
        <w:tc>
          <w:tcPr>
            <w:tcW w:w="356" w:type="pct"/>
            <w:tcBorders>
              <w:top w:val="nil"/>
            </w:tcBorders>
            <w:shd w:val="clear" w:color="auto" w:fill="FFFFFF" w:themeFill="background1"/>
            <w:noWrap/>
            <w:vAlign w:val="bottom"/>
            <w:hideMark/>
          </w:tcPr>
          <w:p w14:paraId="0F7B9959"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140,6</w:t>
            </w:r>
          </w:p>
        </w:tc>
        <w:tc>
          <w:tcPr>
            <w:tcW w:w="360" w:type="pct"/>
            <w:tcBorders>
              <w:top w:val="nil"/>
            </w:tcBorders>
            <w:shd w:val="clear" w:color="auto" w:fill="FFFFFF" w:themeFill="background1"/>
            <w:noWrap/>
            <w:vAlign w:val="bottom"/>
            <w:hideMark/>
          </w:tcPr>
          <w:p w14:paraId="13B6AE52"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14,0</w:t>
            </w:r>
          </w:p>
        </w:tc>
        <w:tc>
          <w:tcPr>
            <w:tcW w:w="348" w:type="pct"/>
            <w:tcBorders>
              <w:top w:val="nil"/>
            </w:tcBorders>
            <w:shd w:val="clear" w:color="auto" w:fill="FFFFFF" w:themeFill="background1"/>
            <w:noWrap/>
            <w:vAlign w:val="bottom"/>
          </w:tcPr>
          <w:p w14:paraId="624A4219"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hideMark/>
          </w:tcPr>
          <w:p w14:paraId="55D6AFC4"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14,0</w:t>
            </w:r>
          </w:p>
        </w:tc>
        <w:tc>
          <w:tcPr>
            <w:tcW w:w="353" w:type="pct"/>
            <w:tcBorders>
              <w:top w:val="nil"/>
            </w:tcBorders>
            <w:shd w:val="clear" w:color="auto" w:fill="FFFFFF" w:themeFill="background1"/>
            <w:noWrap/>
            <w:vAlign w:val="bottom"/>
          </w:tcPr>
          <w:p w14:paraId="2821E79E"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37BF6414"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vAlign w:val="bottom"/>
            <w:hideMark/>
          </w:tcPr>
          <w:p w14:paraId="446F1846"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75031A6E"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1319E879"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63F81CD5"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r>
      <w:tr w:rsidR="00BF6FDD" w:rsidRPr="00DE058F" w14:paraId="5D42D027"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2FFC4CE7"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 xml:space="preserve">            ПДВ</w:t>
            </w:r>
          </w:p>
        </w:tc>
        <w:tc>
          <w:tcPr>
            <w:tcW w:w="356" w:type="pct"/>
            <w:tcBorders>
              <w:top w:val="nil"/>
            </w:tcBorders>
            <w:shd w:val="clear" w:color="auto" w:fill="FFFFFF" w:themeFill="background1"/>
            <w:noWrap/>
            <w:vAlign w:val="bottom"/>
            <w:hideMark/>
          </w:tcPr>
          <w:p w14:paraId="7D1F0524"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799,8</w:t>
            </w:r>
          </w:p>
        </w:tc>
        <w:tc>
          <w:tcPr>
            <w:tcW w:w="356" w:type="pct"/>
            <w:tcBorders>
              <w:top w:val="nil"/>
            </w:tcBorders>
            <w:shd w:val="clear" w:color="auto" w:fill="FFFFFF" w:themeFill="background1"/>
            <w:noWrap/>
            <w:vAlign w:val="bottom"/>
            <w:hideMark/>
          </w:tcPr>
          <w:p w14:paraId="2A15445E"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799,8</w:t>
            </w:r>
          </w:p>
        </w:tc>
        <w:tc>
          <w:tcPr>
            <w:tcW w:w="360" w:type="pct"/>
            <w:tcBorders>
              <w:top w:val="nil"/>
            </w:tcBorders>
            <w:shd w:val="clear" w:color="auto" w:fill="FFFFFF" w:themeFill="background1"/>
            <w:noWrap/>
            <w:vAlign w:val="bottom"/>
          </w:tcPr>
          <w:p w14:paraId="0CECA19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vAlign w:val="bottom"/>
          </w:tcPr>
          <w:p w14:paraId="6CFFF6B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hideMark/>
          </w:tcPr>
          <w:p w14:paraId="32A8DB05"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12E71122"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tcPr>
          <w:p w14:paraId="4588EF50"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vAlign w:val="bottom"/>
            <w:hideMark/>
          </w:tcPr>
          <w:p w14:paraId="31519F1D"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2351E737"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181FEDFE"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1BF9E7EB"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r>
      <w:tr w:rsidR="00BF6FDD" w:rsidRPr="00DE058F" w14:paraId="695AD2B1"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67384155"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 xml:space="preserve">            Акцизе</w:t>
            </w:r>
          </w:p>
        </w:tc>
        <w:tc>
          <w:tcPr>
            <w:tcW w:w="356" w:type="pct"/>
            <w:tcBorders>
              <w:top w:val="nil"/>
            </w:tcBorders>
            <w:shd w:val="clear" w:color="auto" w:fill="FFFFFF" w:themeFill="background1"/>
            <w:noWrap/>
            <w:vAlign w:val="bottom"/>
            <w:hideMark/>
          </w:tcPr>
          <w:p w14:paraId="742F398F"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349,7</w:t>
            </w:r>
          </w:p>
        </w:tc>
        <w:tc>
          <w:tcPr>
            <w:tcW w:w="356" w:type="pct"/>
            <w:tcBorders>
              <w:top w:val="nil"/>
            </w:tcBorders>
            <w:shd w:val="clear" w:color="auto" w:fill="FFFFFF" w:themeFill="background1"/>
            <w:noWrap/>
            <w:vAlign w:val="bottom"/>
            <w:hideMark/>
          </w:tcPr>
          <w:p w14:paraId="52C0216D"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349,7</w:t>
            </w:r>
          </w:p>
        </w:tc>
        <w:tc>
          <w:tcPr>
            <w:tcW w:w="360" w:type="pct"/>
            <w:tcBorders>
              <w:top w:val="nil"/>
            </w:tcBorders>
            <w:shd w:val="clear" w:color="auto" w:fill="FFFFFF" w:themeFill="background1"/>
            <w:noWrap/>
            <w:vAlign w:val="bottom"/>
          </w:tcPr>
          <w:p w14:paraId="2FCF43D1"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vAlign w:val="bottom"/>
            <w:hideMark/>
          </w:tcPr>
          <w:p w14:paraId="3D696E03"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10AE2EB4"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0542590E"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tcPr>
          <w:p w14:paraId="5D5F2143"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vAlign w:val="bottom"/>
            <w:hideMark/>
          </w:tcPr>
          <w:p w14:paraId="258BE381"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02A38F61"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57C0229A"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00FC47CA"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r>
      <w:tr w:rsidR="00BF6FDD" w:rsidRPr="00DE058F" w14:paraId="0D5919B3"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5C51C6FD"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 xml:space="preserve">            Царине</w:t>
            </w:r>
          </w:p>
        </w:tc>
        <w:tc>
          <w:tcPr>
            <w:tcW w:w="356" w:type="pct"/>
            <w:tcBorders>
              <w:top w:val="nil"/>
            </w:tcBorders>
            <w:shd w:val="clear" w:color="auto" w:fill="FFFFFF" w:themeFill="background1"/>
            <w:noWrap/>
            <w:vAlign w:val="bottom"/>
            <w:hideMark/>
          </w:tcPr>
          <w:p w14:paraId="484BB26C"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83,2</w:t>
            </w:r>
          </w:p>
        </w:tc>
        <w:tc>
          <w:tcPr>
            <w:tcW w:w="356" w:type="pct"/>
            <w:tcBorders>
              <w:top w:val="nil"/>
            </w:tcBorders>
            <w:shd w:val="clear" w:color="auto" w:fill="FFFFFF" w:themeFill="background1"/>
            <w:noWrap/>
            <w:vAlign w:val="bottom"/>
            <w:hideMark/>
          </w:tcPr>
          <w:p w14:paraId="1B08C343"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83,2</w:t>
            </w:r>
          </w:p>
        </w:tc>
        <w:tc>
          <w:tcPr>
            <w:tcW w:w="360" w:type="pct"/>
            <w:tcBorders>
              <w:top w:val="nil"/>
            </w:tcBorders>
            <w:shd w:val="clear" w:color="auto" w:fill="FFFFFF" w:themeFill="background1"/>
            <w:noWrap/>
            <w:vAlign w:val="bottom"/>
          </w:tcPr>
          <w:p w14:paraId="3A3795A4"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vAlign w:val="bottom"/>
            <w:hideMark/>
          </w:tcPr>
          <w:p w14:paraId="0174862E"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6E4C3EC4"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7E10DDE9"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tcPr>
          <w:p w14:paraId="681E30FF"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vAlign w:val="bottom"/>
            <w:hideMark/>
          </w:tcPr>
          <w:p w14:paraId="694AA27E"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6F489F47"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50134906"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0EE54A1E"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r>
      <w:tr w:rsidR="00BF6FDD" w:rsidRPr="00DE058F" w14:paraId="2873839C"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2E3B8F5E"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 xml:space="preserve">            Остали порески приходи</w:t>
            </w:r>
          </w:p>
        </w:tc>
        <w:tc>
          <w:tcPr>
            <w:tcW w:w="356" w:type="pct"/>
            <w:tcBorders>
              <w:top w:val="nil"/>
            </w:tcBorders>
            <w:shd w:val="clear" w:color="auto" w:fill="FFFFFF" w:themeFill="background1"/>
            <w:noWrap/>
            <w:vAlign w:val="bottom"/>
            <w:hideMark/>
          </w:tcPr>
          <w:p w14:paraId="3DF7CA7D"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102,0</w:t>
            </w:r>
          </w:p>
        </w:tc>
        <w:tc>
          <w:tcPr>
            <w:tcW w:w="356" w:type="pct"/>
            <w:tcBorders>
              <w:top w:val="nil"/>
            </w:tcBorders>
            <w:shd w:val="clear" w:color="auto" w:fill="FFFFFF" w:themeFill="background1"/>
            <w:noWrap/>
            <w:vAlign w:val="bottom"/>
            <w:hideMark/>
          </w:tcPr>
          <w:p w14:paraId="661FDFDF"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14,1</w:t>
            </w:r>
          </w:p>
        </w:tc>
        <w:tc>
          <w:tcPr>
            <w:tcW w:w="360" w:type="pct"/>
            <w:tcBorders>
              <w:top w:val="nil"/>
            </w:tcBorders>
            <w:shd w:val="clear" w:color="auto" w:fill="FFFFFF" w:themeFill="background1"/>
            <w:noWrap/>
            <w:vAlign w:val="bottom"/>
            <w:hideMark/>
          </w:tcPr>
          <w:p w14:paraId="6FDC4C45"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87,9</w:t>
            </w:r>
          </w:p>
        </w:tc>
        <w:tc>
          <w:tcPr>
            <w:tcW w:w="348" w:type="pct"/>
            <w:tcBorders>
              <w:top w:val="nil"/>
            </w:tcBorders>
            <w:shd w:val="clear" w:color="auto" w:fill="FFFFFF" w:themeFill="background1"/>
            <w:noWrap/>
            <w:vAlign w:val="bottom"/>
            <w:hideMark/>
          </w:tcPr>
          <w:p w14:paraId="7166E03C"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87,9</w:t>
            </w:r>
          </w:p>
        </w:tc>
        <w:tc>
          <w:tcPr>
            <w:tcW w:w="372" w:type="pct"/>
            <w:tcBorders>
              <w:top w:val="nil"/>
            </w:tcBorders>
            <w:shd w:val="clear" w:color="auto" w:fill="FFFFFF" w:themeFill="background1"/>
            <w:noWrap/>
            <w:vAlign w:val="bottom"/>
            <w:hideMark/>
          </w:tcPr>
          <w:p w14:paraId="12B550AA"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50E44EC4"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tcPr>
          <w:p w14:paraId="61AE9A34"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vAlign w:val="bottom"/>
            <w:hideMark/>
          </w:tcPr>
          <w:p w14:paraId="025EB767"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06AE9D39"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73D24D07"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65E1F4A6"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r>
      <w:tr w:rsidR="00BF6FDD" w:rsidRPr="00DE058F" w14:paraId="51F0633E"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728CC273"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 xml:space="preserve">      Непорески приходи</w:t>
            </w:r>
          </w:p>
        </w:tc>
        <w:tc>
          <w:tcPr>
            <w:tcW w:w="356" w:type="pct"/>
            <w:tcBorders>
              <w:top w:val="nil"/>
            </w:tcBorders>
            <w:shd w:val="clear" w:color="auto" w:fill="FFFFFF" w:themeFill="background1"/>
            <w:noWrap/>
            <w:vAlign w:val="bottom"/>
            <w:hideMark/>
          </w:tcPr>
          <w:p w14:paraId="1D0C9A42"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276,4</w:t>
            </w:r>
          </w:p>
        </w:tc>
        <w:tc>
          <w:tcPr>
            <w:tcW w:w="356" w:type="pct"/>
            <w:tcBorders>
              <w:top w:val="nil"/>
            </w:tcBorders>
            <w:shd w:val="clear" w:color="auto" w:fill="FFFFFF" w:themeFill="background1"/>
            <w:noWrap/>
            <w:vAlign w:val="bottom"/>
            <w:hideMark/>
          </w:tcPr>
          <w:p w14:paraId="07869FC9"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139,7</w:t>
            </w:r>
          </w:p>
        </w:tc>
        <w:tc>
          <w:tcPr>
            <w:tcW w:w="360" w:type="pct"/>
            <w:tcBorders>
              <w:top w:val="nil"/>
            </w:tcBorders>
            <w:shd w:val="clear" w:color="auto" w:fill="FFFFFF" w:themeFill="background1"/>
            <w:noWrap/>
            <w:vAlign w:val="bottom"/>
            <w:hideMark/>
          </w:tcPr>
          <w:p w14:paraId="52AC9246"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80,0</w:t>
            </w:r>
          </w:p>
        </w:tc>
        <w:tc>
          <w:tcPr>
            <w:tcW w:w="348" w:type="pct"/>
            <w:tcBorders>
              <w:top w:val="nil"/>
            </w:tcBorders>
            <w:shd w:val="clear" w:color="auto" w:fill="FFFFFF" w:themeFill="background1"/>
            <w:noWrap/>
            <w:vAlign w:val="bottom"/>
            <w:hideMark/>
          </w:tcPr>
          <w:p w14:paraId="4174605F"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73,2</w:t>
            </w:r>
          </w:p>
        </w:tc>
        <w:tc>
          <w:tcPr>
            <w:tcW w:w="372" w:type="pct"/>
            <w:tcBorders>
              <w:top w:val="nil"/>
            </w:tcBorders>
            <w:shd w:val="clear" w:color="auto" w:fill="FFFFFF" w:themeFill="background1"/>
            <w:noWrap/>
            <w:vAlign w:val="bottom"/>
            <w:hideMark/>
          </w:tcPr>
          <w:p w14:paraId="28A1E74B"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6,7</w:t>
            </w:r>
          </w:p>
        </w:tc>
        <w:tc>
          <w:tcPr>
            <w:tcW w:w="353" w:type="pct"/>
            <w:tcBorders>
              <w:top w:val="nil"/>
            </w:tcBorders>
            <w:shd w:val="clear" w:color="auto" w:fill="FFFFFF" w:themeFill="background1"/>
            <w:noWrap/>
            <w:vAlign w:val="bottom"/>
            <w:hideMark/>
          </w:tcPr>
          <w:p w14:paraId="6632E65C"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43,7</w:t>
            </w:r>
          </w:p>
        </w:tc>
        <w:tc>
          <w:tcPr>
            <w:tcW w:w="372" w:type="pct"/>
            <w:tcBorders>
              <w:top w:val="nil"/>
            </w:tcBorders>
            <w:shd w:val="clear" w:color="auto" w:fill="FFFFFF" w:themeFill="background1"/>
            <w:noWrap/>
            <w:vAlign w:val="bottom"/>
            <w:hideMark/>
          </w:tcPr>
          <w:p w14:paraId="49BC4784"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13,0</w:t>
            </w:r>
          </w:p>
        </w:tc>
        <w:tc>
          <w:tcPr>
            <w:tcW w:w="372" w:type="pct"/>
            <w:tcBorders>
              <w:top w:val="nil"/>
            </w:tcBorders>
            <w:shd w:val="clear" w:color="auto" w:fill="FFFFFF" w:themeFill="background1"/>
            <w:noWrap/>
            <w:vAlign w:val="bottom"/>
            <w:hideMark/>
          </w:tcPr>
          <w:p w14:paraId="5710629A"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1,1</w:t>
            </w:r>
          </w:p>
        </w:tc>
        <w:tc>
          <w:tcPr>
            <w:tcW w:w="372" w:type="pct"/>
            <w:tcBorders>
              <w:top w:val="nil"/>
            </w:tcBorders>
            <w:shd w:val="clear" w:color="auto" w:fill="FFFFFF" w:themeFill="background1"/>
            <w:noWrap/>
            <w:vAlign w:val="bottom"/>
            <w:hideMark/>
          </w:tcPr>
          <w:p w14:paraId="2AA38B02"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10,0</w:t>
            </w:r>
          </w:p>
        </w:tc>
        <w:tc>
          <w:tcPr>
            <w:tcW w:w="372" w:type="pct"/>
            <w:tcBorders>
              <w:top w:val="nil"/>
            </w:tcBorders>
            <w:shd w:val="clear" w:color="auto" w:fill="FFFFFF" w:themeFill="background1"/>
            <w:noWrap/>
            <w:vAlign w:val="bottom"/>
            <w:hideMark/>
          </w:tcPr>
          <w:p w14:paraId="5F189621"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1,2</w:t>
            </w:r>
          </w:p>
        </w:tc>
        <w:tc>
          <w:tcPr>
            <w:tcW w:w="372" w:type="pct"/>
            <w:tcBorders>
              <w:top w:val="nil"/>
            </w:tcBorders>
            <w:shd w:val="clear" w:color="auto" w:fill="FFFFFF" w:themeFill="background1"/>
            <w:noWrap/>
            <w:vAlign w:val="bottom"/>
            <w:hideMark/>
          </w:tcPr>
          <w:p w14:paraId="4D4457FD"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0,7</w:t>
            </w:r>
          </w:p>
        </w:tc>
      </w:tr>
      <w:tr w:rsidR="00BF6FDD" w:rsidRPr="00DE058F" w14:paraId="403F1BDB"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0E1C35AA"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 xml:space="preserve">   Донације</w:t>
            </w:r>
          </w:p>
        </w:tc>
        <w:tc>
          <w:tcPr>
            <w:tcW w:w="356" w:type="pct"/>
            <w:tcBorders>
              <w:top w:val="nil"/>
            </w:tcBorders>
            <w:shd w:val="clear" w:color="auto" w:fill="FFFFFF" w:themeFill="background1"/>
            <w:noWrap/>
            <w:vAlign w:val="bottom"/>
            <w:hideMark/>
          </w:tcPr>
          <w:p w14:paraId="6B438310"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25,9</w:t>
            </w:r>
          </w:p>
        </w:tc>
        <w:tc>
          <w:tcPr>
            <w:tcW w:w="356" w:type="pct"/>
            <w:tcBorders>
              <w:top w:val="nil"/>
            </w:tcBorders>
            <w:shd w:val="clear" w:color="auto" w:fill="FFFFFF" w:themeFill="background1"/>
            <w:noWrap/>
            <w:vAlign w:val="bottom"/>
            <w:hideMark/>
          </w:tcPr>
          <w:p w14:paraId="1807E185"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23,4</w:t>
            </w:r>
          </w:p>
        </w:tc>
        <w:tc>
          <w:tcPr>
            <w:tcW w:w="360" w:type="pct"/>
            <w:tcBorders>
              <w:top w:val="nil"/>
            </w:tcBorders>
            <w:shd w:val="clear" w:color="auto" w:fill="FFFFFF" w:themeFill="background1"/>
            <w:noWrap/>
            <w:vAlign w:val="bottom"/>
            <w:hideMark/>
          </w:tcPr>
          <w:p w14:paraId="01636397"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2,0</w:t>
            </w:r>
          </w:p>
        </w:tc>
        <w:tc>
          <w:tcPr>
            <w:tcW w:w="348" w:type="pct"/>
            <w:tcBorders>
              <w:top w:val="nil"/>
            </w:tcBorders>
            <w:shd w:val="clear" w:color="auto" w:fill="FFFFFF" w:themeFill="background1"/>
            <w:noWrap/>
            <w:vAlign w:val="bottom"/>
            <w:hideMark/>
          </w:tcPr>
          <w:p w14:paraId="5CF05B24"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2,0</w:t>
            </w:r>
          </w:p>
        </w:tc>
        <w:tc>
          <w:tcPr>
            <w:tcW w:w="372" w:type="pct"/>
            <w:tcBorders>
              <w:top w:val="nil"/>
            </w:tcBorders>
            <w:shd w:val="clear" w:color="auto" w:fill="FFFFFF" w:themeFill="background1"/>
            <w:noWrap/>
            <w:vAlign w:val="bottom"/>
          </w:tcPr>
          <w:p w14:paraId="0BE55245"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53" w:type="pct"/>
            <w:tcBorders>
              <w:top w:val="nil"/>
            </w:tcBorders>
            <w:shd w:val="clear" w:color="auto" w:fill="FFFFFF" w:themeFill="background1"/>
            <w:noWrap/>
            <w:vAlign w:val="bottom"/>
          </w:tcPr>
          <w:p w14:paraId="7791C601"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vAlign w:val="bottom"/>
            <w:hideMark/>
          </w:tcPr>
          <w:p w14:paraId="2E660342"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0,5</w:t>
            </w:r>
          </w:p>
        </w:tc>
        <w:tc>
          <w:tcPr>
            <w:tcW w:w="372" w:type="pct"/>
            <w:tcBorders>
              <w:top w:val="nil"/>
            </w:tcBorders>
            <w:shd w:val="clear" w:color="auto" w:fill="FFFFFF" w:themeFill="background1"/>
            <w:noWrap/>
            <w:vAlign w:val="bottom"/>
            <w:hideMark/>
          </w:tcPr>
          <w:p w14:paraId="1A97CE39"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4CCF32FA"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43E38B98"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0,5</w:t>
            </w:r>
          </w:p>
        </w:tc>
        <w:tc>
          <w:tcPr>
            <w:tcW w:w="372" w:type="pct"/>
            <w:tcBorders>
              <w:top w:val="nil"/>
            </w:tcBorders>
            <w:shd w:val="clear" w:color="auto" w:fill="FFFFFF" w:themeFill="background1"/>
            <w:noWrap/>
            <w:vAlign w:val="bottom"/>
            <w:hideMark/>
          </w:tcPr>
          <w:p w14:paraId="0B6F19D8"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r>
      <w:tr w:rsidR="00BF6FDD" w:rsidRPr="00DE058F" w14:paraId="40F1E9EC"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BFBFBF" w:themeFill="background1" w:themeFillShade="BF"/>
            <w:noWrap/>
            <w:vAlign w:val="bottom"/>
            <w:hideMark/>
          </w:tcPr>
          <w:p w14:paraId="501C76BA" w14:textId="77777777" w:rsidR="00BF6FDD" w:rsidRPr="00DE058F" w:rsidRDefault="00BF6FDD" w:rsidP="00C91F83">
            <w:pPr>
              <w:tabs>
                <w:tab w:val="center" w:pos="4680"/>
                <w:tab w:val="right" w:pos="9360"/>
              </w:tabs>
              <w:rPr>
                <w:rFonts w:cstheme="minorHAnsi"/>
                <w:color w:val="002060"/>
                <w:sz w:val="14"/>
                <w:szCs w:val="14"/>
                <w:lang w:val="sr-Cyrl-CS"/>
              </w:rPr>
            </w:pPr>
            <w:r w:rsidRPr="00DE058F">
              <w:rPr>
                <w:rFonts w:cstheme="minorHAnsi"/>
                <w:color w:val="002060"/>
                <w:sz w:val="14"/>
                <w:szCs w:val="14"/>
                <w:lang w:val="sr-Cyrl-CS"/>
              </w:rPr>
              <w:t>Јавни расходи</w:t>
            </w:r>
          </w:p>
        </w:tc>
        <w:tc>
          <w:tcPr>
            <w:tcW w:w="356" w:type="pct"/>
            <w:tcBorders>
              <w:top w:val="nil"/>
            </w:tcBorders>
            <w:shd w:val="clear" w:color="auto" w:fill="BFBFBF" w:themeFill="background1" w:themeFillShade="BF"/>
            <w:noWrap/>
            <w:vAlign w:val="bottom"/>
            <w:hideMark/>
          </w:tcPr>
          <w:p w14:paraId="6F039310"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3.186,8</w:t>
            </w:r>
          </w:p>
        </w:tc>
        <w:tc>
          <w:tcPr>
            <w:tcW w:w="356" w:type="pct"/>
            <w:tcBorders>
              <w:top w:val="nil"/>
            </w:tcBorders>
            <w:shd w:val="clear" w:color="auto" w:fill="BFBFBF" w:themeFill="background1" w:themeFillShade="BF"/>
            <w:noWrap/>
            <w:vAlign w:val="bottom"/>
            <w:hideMark/>
          </w:tcPr>
          <w:p w14:paraId="772DB050"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1.425,8</w:t>
            </w:r>
          </w:p>
        </w:tc>
        <w:tc>
          <w:tcPr>
            <w:tcW w:w="360" w:type="pct"/>
            <w:tcBorders>
              <w:top w:val="nil"/>
            </w:tcBorders>
            <w:shd w:val="clear" w:color="auto" w:fill="BFBFBF" w:themeFill="background1" w:themeFillShade="BF"/>
            <w:noWrap/>
            <w:vAlign w:val="bottom"/>
            <w:hideMark/>
          </w:tcPr>
          <w:p w14:paraId="2ED1F5A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486,9</w:t>
            </w:r>
          </w:p>
        </w:tc>
        <w:tc>
          <w:tcPr>
            <w:tcW w:w="348" w:type="pct"/>
            <w:tcBorders>
              <w:top w:val="nil"/>
            </w:tcBorders>
            <w:shd w:val="clear" w:color="auto" w:fill="BFBFBF" w:themeFill="background1" w:themeFillShade="BF"/>
            <w:noWrap/>
            <w:vAlign w:val="bottom"/>
            <w:hideMark/>
          </w:tcPr>
          <w:p w14:paraId="47CA0CF7"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412,3</w:t>
            </w:r>
          </w:p>
        </w:tc>
        <w:tc>
          <w:tcPr>
            <w:tcW w:w="372" w:type="pct"/>
            <w:tcBorders>
              <w:top w:val="nil"/>
            </w:tcBorders>
            <w:shd w:val="clear" w:color="auto" w:fill="BFBFBF" w:themeFill="background1" w:themeFillShade="BF"/>
            <w:noWrap/>
            <w:vAlign w:val="bottom"/>
            <w:hideMark/>
          </w:tcPr>
          <w:p w14:paraId="2D603EE4"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74,7</w:t>
            </w:r>
          </w:p>
        </w:tc>
        <w:tc>
          <w:tcPr>
            <w:tcW w:w="353" w:type="pct"/>
            <w:tcBorders>
              <w:top w:val="nil"/>
            </w:tcBorders>
            <w:shd w:val="clear" w:color="auto" w:fill="BFBFBF" w:themeFill="background1" w:themeFillShade="BF"/>
            <w:noWrap/>
            <w:vAlign w:val="bottom"/>
            <w:hideMark/>
          </w:tcPr>
          <w:p w14:paraId="60597E87"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74,6</w:t>
            </w:r>
          </w:p>
        </w:tc>
        <w:tc>
          <w:tcPr>
            <w:tcW w:w="372" w:type="pct"/>
            <w:tcBorders>
              <w:top w:val="nil"/>
            </w:tcBorders>
            <w:shd w:val="clear" w:color="auto" w:fill="BFBFBF" w:themeFill="background1" w:themeFillShade="BF"/>
            <w:noWrap/>
            <w:vAlign w:val="bottom"/>
            <w:hideMark/>
          </w:tcPr>
          <w:p w14:paraId="6457E8BE"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1.199,5</w:t>
            </w:r>
          </w:p>
        </w:tc>
        <w:tc>
          <w:tcPr>
            <w:tcW w:w="372" w:type="pct"/>
            <w:tcBorders>
              <w:top w:val="nil"/>
            </w:tcBorders>
            <w:shd w:val="clear" w:color="auto" w:fill="BFBFBF" w:themeFill="background1" w:themeFillShade="BF"/>
            <w:noWrap/>
            <w:vAlign w:val="bottom"/>
            <w:hideMark/>
          </w:tcPr>
          <w:p w14:paraId="1B88A9DA"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735,2</w:t>
            </w:r>
          </w:p>
        </w:tc>
        <w:tc>
          <w:tcPr>
            <w:tcW w:w="372" w:type="pct"/>
            <w:tcBorders>
              <w:top w:val="nil"/>
            </w:tcBorders>
            <w:shd w:val="clear" w:color="auto" w:fill="BFBFBF" w:themeFill="background1" w:themeFillShade="BF"/>
            <w:noWrap/>
            <w:vAlign w:val="bottom"/>
            <w:hideMark/>
          </w:tcPr>
          <w:p w14:paraId="64E8C817"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434,6</w:t>
            </w:r>
          </w:p>
        </w:tc>
        <w:tc>
          <w:tcPr>
            <w:tcW w:w="372" w:type="pct"/>
            <w:tcBorders>
              <w:top w:val="nil"/>
            </w:tcBorders>
            <w:shd w:val="clear" w:color="auto" w:fill="BFBFBF" w:themeFill="background1" w:themeFillShade="BF"/>
            <w:noWrap/>
            <w:vAlign w:val="bottom"/>
            <w:hideMark/>
          </w:tcPr>
          <w:p w14:paraId="51510786"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22,6</w:t>
            </w:r>
          </w:p>
        </w:tc>
        <w:tc>
          <w:tcPr>
            <w:tcW w:w="372" w:type="pct"/>
            <w:tcBorders>
              <w:top w:val="nil"/>
            </w:tcBorders>
            <w:shd w:val="clear" w:color="auto" w:fill="BFBFBF" w:themeFill="background1" w:themeFillShade="BF"/>
            <w:noWrap/>
            <w:vAlign w:val="bottom"/>
            <w:hideMark/>
          </w:tcPr>
          <w:p w14:paraId="2C9A9279"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7,1</w:t>
            </w:r>
          </w:p>
        </w:tc>
      </w:tr>
      <w:tr w:rsidR="00BF6FDD" w:rsidRPr="00DE058F" w14:paraId="29D69EF7"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1BA7E4E5"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 xml:space="preserve">     Текући расходи</w:t>
            </w:r>
          </w:p>
        </w:tc>
        <w:tc>
          <w:tcPr>
            <w:tcW w:w="356" w:type="pct"/>
            <w:tcBorders>
              <w:top w:val="nil"/>
            </w:tcBorders>
            <w:shd w:val="clear" w:color="auto" w:fill="FFFFFF" w:themeFill="background1"/>
            <w:noWrap/>
            <w:vAlign w:val="bottom"/>
            <w:hideMark/>
          </w:tcPr>
          <w:p w14:paraId="1304D6B9"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2.634,9</w:t>
            </w:r>
          </w:p>
        </w:tc>
        <w:tc>
          <w:tcPr>
            <w:tcW w:w="356" w:type="pct"/>
            <w:tcBorders>
              <w:top w:val="nil"/>
            </w:tcBorders>
            <w:shd w:val="clear" w:color="auto" w:fill="FFFFFF" w:themeFill="background1"/>
            <w:noWrap/>
            <w:vAlign w:val="bottom"/>
            <w:hideMark/>
          </w:tcPr>
          <w:p w14:paraId="3BAE2D28"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969,5</w:t>
            </w:r>
          </w:p>
        </w:tc>
        <w:tc>
          <w:tcPr>
            <w:tcW w:w="360" w:type="pct"/>
            <w:tcBorders>
              <w:top w:val="nil"/>
            </w:tcBorders>
            <w:shd w:val="clear" w:color="auto" w:fill="FFFFFF" w:themeFill="background1"/>
            <w:noWrap/>
            <w:vAlign w:val="bottom"/>
            <w:hideMark/>
          </w:tcPr>
          <w:p w14:paraId="240728FB"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412,0</w:t>
            </w:r>
          </w:p>
        </w:tc>
        <w:tc>
          <w:tcPr>
            <w:tcW w:w="348" w:type="pct"/>
            <w:tcBorders>
              <w:top w:val="nil"/>
            </w:tcBorders>
            <w:shd w:val="clear" w:color="auto" w:fill="FFFFFF" w:themeFill="background1"/>
            <w:noWrap/>
            <w:vAlign w:val="bottom"/>
            <w:hideMark/>
          </w:tcPr>
          <w:p w14:paraId="41BBE9AB"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338,7</w:t>
            </w:r>
          </w:p>
        </w:tc>
        <w:tc>
          <w:tcPr>
            <w:tcW w:w="372" w:type="pct"/>
            <w:tcBorders>
              <w:top w:val="nil"/>
            </w:tcBorders>
            <w:shd w:val="clear" w:color="auto" w:fill="FFFFFF" w:themeFill="background1"/>
            <w:noWrap/>
            <w:vAlign w:val="bottom"/>
            <w:hideMark/>
          </w:tcPr>
          <w:p w14:paraId="61001FB5"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73,3</w:t>
            </w:r>
          </w:p>
        </w:tc>
        <w:tc>
          <w:tcPr>
            <w:tcW w:w="353" w:type="pct"/>
            <w:tcBorders>
              <w:top w:val="nil"/>
            </w:tcBorders>
            <w:shd w:val="clear" w:color="auto" w:fill="FFFFFF" w:themeFill="background1"/>
            <w:noWrap/>
            <w:vAlign w:val="bottom"/>
            <w:hideMark/>
          </w:tcPr>
          <w:p w14:paraId="5CCD53BF"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57,2</w:t>
            </w:r>
          </w:p>
        </w:tc>
        <w:tc>
          <w:tcPr>
            <w:tcW w:w="372" w:type="pct"/>
            <w:tcBorders>
              <w:top w:val="nil"/>
            </w:tcBorders>
            <w:shd w:val="clear" w:color="auto" w:fill="FFFFFF" w:themeFill="background1"/>
            <w:noWrap/>
            <w:vAlign w:val="bottom"/>
            <w:hideMark/>
          </w:tcPr>
          <w:p w14:paraId="4C129CEE"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1.196,3</w:t>
            </w:r>
          </w:p>
        </w:tc>
        <w:tc>
          <w:tcPr>
            <w:tcW w:w="372" w:type="pct"/>
            <w:tcBorders>
              <w:top w:val="nil"/>
            </w:tcBorders>
            <w:shd w:val="clear" w:color="auto" w:fill="FFFFFF" w:themeFill="background1"/>
            <w:noWrap/>
            <w:vAlign w:val="bottom"/>
            <w:hideMark/>
          </w:tcPr>
          <w:p w14:paraId="011B2870"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734,5</w:t>
            </w:r>
          </w:p>
        </w:tc>
        <w:tc>
          <w:tcPr>
            <w:tcW w:w="372" w:type="pct"/>
            <w:tcBorders>
              <w:top w:val="nil"/>
            </w:tcBorders>
            <w:shd w:val="clear" w:color="auto" w:fill="FFFFFF" w:themeFill="background1"/>
            <w:noWrap/>
            <w:vAlign w:val="bottom"/>
            <w:hideMark/>
          </w:tcPr>
          <w:p w14:paraId="09EAF93A"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432,6</w:t>
            </w:r>
          </w:p>
        </w:tc>
        <w:tc>
          <w:tcPr>
            <w:tcW w:w="372" w:type="pct"/>
            <w:tcBorders>
              <w:top w:val="nil"/>
            </w:tcBorders>
            <w:shd w:val="clear" w:color="auto" w:fill="FFFFFF" w:themeFill="background1"/>
            <w:noWrap/>
            <w:vAlign w:val="bottom"/>
            <w:hideMark/>
          </w:tcPr>
          <w:p w14:paraId="1667E3D1"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22,2</w:t>
            </w:r>
          </w:p>
        </w:tc>
        <w:tc>
          <w:tcPr>
            <w:tcW w:w="372" w:type="pct"/>
            <w:tcBorders>
              <w:top w:val="nil"/>
            </w:tcBorders>
            <w:shd w:val="clear" w:color="auto" w:fill="FFFFFF" w:themeFill="background1"/>
            <w:noWrap/>
            <w:vAlign w:val="bottom"/>
            <w:hideMark/>
          </w:tcPr>
          <w:p w14:paraId="2A9B7B51"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7,0</w:t>
            </w:r>
          </w:p>
        </w:tc>
      </w:tr>
      <w:tr w:rsidR="00BF6FDD" w:rsidRPr="00DE058F" w14:paraId="4A400EB9"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299D4555"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 xml:space="preserve">        Расходи за запослене</w:t>
            </w:r>
          </w:p>
        </w:tc>
        <w:tc>
          <w:tcPr>
            <w:tcW w:w="356" w:type="pct"/>
            <w:tcBorders>
              <w:top w:val="nil"/>
            </w:tcBorders>
            <w:shd w:val="clear" w:color="auto" w:fill="FFFFFF" w:themeFill="background1"/>
            <w:noWrap/>
            <w:vAlign w:val="bottom"/>
            <w:hideMark/>
          </w:tcPr>
          <w:p w14:paraId="117996AD"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626,0</w:t>
            </w:r>
          </w:p>
        </w:tc>
        <w:tc>
          <w:tcPr>
            <w:tcW w:w="356" w:type="pct"/>
            <w:tcBorders>
              <w:top w:val="nil"/>
            </w:tcBorders>
            <w:shd w:val="clear" w:color="auto" w:fill="FFFFFF" w:themeFill="background1"/>
            <w:noWrap/>
            <w:vAlign w:val="bottom"/>
            <w:hideMark/>
          </w:tcPr>
          <w:p w14:paraId="00961CF1"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322,8</w:t>
            </w:r>
          </w:p>
        </w:tc>
        <w:tc>
          <w:tcPr>
            <w:tcW w:w="360" w:type="pct"/>
            <w:tcBorders>
              <w:top w:val="nil"/>
            </w:tcBorders>
            <w:shd w:val="clear" w:color="auto" w:fill="FFFFFF" w:themeFill="background1"/>
            <w:noWrap/>
            <w:vAlign w:val="bottom"/>
            <w:hideMark/>
          </w:tcPr>
          <w:p w14:paraId="19E0FA3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108,7</w:t>
            </w:r>
          </w:p>
        </w:tc>
        <w:tc>
          <w:tcPr>
            <w:tcW w:w="348" w:type="pct"/>
            <w:tcBorders>
              <w:top w:val="nil"/>
            </w:tcBorders>
            <w:shd w:val="clear" w:color="auto" w:fill="FFFFFF" w:themeFill="background1"/>
            <w:noWrap/>
            <w:vAlign w:val="bottom"/>
            <w:hideMark/>
          </w:tcPr>
          <w:p w14:paraId="66EBFC10"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68,7</w:t>
            </w:r>
          </w:p>
        </w:tc>
        <w:tc>
          <w:tcPr>
            <w:tcW w:w="372" w:type="pct"/>
            <w:tcBorders>
              <w:top w:val="nil"/>
            </w:tcBorders>
            <w:shd w:val="clear" w:color="auto" w:fill="FFFFFF" w:themeFill="background1"/>
            <w:noWrap/>
            <w:vAlign w:val="bottom"/>
            <w:hideMark/>
          </w:tcPr>
          <w:p w14:paraId="0631EAFA"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40,0</w:t>
            </w:r>
          </w:p>
        </w:tc>
        <w:tc>
          <w:tcPr>
            <w:tcW w:w="353" w:type="pct"/>
            <w:tcBorders>
              <w:top w:val="nil"/>
            </w:tcBorders>
            <w:shd w:val="clear" w:color="auto" w:fill="FFFFFF" w:themeFill="background1"/>
            <w:noWrap/>
            <w:vAlign w:val="bottom"/>
            <w:hideMark/>
          </w:tcPr>
          <w:p w14:paraId="4410214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3,3</w:t>
            </w:r>
          </w:p>
        </w:tc>
        <w:tc>
          <w:tcPr>
            <w:tcW w:w="372" w:type="pct"/>
            <w:tcBorders>
              <w:top w:val="nil"/>
            </w:tcBorders>
            <w:shd w:val="clear" w:color="auto" w:fill="FFFFFF" w:themeFill="background1"/>
            <w:noWrap/>
            <w:vAlign w:val="bottom"/>
            <w:hideMark/>
          </w:tcPr>
          <w:p w14:paraId="39D9A44B"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191,2</w:t>
            </w:r>
          </w:p>
        </w:tc>
        <w:tc>
          <w:tcPr>
            <w:tcW w:w="372" w:type="pct"/>
            <w:tcBorders>
              <w:top w:val="nil"/>
            </w:tcBorders>
            <w:shd w:val="clear" w:color="auto" w:fill="FFFFFF" w:themeFill="background1"/>
            <w:noWrap/>
            <w:vAlign w:val="bottom"/>
            <w:hideMark/>
          </w:tcPr>
          <w:p w14:paraId="6D80A29E"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3,6</w:t>
            </w:r>
          </w:p>
        </w:tc>
        <w:tc>
          <w:tcPr>
            <w:tcW w:w="372" w:type="pct"/>
            <w:tcBorders>
              <w:top w:val="nil"/>
            </w:tcBorders>
            <w:shd w:val="clear" w:color="auto" w:fill="FFFFFF" w:themeFill="background1"/>
            <w:noWrap/>
            <w:vAlign w:val="bottom"/>
            <w:hideMark/>
          </w:tcPr>
          <w:p w14:paraId="7AEB6B46"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185,7</w:t>
            </w:r>
          </w:p>
        </w:tc>
        <w:tc>
          <w:tcPr>
            <w:tcW w:w="372" w:type="pct"/>
            <w:tcBorders>
              <w:top w:val="nil"/>
            </w:tcBorders>
            <w:shd w:val="clear" w:color="auto" w:fill="FFFFFF" w:themeFill="background1"/>
            <w:noWrap/>
            <w:vAlign w:val="bottom"/>
            <w:hideMark/>
          </w:tcPr>
          <w:p w14:paraId="347F6194"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1,9</w:t>
            </w:r>
          </w:p>
        </w:tc>
        <w:tc>
          <w:tcPr>
            <w:tcW w:w="372" w:type="pct"/>
            <w:tcBorders>
              <w:top w:val="nil"/>
            </w:tcBorders>
            <w:shd w:val="clear" w:color="auto" w:fill="FFFFFF" w:themeFill="background1"/>
            <w:noWrap/>
            <w:vAlign w:val="bottom"/>
          </w:tcPr>
          <w:p w14:paraId="15CF3C11"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r>
      <w:tr w:rsidR="00BF6FDD" w:rsidRPr="00DE058F" w14:paraId="6145D642"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1681B20A"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 xml:space="preserve">        Доприноси на терет послодавца</w:t>
            </w:r>
          </w:p>
        </w:tc>
        <w:tc>
          <w:tcPr>
            <w:tcW w:w="356" w:type="pct"/>
            <w:tcBorders>
              <w:top w:val="nil"/>
            </w:tcBorders>
            <w:shd w:val="clear" w:color="auto" w:fill="FFFFFF" w:themeFill="background1"/>
            <w:noWrap/>
            <w:vAlign w:val="bottom"/>
            <w:hideMark/>
          </w:tcPr>
          <w:p w14:paraId="0897F384"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104,1</w:t>
            </w:r>
          </w:p>
        </w:tc>
        <w:tc>
          <w:tcPr>
            <w:tcW w:w="356" w:type="pct"/>
            <w:tcBorders>
              <w:top w:val="nil"/>
            </w:tcBorders>
            <w:shd w:val="clear" w:color="auto" w:fill="FFFFFF" w:themeFill="background1"/>
            <w:noWrap/>
            <w:vAlign w:val="bottom"/>
            <w:hideMark/>
          </w:tcPr>
          <w:p w14:paraId="4865C62D"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56,8</w:t>
            </w:r>
          </w:p>
        </w:tc>
        <w:tc>
          <w:tcPr>
            <w:tcW w:w="360" w:type="pct"/>
            <w:tcBorders>
              <w:top w:val="nil"/>
            </w:tcBorders>
            <w:shd w:val="clear" w:color="auto" w:fill="FFFFFF" w:themeFill="background1"/>
            <w:noWrap/>
            <w:vAlign w:val="bottom"/>
            <w:hideMark/>
          </w:tcPr>
          <w:p w14:paraId="0370812C"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17,6</w:t>
            </w:r>
          </w:p>
        </w:tc>
        <w:tc>
          <w:tcPr>
            <w:tcW w:w="348" w:type="pct"/>
            <w:tcBorders>
              <w:top w:val="nil"/>
            </w:tcBorders>
            <w:shd w:val="clear" w:color="auto" w:fill="FFFFFF" w:themeFill="background1"/>
            <w:noWrap/>
            <w:vAlign w:val="bottom"/>
            <w:hideMark/>
          </w:tcPr>
          <w:p w14:paraId="0E1819C7"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10,0</w:t>
            </w:r>
          </w:p>
        </w:tc>
        <w:tc>
          <w:tcPr>
            <w:tcW w:w="372" w:type="pct"/>
            <w:tcBorders>
              <w:top w:val="nil"/>
            </w:tcBorders>
            <w:shd w:val="clear" w:color="auto" w:fill="FFFFFF" w:themeFill="background1"/>
            <w:noWrap/>
            <w:vAlign w:val="bottom"/>
            <w:hideMark/>
          </w:tcPr>
          <w:p w14:paraId="4DA1A1E3"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7,6</w:t>
            </w:r>
          </w:p>
        </w:tc>
        <w:tc>
          <w:tcPr>
            <w:tcW w:w="353" w:type="pct"/>
            <w:tcBorders>
              <w:top w:val="nil"/>
            </w:tcBorders>
            <w:shd w:val="clear" w:color="auto" w:fill="FFFFFF" w:themeFill="background1"/>
            <w:noWrap/>
            <w:vAlign w:val="bottom"/>
            <w:hideMark/>
          </w:tcPr>
          <w:p w14:paraId="4CCC5CF4"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0,5</w:t>
            </w:r>
          </w:p>
        </w:tc>
        <w:tc>
          <w:tcPr>
            <w:tcW w:w="372" w:type="pct"/>
            <w:tcBorders>
              <w:top w:val="nil"/>
            </w:tcBorders>
            <w:shd w:val="clear" w:color="auto" w:fill="FFFFFF" w:themeFill="background1"/>
            <w:noWrap/>
            <w:vAlign w:val="bottom"/>
            <w:hideMark/>
          </w:tcPr>
          <w:p w14:paraId="5716CE29"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29,2</w:t>
            </w:r>
          </w:p>
        </w:tc>
        <w:tc>
          <w:tcPr>
            <w:tcW w:w="372" w:type="pct"/>
            <w:tcBorders>
              <w:top w:val="nil"/>
            </w:tcBorders>
            <w:shd w:val="clear" w:color="auto" w:fill="FFFFFF" w:themeFill="background1"/>
            <w:noWrap/>
            <w:vAlign w:val="bottom"/>
            <w:hideMark/>
          </w:tcPr>
          <w:p w14:paraId="20EFECB6"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0,6</w:t>
            </w:r>
          </w:p>
        </w:tc>
        <w:tc>
          <w:tcPr>
            <w:tcW w:w="372" w:type="pct"/>
            <w:tcBorders>
              <w:top w:val="nil"/>
            </w:tcBorders>
            <w:shd w:val="clear" w:color="auto" w:fill="FFFFFF" w:themeFill="background1"/>
            <w:noWrap/>
            <w:vAlign w:val="bottom"/>
            <w:hideMark/>
          </w:tcPr>
          <w:p w14:paraId="2F58D896"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28,1</w:t>
            </w:r>
          </w:p>
        </w:tc>
        <w:tc>
          <w:tcPr>
            <w:tcW w:w="372" w:type="pct"/>
            <w:tcBorders>
              <w:top w:val="nil"/>
            </w:tcBorders>
            <w:shd w:val="clear" w:color="auto" w:fill="FFFFFF" w:themeFill="background1"/>
            <w:noWrap/>
            <w:vAlign w:val="bottom"/>
            <w:hideMark/>
          </w:tcPr>
          <w:p w14:paraId="7E79BD7E"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0,4</w:t>
            </w:r>
          </w:p>
        </w:tc>
        <w:tc>
          <w:tcPr>
            <w:tcW w:w="372" w:type="pct"/>
            <w:tcBorders>
              <w:top w:val="nil"/>
            </w:tcBorders>
            <w:shd w:val="clear" w:color="auto" w:fill="FFFFFF" w:themeFill="background1"/>
            <w:noWrap/>
            <w:vAlign w:val="bottom"/>
          </w:tcPr>
          <w:p w14:paraId="1F678429"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r>
      <w:tr w:rsidR="00BF6FDD" w:rsidRPr="00DE058F" w14:paraId="1A5EDA60"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4F39991D"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 xml:space="preserve">        Куповина роба и услуга</w:t>
            </w:r>
          </w:p>
        </w:tc>
        <w:tc>
          <w:tcPr>
            <w:tcW w:w="356" w:type="pct"/>
            <w:tcBorders>
              <w:top w:val="nil"/>
            </w:tcBorders>
            <w:shd w:val="clear" w:color="auto" w:fill="FFFFFF" w:themeFill="background1"/>
            <w:noWrap/>
            <w:vAlign w:val="bottom"/>
            <w:hideMark/>
          </w:tcPr>
          <w:p w14:paraId="6FB3C007"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561,1</w:t>
            </w:r>
          </w:p>
        </w:tc>
        <w:tc>
          <w:tcPr>
            <w:tcW w:w="356" w:type="pct"/>
            <w:tcBorders>
              <w:top w:val="nil"/>
            </w:tcBorders>
            <w:shd w:val="clear" w:color="auto" w:fill="FFFFFF" w:themeFill="background1"/>
            <w:noWrap/>
            <w:vAlign w:val="bottom"/>
            <w:hideMark/>
          </w:tcPr>
          <w:p w14:paraId="5DDACC3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148,8</w:t>
            </w:r>
          </w:p>
        </w:tc>
        <w:tc>
          <w:tcPr>
            <w:tcW w:w="360" w:type="pct"/>
            <w:tcBorders>
              <w:top w:val="nil"/>
            </w:tcBorders>
            <w:shd w:val="clear" w:color="auto" w:fill="FFFFFF" w:themeFill="background1"/>
            <w:noWrap/>
            <w:vAlign w:val="bottom"/>
            <w:hideMark/>
          </w:tcPr>
          <w:p w14:paraId="2DD96DF7"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154,5</w:t>
            </w:r>
          </w:p>
        </w:tc>
        <w:tc>
          <w:tcPr>
            <w:tcW w:w="348" w:type="pct"/>
            <w:tcBorders>
              <w:top w:val="nil"/>
            </w:tcBorders>
            <w:shd w:val="clear" w:color="auto" w:fill="FFFFFF" w:themeFill="background1"/>
            <w:noWrap/>
            <w:vAlign w:val="bottom"/>
            <w:hideMark/>
          </w:tcPr>
          <w:p w14:paraId="095C6C9C"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151,2</w:t>
            </w:r>
          </w:p>
        </w:tc>
        <w:tc>
          <w:tcPr>
            <w:tcW w:w="372" w:type="pct"/>
            <w:tcBorders>
              <w:top w:val="nil"/>
            </w:tcBorders>
            <w:shd w:val="clear" w:color="auto" w:fill="FFFFFF" w:themeFill="background1"/>
            <w:noWrap/>
            <w:vAlign w:val="bottom"/>
            <w:hideMark/>
          </w:tcPr>
          <w:p w14:paraId="39BF41E9"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3,3</w:t>
            </w:r>
          </w:p>
        </w:tc>
        <w:tc>
          <w:tcPr>
            <w:tcW w:w="353" w:type="pct"/>
            <w:tcBorders>
              <w:top w:val="nil"/>
            </w:tcBorders>
            <w:shd w:val="clear" w:color="auto" w:fill="FFFFFF" w:themeFill="background1"/>
            <w:noWrap/>
            <w:vAlign w:val="bottom"/>
            <w:hideMark/>
          </w:tcPr>
          <w:p w14:paraId="79506C0C"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50,0</w:t>
            </w:r>
          </w:p>
        </w:tc>
        <w:tc>
          <w:tcPr>
            <w:tcW w:w="372" w:type="pct"/>
            <w:tcBorders>
              <w:top w:val="nil"/>
            </w:tcBorders>
            <w:shd w:val="clear" w:color="auto" w:fill="FFFFFF" w:themeFill="background1"/>
            <w:noWrap/>
            <w:vAlign w:val="bottom"/>
            <w:hideMark/>
          </w:tcPr>
          <w:p w14:paraId="1D4DF17C"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207,8</w:t>
            </w:r>
          </w:p>
        </w:tc>
        <w:tc>
          <w:tcPr>
            <w:tcW w:w="372" w:type="pct"/>
            <w:tcBorders>
              <w:top w:val="nil"/>
            </w:tcBorders>
            <w:shd w:val="clear" w:color="auto" w:fill="FFFFFF" w:themeFill="background1"/>
            <w:noWrap/>
            <w:vAlign w:val="bottom"/>
            <w:hideMark/>
          </w:tcPr>
          <w:p w14:paraId="5235F5E4"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2,6</w:t>
            </w:r>
          </w:p>
        </w:tc>
        <w:tc>
          <w:tcPr>
            <w:tcW w:w="372" w:type="pct"/>
            <w:tcBorders>
              <w:top w:val="nil"/>
            </w:tcBorders>
            <w:shd w:val="clear" w:color="auto" w:fill="FFFFFF" w:themeFill="background1"/>
            <w:noWrap/>
            <w:vAlign w:val="bottom"/>
            <w:hideMark/>
          </w:tcPr>
          <w:p w14:paraId="7B270F7B"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199,8</w:t>
            </w:r>
          </w:p>
        </w:tc>
        <w:tc>
          <w:tcPr>
            <w:tcW w:w="372" w:type="pct"/>
            <w:tcBorders>
              <w:top w:val="nil"/>
            </w:tcBorders>
            <w:shd w:val="clear" w:color="auto" w:fill="FFFFFF" w:themeFill="background1"/>
            <w:noWrap/>
            <w:vAlign w:val="bottom"/>
            <w:hideMark/>
          </w:tcPr>
          <w:p w14:paraId="2489D1DA"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1,1</w:t>
            </w:r>
          </w:p>
        </w:tc>
        <w:tc>
          <w:tcPr>
            <w:tcW w:w="372" w:type="pct"/>
            <w:tcBorders>
              <w:top w:val="nil"/>
            </w:tcBorders>
            <w:shd w:val="clear" w:color="auto" w:fill="FFFFFF" w:themeFill="background1"/>
            <w:noWrap/>
            <w:vAlign w:val="bottom"/>
            <w:hideMark/>
          </w:tcPr>
          <w:p w14:paraId="56446EE3"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4,4</w:t>
            </w:r>
          </w:p>
        </w:tc>
      </w:tr>
      <w:tr w:rsidR="00BF6FDD" w:rsidRPr="00DE058F" w14:paraId="0A628D9C"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43EC5B88"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 xml:space="preserve">        Отплата камата</w:t>
            </w:r>
          </w:p>
        </w:tc>
        <w:tc>
          <w:tcPr>
            <w:tcW w:w="356" w:type="pct"/>
            <w:tcBorders>
              <w:top w:val="nil"/>
            </w:tcBorders>
            <w:shd w:val="clear" w:color="auto" w:fill="FFFFFF" w:themeFill="background1"/>
            <w:noWrap/>
            <w:vAlign w:val="bottom"/>
            <w:hideMark/>
          </w:tcPr>
          <w:p w14:paraId="5D805542"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120,6</w:t>
            </w:r>
          </w:p>
        </w:tc>
        <w:tc>
          <w:tcPr>
            <w:tcW w:w="356" w:type="pct"/>
            <w:tcBorders>
              <w:top w:val="nil"/>
            </w:tcBorders>
            <w:shd w:val="clear" w:color="auto" w:fill="FFFFFF" w:themeFill="background1"/>
            <w:noWrap/>
            <w:vAlign w:val="bottom"/>
            <w:hideMark/>
          </w:tcPr>
          <w:p w14:paraId="1F53B18D"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118,2</w:t>
            </w:r>
          </w:p>
        </w:tc>
        <w:tc>
          <w:tcPr>
            <w:tcW w:w="360" w:type="pct"/>
            <w:tcBorders>
              <w:top w:val="nil"/>
            </w:tcBorders>
            <w:shd w:val="clear" w:color="auto" w:fill="FFFFFF" w:themeFill="background1"/>
            <w:noWrap/>
            <w:vAlign w:val="bottom"/>
            <w:hideMark/>
          </w:tcPr>
          <w:p w14:paraId="68CF2944"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2,3</w:t>
            </w:r>
          </w:p>
        </w:tc>
        <w:tc>
          <w:tcPr>
            <w:tcW w:w="348" w:type="pct"/>
            <w:tcBorders>
              <w:top w:val="nil"/>
            </w:tcBorders>
            <w:shd w:val="clear" w:color="auto" w:fill="FFFFFF" w:themeFill="background1"/>
            <w:noWrap/>
            <w:vAlign w:val="bottom"/>
            <w:hideMark/>
          </w:tcPr>
          <w:p w14:paraId="6E6EF4A2"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2,0</w:t>
            </w:r>
          </w:p>
        </w:tc>
        <w:tc>
          <w:tcPr>
            <w:tcW w:w="372" w:type="pct"/>
            <w:tcBorders>
              <w:top w:val="nil"/>
            </w:tcBorders>
            <w:shd w:val="clear" w:color="auto" w:fill="FFFFFF" w:themeFill="background1"/>
            <w:noWrap/>
            <w:vAlign w:val="bottom"/>
            <w:hideMark/>
          </w:tcPr>
          <w:p w14:paraId="31ABF060"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0,3</w:t>
            </w:r>
          </w:p>
        </w:tc>
        <w:tc>
          <w:tcPr>
            <w:tcW w:w="353" w:type="pct"/>
            <w:tcBorders>
              <w:top w:val="nil"/>
            </w:tcBorders>
            <w:shd w:val="clear" w:color="auto" w:fill="FFFFFF" w:themeFill="background1"/>
            <w:noWrap/>
            <w:vAlign w:val="bottom"/>
            <w:hideMark/>
          </w:tcPr>
          <w:p w14:paraId="2C3160BA"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0,1</w:t>
            </w:r>
          </w:p>
        </w:tc>
        <w:tc>
          <w:tcPr>
            <w:tcW w:w="372" w:type="pct"/>
            <w:tcBorders>
              <w:top w:val="nil"/>
            </w:tcBorders>
            <w:shd w:val="clear" w:color="auto" w:fill="FFFFFF" w:themeFill="background1"/>
            <w:noWrap/>
            <w:vAlign w:val="bottom"/>
          </w:tcPr>
          <w:p w14:paraId="7D588ED7"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vAlign w:val="bottom"/>
          </w:tcPr>
          <w:p w14:paraId="496CD50D"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6F3632CE"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0D47F5EF"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1CB29749"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r>
      <w:tr w:rsidR="00BF6FDD" w:rsidRPr="00DE058F" w14:paraId="10A01332"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01DF5518"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 xml:space="preserve">        Субвенције</w:t>
            </w:r>
          </w:p>
        </w:tc>
        <w:tc>
          <w:tcPr>
            <w:tcW w:w="356" w:type="pct"/>
            <w:tcBorders>
              <w:top w:val="nil"/>
            </w:tcBorders>
            <w:shd w:val="clear" w:color="auto" w:fill="FFFFFF" w:themeFill="background1"/>
            <w:noWrap/>
            <w:vAlign w:val="bottom"/>
            <w:hideMark/>
          </w:tcPr>
          <w:p w14:paraId="6FD02EC4"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155,6</w:t>
            </w:r>
          </w:p>
        </w:tc>
        <w:tc>
          <w:tcPr>
            <w:tcW w:w="356" w:type="pct"/>
            <w:tcBorders>
              <w:top w:val="nil"/>
            </w:tcBorders>
            <w:shd w:val="clear" w:color="auto" w:fill="FFFFFF" w:themeFill="background1"/>
            <w:noWrap/>
            <w:vAlign w:val="bottom"/>
            <w:hideMark/>
          </w:tcPr>
          <w:p w14:paraId="209F0620"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111,6</w:t>
            </w:r>
          </w:p>
        </w:tc>
        <w:tc>
          <w:tcPr>
            <w:tcW w:w="360" w:type="pct"/>
            <w:tcBorders>
              <w:top w:val="nil"/>
            </w:tcBorders>
            <w:shd w:val="clear" w:color="auto" w:fill="FFFFFF" w:themeFill="background1"/>
            <w:noWrap/>
            <w:vAlign w:val="bottom"/>
            <w:hideMark/>
          </w:tcPr>
          <w:p w14:paraId="0FBAB9D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44,0</w:t>
            </w:r>
          </w:p>
        </w:tc>
        <w:tc>
          <w:tcPr>
            <w:tcW w:w="348" w:type="pct"/>
            <w:tcBorders>
              <w:top w:val="nil"/>
            </w:tcBorders>
            <w:shd w:val="clear" w:color="auto" w:fill="FFFFFF" w:themeFill="background1"/>
            <w:noWrap/>
            <w:vAlign w:val="bottom"/>
            <w:hideMark/>
          </w:tcPr>
          <w:p w14:paraId="09783A23"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32,0</w:t>
            </w:r>
          </w:p>
        </w:tc>
        <w:tc>
          <w:tcPr>
            <w:tcW w:w="372" w:type="pct"/>
            <w:tcBorders>
              <w:top w:val="nil"/>
            </w:tcBorders>
            <w:shd w:val="clear" w:color="auto" w:fill="FFFFFF" w:themeFill="background1"/>
            <w:noWrap/>
            <w:vAlign w:val="bottom"/>
            <w:hideMark/>
          </w:tcPr>
          <w:p w14:paraId="645AF9B3"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12,1</w:t>
            </w:r>
          </w:p>
        </w:tc>
        <w:tc>
          <w:tcPr>
            <w:tcW w:w="353" w:type="pct"/>
            <w:tcBorders>
              <w:top w:val="nil"/>
            </w:tcBorders>
            <w:shd w:val="clear" w:color="auto" w:fill="FFFFFF" w:themeFill="background1"/>
            <w:noWrap/>
            <w:vAlign w:val="bottom"/>
          </w:tcPr>
          <w:p w14:paraId="112A2F95"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1A701BA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vAlign w:val="bottom"/>
          </w:tcPr>
          <w:p w14:paraId="59E1BC2B"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43FCAA0B"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4F143B77"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563A2B68"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r>
      <w:tr w:rsidR="00BF6FDD" w:rsidRPr="00DE058F" w14:paraId="33634384"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680D138B"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 xml:space="preserve">        Социјална помоћ и трансфери</w:t>
            </w:r>
          </w:p>
        </w:tc>
        <w:tc>
          <w:tcPr>
            <w:tcW w:w="356" w:type="pct"/>
            <w:tcBorders>
              <w:top w:val="nil"/>
            </w:tcBorders>
            <w:shd w:val="clear" w:color="auto" w:fill="FFFFFF" w:themeFill="background1"/>
            <w:noWrap/>
            <w:vAlign w:val="bottom"/>
            <w:hideMark/>
          </w:tcPr>
          <w:p w14:paraId="58B3A60B"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954,4</w:t>
            </w:r>
          </w:p>
        </w:tc>
        <w:tc>
          <w:tcPr>
            <w:tcW w:w="356" w:type="pct"/>
            <w:tcBorders>
              <w:top w:val="nil"/>
            </w:tcBorders>
            <w:shd w:val="clear" w:color="auto" w:fill="FFFFFF" w:themeFill="background1"/>
            <w:noWrap/>
            <w:vAlign w:val="bottom"/>
            <w:hideMark/>
          </w:tcPr>
          <w:p w14:paraId="7EF5D912"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139,8</w:t>
            </w:r>
          </w:p>
        </w:tc>
        <w:tc>
          <w:tcPr>
            <w:tcW w:w="360" w:type="pct"/>
            <w:tcBorders>
              <w:top w:val="nil"/>
            </w:tcBorders>
            <w:shd w:val="clear" w:color="auto" w:fill="FFFFFF" w:themeFill="background1"/>
            <w:noWrap/>
            <w:vAlign w:val="bottom"/>
            <w:hideMark/>
          </w:tcPr>
          <w:p w14:paraId="38958904"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50,2</w:t>
            </w:r>
          </w:p>
        </w:tc>
        <w:tc>
          <w:tcPr>
            <w:tcW w:w="348" w:type="pct"/>
            <w:tcBorders>
              <w:top w:val="nil"/>
            </w:tcBorders>
            <w:shd w:val="clear" w:color="auto" w:fill="FFFFFF" w:themeFill="background1"/>
            <w:noWrap/>
            <w:vAlign w:val="bottom"/>
            <w:hideMark/>
          </w:tcPr>
          <w:p w14:paraId="5BB6337F"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50,0</w:t>
            </w:r>
          </w:p>
        </w:tc>
        <w:tc>
          <w:tcPr>
            <w:tcW w:w="372" w:type="pct"/>
            <w:tcBorders>
              <w:top w:val="nil"/>
            </w:tcBorders>
            <w:shd w:val="clear" w:color="auto" w:fill="FFFFFF" w:themeFill="background1"/>
            <w:noWrap/>
            <w:vAlign w:val="bottom"/>
            <w:hideMark/>
          </w:tcPr>
          <w:p w14:paraId="77E26F31"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0,2</w:t>
            </w:r>
          </w:p>
        </w:tc>
        <w:tc>
          <w:tcPr>
            <w:tcW w:w="353" w:type="pct"/>
            <w:tcBorders>
              <w:top w:val="nil"/>
            </w:tcBorders>
            <w:shd w:val="clear" w:color="auto" w:fill="FFFFFF" w:themeFill="background1"/>
            <w:noWrap/>
            <w:vAlign w:val="bottom"/>
          </w:tcPr>
          <w:p w14:paraId="44D0A5C2"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hideMark/>
          </w:tcPr>
          <w:p w14:paraId="1373E02A"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764,4</w:t>
            </w:r>
          </w:p>
        </w:tc>
        <w:tc>
          <w:tcPr>
            <w:tcW w:w="372" w:type="pct"/>
            <w:tcBorders>
              <w:top w:val="nil"/>
            </w:tcBorders>
            <w:shd w:val="clear" w:color="auto" w:fill="FFFFFF" w:themeFill="background1"/>
            <w:noWrap/>
            <w:vAlign w:val="bottom"/>
            <w:hideMark/>
          </w:tcPr>
          <w:p w14:paraId="5F6B792F"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726,6</w:t>
            </w:r>
          </w:p>
        </w:tc>
        <w:tc>
          <w:tcPr>
            <w:tcW w:w="372" w:type="pct"/>
            <w:tcBorders>
              <w:top w:val="nil"/>
            </w:tcBorders>
            <w:shd w:val="clear" w:color="auto" w:fill="FFFFFF" w:themeFill="background1"/>
            <w:noWrap/>
            <w:vAlign w:val="bottom"/>
            <w:hideMark/>
          </w:tcPr>
          <w:p w14:paraId="3914D651"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17,0</w:t>
            </w:r>
          </w:p>
        </w:tc>
        <w:tc>
          <w:tcPr>
            <w:tcW w:w="372" w:type="pct"/>
            <w:tcBorders>
              <w:top w:val="nil"/>
            </w:tcBorders>
            <w:shd w:val="clear" w:color="auto" w:fill="FFFFFF" w:themeFill="background1"/>
            <w:noWrap/>
            <w:vAlign w:val="bottom"/>
            <w:hideMark/>
          </w:tcPr>
          <w:p w14:paraId="6F6EBDE2"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18,3</w:t>
            </w:r>
          </w:p>
        </w:tc>
        <w:tc>
          <w:tcPr>
            <w:tcW w:w="372" w:type="pct"/>
            <w:tcBorders>
              <w:top w:val="nil"/>
            </w:tcBorders>
            <w:shd w:val="clear" w:color="auto" w:fill="FFFFFF" w:themeFill="background1"/>
            <w:noWrap/>
            <w:vAlign w:val="bottom"/>
            <w:hideMark/>
          </w:tcPr>
          <w:p w14:paraId="06778CDA"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2,5</w:t>
            </w:r>
          </w:p>
        </w:tc>
      </w:tr>
      <w:tr w:rsidR="00BF6FDD" w:rsidRPr="00DE058F" w14:paraId="72536638"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0221DAE6"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i/>
                <w:iCs/>
                <w:color w:val="002060"/>
                <w:sz w:val="14"/>
                <w:szCs w:val="14"/>
                <w:lang w:val="sr-Cyrl-CS"/>
              </w:rPr>
              <w:t xml:space="preserve">             </w:t>
            </w:r>
            <w:r w:rsidRPr="00DE058F">
              <w:rPr>
                <w:rFonts w:cstheme="minorHAnsi"/>
                <w:b w:val="0"/>
                <w:iCs/>
                <w:color w:val="002060"/>
                <w:sz w:val="14"/>
                <w:szCs w:val="14"/>
                <w:lang w:val="sr-Cyrl-CS"/>
              </w:rPr>
              <w:t>oд чега пензије</w:t>
            </w:r>
          </w:p>
        </w:tc>
        <w:tc>
          <w:tcPr>
            <w:tcW w:w="356" w:type="pct"/>
            <w:tcBorders>
              <w:top w:val="nil"/>
            </w:tcBorders>
            <w:shd w:val="clear" w:color="auto" w:fill="FFFFFF" w:themeFill="background1"/>
            <w:noWrap/>
            <w:vAlign w:val="bottom"/>
            <w:hideMark/>
          </w:tcPr>
          <w:p w14:paraId="67D76904"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694,6</w:t>
            </w:r>
          </w:p>
        </w:tc>
        <w:tc>
          <w:tcPr>
            <w:tcW w:w="356" w:type="pct"/>
            <w:tcBorders>
              <w:top w:val="nil"/>
            </w:tcBorders>
            <w:shd w:val="clear" w:color="auto" w:fill="FFFFFF" w:themeFill="background1"/>
            <w:noWrap/>
            <w:vAlign w:val="bottom"/>
          </w:tcPr>
          <w:p w14:paraId="4DE4B8E3"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360" w:type="pct"/>
            <w:tcBorders>
              <w:top w:val="nil"/>
            </w:tcBorders>
            <w:shd w:val="clear" w:color="auto" w:fill="FFFFFF" w:themeFill="background1"/>
            <w:noWrap/>
            <w:vAlign w:val="bottom"/>
          </w:tcPr>
          <w:p w14:paraId="5A95C5AA"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vAlign w:val="bottom"/>
            <w:hideMark/>
          </w:tcPr>
          <w:p w14:paraId="3ECCE57F"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558D11B3"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1FECF4B1"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6073FD05"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694,6</w:t>
            </w:r>
          </w:p>
        </w:tc>
        <w:tc>
          <w:tcPr>
            <w:tcW w:w="372" w:type="pct"/>
            <w:tcBorders>
              <w:top w:val="nil"/>
            </w:tcBorders>
            <w:shd w:val="clear" w:color="auto" w:fill="FFFFFF" w:themeFill="background1"/>
            <w:noWrap/>
            <w:vAlign w:val="bottom"/>
            <w:hideMark/>
          </w:tcPr>
          <w:p w14:paraId="5CBE9709"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694,6</w:t>
            </w:r>
          </w:p>
        </w:tc>
        <w:tc>
          <w:tcPr>
            <w:tcW w:w="372" w:type="pct"/>
            <w:tcBorders>
              <w:top w:val="nil"/>
            </w:tcBorders>
            <w:shd w:val="clear" w:color="auto" w:fill="FFFFFF" w:themeFill="background1"/>
            <w:noWrap/>
            <w:vAlign w:val="bottom"/>
          </w:tcPr>
          <w:p w14:paraId="16B5158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3C07AD0B"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0D86400A"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r>
      <w:tr w:rsidR="00BF6FDD" w:rsidRPr="00DE058F" w14:paraId="1D55D748"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04856117"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 xml:space="preserve">        Остали текући расходи</w:t>
            </w:r>
          </w:p>
        </w:tc>
        <w:tc>
          <w:tcPr>
            <w:tcW w:w="356" w:type="pct"/>
            <w:tcBorders>
              <w:top w:val="nil"/>
            </w:tcBorders>
            <w:shd w:val="clear" w:color="auto" w:fill="FFFFFF" w:themeFill="background1"/>
            <w:noWrap/>
            <w:vAlign w:val="bottom"/>
            <w:hideMark/>
          </w:tcPr>
          <w:p w14:paraId="0BEA74D1"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113,2</w:t>
            </w:r>
          </w:p>
        </w:tc>
        <w:tc>
          <w:tcPr>
            <w:tcW w:w="356" w:type="pct"/>
            <w:tcBorders>
              <w:top w:val="nil"/>
            </w:tcBorders>
            <w:shd w:val="clear" w:color="auto" w:fill="FFFFFF" w:themeFill="background1"/>
            <w:noWrap/>
            <w:vAlign w:val="bottom"/>
            <w:hideMark/>
          </w:tcPr>
          <w:p w14:paraId="3C903803"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71,5</w:t>
            </w:r>
          </w:p>
        </w:tc>
        <w:tc>
          <w:tcPr>
            <w:tcW w:w="360" w:type="pct"/>
            <w:tcBorders>
              <w:top w:val="nil"/>
            </w:tcBorders>
            <w:shd w:val="clear" w:color="auto" w:fill="FFFFFF" w:themeFill="background1"/>
            <w:noWrap/>
            <w:vAlign w:val="bottom"/>
            <w:hideMark/>
          </w:tcPr>
          <w:p w14:paraId="03C1ACE0"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34,6</w:t>
            </w:r>
          </w:p>
        </w:tc>
        <w:tc>
          <w:tcPr>
            <w:tcW w:w="348" w:type="pct"/>
            <w:tcBorders>
              <w:top w:val="nil"/>
            </w:tcBorders>
            <w:shd w:val="clear" w:color="auto" w:fill="FFFFFF" w:themeFill="background1"/>
            <w:noWrap/>
            <w:vAlign w:val="bottom"/>
            <w:hideMark/>
          </w:tcPr>
          <w:p w14:paraId="3811C26D"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24,8</w:t>
            </w:r>
          </w:p>
        </w:tc>
        <w:tc>
          <w:tcPr>
            <w:tcW w:w="372" w:type="pct"/>
            <w:tcBorders>
              <w:top w:val="nil"/>
            </w:tcBorders>
            <w:shd w:val="clear" w:color="auto" w:fill="FFFFFF" w:themeFill="background1"/>
            <w:noWrap/>
            <w:vAlign w:val="bottom"/>
            <w:hideMark/>
          </w:tcPr>
          <w:p w14:paraId="1C5C9A27"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9,9</w:t>
            </w:r>
          </w:p>
        </w:tc>
        <w:tc>
          <w:tcPr>
            <w:tcW w:w="353" w:type="pct"/>
            <w:tcBorders>
              <w:top w:val="nil"/>
            </w:tcBorders>
            <w:shd w:val="clear" w:color="auto" w:fill="FFFFFF" w:themeFill="background1"/>
            <w:noWrap/>
            <w:vAlign w:val="bottom"/>
            <w:hideMark/>
          </w:tcPr>
          <w:p w14:paraId="279299BE"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3,4</w:t>
            </w:r>
          </w:p>
        </w:tc>
        <w:tc>
          <w:tcPr>
            <w:tcW w:w="372" w:type="pct"/>
            <w:tcBorders>
              <w:top w:val="nil"/>
            </w:tcBorders>
            <w:shd w:val="clear" w:color="auto" w:fill="FFFFFF" w:themeFill="background1"/>
            <w:noWrap/>
            <w:vAlign w:val="bottom"/>
            <w:hideMark/>
          </w:tcPr>
          <w:p w14:paraId="3E20E41E"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3,7</w:t>
            </w:r>
          </w:p>
        </w:tc>
        <w:tc>
          <w:tcPr>
            <w:tcW w:w="372" w:type="pct"/>
            <w:tcBorders>
              <w:top w:val="nil"/>
            </w:tcBorders>
            <w:shd w:val="clear" w:color="auto" w:fill="FFFFFF" w:themeFill="background1"/>
            <w:noWrap/>
            <w:vAlign w:val="bottom"/>
            <w:hideMark/>
          </w:tcPr>
          <w:p w14:paraId="0EDC216D"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1,1</w:t>
            </w:r>
          </w:p>
        </w:tc>
        <w:tc>
          <w:tcPr>
            <w:tcW w:w="372" w:type="pct"/>
            <w:tcBorders>
              <w:top w:val="nil"/>
            </w:tcBorders>
            <w:shd w:val="clear" w:color="auto" w:fill="FFFFFF" w:themeFill="background1"/>
            <w:noWrap/>
            <w:vAlign w:val="bottom"/>
            <w:hideMark/>
          </w:tcPr>
          <w:p w14:paraId="2DFB13DD"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2,0</w:t>
            </w:r>
          </w:p>
        </w:tc>
        <w:tc>
          <w:tcPr>
            <w:tcW w:w="372" w:type="pct"/>
            <w:tcBorders>
              <w:top w:val="nil"/>
            </w:tcBorders>
            <w:shd w:val="clear" w:color="auto" w:fill="FFFFFF" w:themeFill="background1"/>
            <w:noWrap/>
            <w:vAlign w:val="bottom"/>
            <w:hideMark/>
          </w:tcPr>
          <w:p w14:paraId="1435C0C8"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0,5</w:t>
            </w:r>
          </w:p>
        </w:tc>
        <w:tc>
          <w:tcPr>
            <w:tcW w:w="372" w:type="pct"/>
            <w:tcBorders>
              <w:top w:val="nil"/>
            </w:tcBorders>
            <w:shd w:val="clear" w:color="auto" w:fill="FFFFFF" w:themeFill="background1"/>
            <w:noWrap/>
            <w:vAlign w:val="bottom"/>
            <w:hideMark/>
          </w:tcPr>
          <w:p w14:paraId="6D3174AC"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0,1</w:t>
            </w:r>
          </w:p>
        </w:tc>
      </w:tr>
      <w:tr w:rsidR="00BF6FDD" w:rsidRPr="00DE058F" w14:paraId="0E7C0BEC"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0130B51C"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 xml:space="preserve">     Капитални расходи</w:t>
            </w:r>
          </w:p>
        </w:tc>
        <w:tc>
          <w:tcPr>
            <w:tcW w:w="356" w:type="pct"/>
            <w:tcBorders>
              <w:top w:val="nil"/>
            </w:tcBorders>
            <w:shd w:val="clear" w:color="auto" w:fill="FFFFFF" w:themeFill="background1"/>
            <w:noWrap/>
            <w:vAlign w:val="bottom"/>
            <w:hideMark/>
          </w:tcPr>
          <w:p w14:paraId="44A09F61"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517,5</w:t>
            </w:r>
          </w:p>
        </w:tc>
        <w:tc>
          <w:tcPr>
            <w:tcW w:w="356" w:type="pct"/>
            <w:tcBorders>
              <w:top w:val="nil"/>
            </w:tcBorders>
            <w:shd w:val="clear" w:color="auto" w:fill="FFFFFF" w:themeFill="background1"/>
            <w:noWrap/>
            <w:vAlign w:val="bottom"/>
            <w:hideMark/>
          </w:tcPr>
          <w:p w14:paraId="610F2C85"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422,1</w:t>
            </w:r>
          </w:p>
        </w:tc>
        <w:tc>
          <w:tcPr>
            <w:tcW w:w="360" w:type="pct"/>
            <w:tcBorders>
              <w:top w:val="nil"/>
            </w:tcBorders>
            <w:shd w:val="clear" w:color="auto" w:fill="FFFFFF" w:themeFill="background1"/>
            <w:noWrap/>
            <w:vAlign w:val="bottom"/>
            <w:hideMark/>
          </w:tcPr>
          <w:p w14:paraId="1E2BDF4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74,7</w:t>
            </w:r>
          </w:p>
        </w:tc>
        <w:tc>
          <w:tcPr>
            <w:tcW w:w="348" w:type="pct"/>
            <w:tcBorders>
              <w:top w:val="nil"/>
            </w:tcBorders>
            <w:shd w:val="clear" w:color="auto" w:fill="FFFFFF" w:themeFill="background1"/>
            <w:noWrap/>
            <w:vAlign w:val="bottom"/>
            <w:hideMark/>
          </w:tcPr>
          <w:p w14:paraId="14219564"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73,4</w:t>
            </w:r>
          </w:p>
        </w:tc>
        <w:tc>
          <w:tcPr>
            <w:tcW w:w="372" w:type="pct"/>
            <w:tcBorders>
              <w:top w:val="nil"/>
            </w:tcBorders>
            <w:shd w:val="clear" w:color="auto" w:fill="FFFFFF" w:themeFill="background1"/>
            <w:noWrap/>
            <w:vAlign w:val="bottom"/>
            <w:hideMark/>
          </w:tcPr>
          <w:p w14:paraId="676CD4B3"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1,3</w:t>
            </w:r>
          </w:p>
        </w:tc>
        <w:tc>
          <w:tcPr>
            <w:tcW w:w="353" w:type="pct"/>
            <w:tcBorders>
              <w:top w:val="nil"/>
            </w:tcBorders>
            <w:shd w:val="clear" w:color="auto" w:fill="FFFFFF" w:themeFill="background1"/>
            <w:noWrap/>
            <w:vAlign w:val="bottom"/>
            <w:hideMark/>
          </w:tcPr>
          <w:p w14:paraId="5528B9C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17,4</w:t>
            </w:r>
          </w:p>
        </w:tc>
        <w:tc>
          <w:tcPr>
            <w:tcW w:w="372" w:type="pct"/>
            <w:tcBorders>
              <w:top w:val="nil"/>
            </w:tcBorders>
            <w:shd w:val="clear" w:color="auto" w:fill="FFFFFF" w:themeFill="background1"/>
            <w:noWrap/>
            <w:vAlign w:val="bottom"/>
            <w:hideMark/>
          </w:tcPr>
          <w:p w14:paraId="166C16EF"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3,2</w:t>
            </w:r>
          </w:p>
        </w:tc>
        <w:tc>
          <w:tcPr>
            <w:tcW w:w="372" w:type="pct"/>
            <w:tcBorders>
              <w:top w:val="nil"/>
            </w:tcBorders>
            <w:shd w:val="clear" w:color="auto" w:fill="FFFFFF" w:themeFill="background1"/>
            <w:noWrap/>
            <w:vAlign w:val="bottom"/>
            <w:hideMark/>
          </w:tcPr>
          <w:p w14:paraId="4BB88A2B"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0,7</w:t>
            </w:r>
          </w:p>
        </w:tc>
        <w:tc>
          <w:tcPr>
            <w:tcW w:w="372" w:type="pct"/>
            <w:tcBorders>
              <w:top w:val="nil"/>
            </w:tcBorders>
            <w:shd w:val="clear" w:color="auto" w:fill="FFFFFF" w:themeFill="background1"/>
            <w:noWrap/>
            <w:vAlign w:val="bottom"/>
            <w:hideMark/>
          </w:tcPr>
          <w:p w14:paraId="01996812"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2,0</w:t>
            </w:r>
          </w:p>
        </w:tc>
        <w:tc>
          <w:tcPr>
            <w:tcW w:w="372" w:type="pct"/>
            <w:tcBorders>
              <w:top w:val="nil"/>
            </w:tcBorders>
            <w:shd w:val="clear" w:color="auto" w:fill="FFFFFF" w:themeFill="background1"/>
            <w:noWrap/>
            <w:vAlign w:val="bottom"/>
            <w:hideMark/>
          </w:tcPr>
          <w:p w14:paraId="753A22D9"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0,4</w:t>
            </w:r>
          </w:p>
        </w:tc>
        <w:tc>
          <w:tcPr>
            <w:tcW w:w="372" w:type="pct"/>
            <w:tcBorders>
              <w:top w:val="nil"/>
            </w:tcBorders>
            <w:shd w:val="clear" w:color="auto" w:fill="FFFFFF" w:themeFill="background1"/>
            <w:noWrap/>
            <w:vAlign w:val="bottom"/>
            <w:hideMark/>
          </w:tcPr>
          <w:p w14:paraId="5257D465" w14:textId="77777777" w:rsidR="00BF6FDD" w:rsidRPr="00DE058F" w:rsidRDefault="00BF6FDD" w:rsidP="00C91F83">
            <w:pPr>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0,1</w:t>
            </w:r>
          </w:p>
        </w:tc>
      </w:tr>
      <w:tr w:rsidR="00BF6FDD" w:rsidRPr="00DE058F" w14:paraId="7B741D42"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47E21F6C"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 xml:space="preserve">     Нето буџетске позајмице</w:t>
            </w:r>
          </w:p>
        </w:tc>
        <w:tc>
          <w:tcPr>
            <w:tcW w:w="356" w:type="pct"/>
            <w:tcBorders>
              <w:top w:val="nil"/>
            </w:tcBorders>
            <w:shd w:val="clear" w:color="auto" w:fill="FFFFFF" w:themeFill="background1"/>
            <w:noWrap/>
            <w:vAlign w:val="bottom"/>
            <w:hideMark/>
          </w:tcPr>
          <w:p w14:paraId="48DC3F09"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10,9</w:t>
            </w:r>
          </w:p>
        </w:tc>
        <w:tc>
          <w:tcPr>
            <w:tcW w:w="356" w:type="pct"/>
            <w:tcBorders>
              <w:top w:val="nil"/>
            </w:tcBorders>
            <w:shd w:val="clear" w:color="auto" w:fill="FFFFFF" w:themeFill="background1"/>
            <w:noWrap/>
            <w:vAlign w:val="bottom"/>
            <w:hideMark/>
          </w:tcPr>
          <w:p w14:paraId="446B1D14"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10,7</w:t>
            </w:r>
          </w:p>
        </w:tc>
        <w:tc>
          <w:tcPr>
            <w:tcW w:w="360" w:type="pct"/>
            <w:tcBorders>
              <w:top w:val="nil"/>
            </w:tcBorders>
            <w:shd w:val="clear" w:color="auto" w:fill="FFFFFF" w:themeFill="background1"/>
            <w:noWrap/>
            <w:vAlign w:val="bottom"/>
            <w:hideMark/>
          </w:tcPr>
          <w:p w14:paraId="5C4755D1"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0,2</w:t>
            </w:r>
          </w:p>
        </w:tc>
        <w:tc>
          <w:tcPr>
            <w:tcW w:w="348" w:type="pct"/>
            <w:tcBorders>
              <w:top w:val="nil"/>
            </w:tcBorders>
            <w:shd w:val="clear" w:color="auto" w:fill="FFFFFF" w:themeFill="background1"/>
            <w:noWrap/>
            <w:vAlign w:val="bottom"/>
            <w:hideMark/>
          </w:tcPr>
          <w:p w14:paraId="37B40CB1"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r w:rsidRPr="00DE058F">
              <w:rPr>
                <w:color w:val="002060"/>
                <w:sz w:val="14"/>
                <w:szCs w:val="14"/>
                <w:lang w:val="sr-Cyrl-CS"/>
              </w:rPr>
              <w:t>0,2</w:t>
            </w:r>
          </w:p>
        </w:tc>
        <w:tc>
          <w:tcPr>
            <w:tcW w:w="372" w:type="pct"/>
            <w:tcBorders>
              <w:top w:val="nil"/>
            </w:tcBorders>
            <w:shd w:val="clear" w:color="auto" w:fill="FFFFFF" w:themeFill="background1"/>
            <w:noWrap/>
            <w:vAlign w:val="bottom"/>
            <w:hideMark/>
          </w:tcPr>
          <w:p w14:paraId="1157AD02"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6B94DCDF"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48EA4B3A"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vAlign w:val="bottom"/>
            <w:hideMark/>
          </w:tcPr>
          <w:p w14:paraId="5F54BF6B"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5140536C"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2BCD3120"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79E258C3" w14:textId="77777777" w:rsidR="00BF6FDD" w:rsidRPr="00DE058F" w:rsidRDefault="00BF6FDD" w:rsidP="00C91F83">
            <w:pPr>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r>
      <w:tr w:rsidR="00BF6FDD" w:rsidRPr="00DE058F" w14:paraId="327CFB5C"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309366E3"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 xml:space="preserve">    Активиране гаранције</w:t>
            </w:r>
          </w:p>
        </w:tc>
        <w:tc>
          <w:tcPr>
            <w:tcW w:w="356" w:type="pct"/>
            <w:tcBorders>
              <w:top w:val="nil"/>
            </w:tcBorders>
            <w:shd w:val="clear" w:color="auto" w:fill="FFFFFF" w:themeFill="background1"/>
            <w:noWrap/>
            <w:vAlign w:val="bottom"/>
            <w:hideMark/>
          </w:tcPr>
          <w:p w14:paraId="21DEDA53"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23,5</w:t>
            </w:r>
          </w:p>
        </w:tc>
        <w:tc>
          <w:tcPr>
            <w:tcW w:w="356" w:type="pct"/>
            <w:tcBorders>
              <w:top w:val="nil"/>
            </w:tcBorders>
            <w:shd w:val="clear" w:color="auto" w:fill="FFFFFF" w:themeFill="background1"/>
            <w:noWrap/>
            <w:vAlign w:val="bottom"/>
            <w:hideMark/>
          </w:tcPr>
          <w:p w14:paraId="7D6A5D0B"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23,5</w:t>
            </w:r>
          </w:p>
        </w:tc>
        <w:tc>
          <w:tcPr>
            <w:tcW w:w="360" w:type="pct"/>
            <w:tcBorders>
              <w:top w:val="nil"/>
            </w:tcBorders>
            <w:shd w:val="clear" w:color="auto" w:fill="FFFFFF" w:themeFill="background1"/>
            <w:noWrap/>
            <w:vAlign w:val="bottom"/>
            <w:hideMark/>
          </w:tcPr>
          <w:p w14:paraId="7480665B"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vAlign w:val="bottom"/>
            <w:hideMark/>
          </w:tcPr>
          <w:p w14:paraId="7CE3988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425F93C4"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67B49181"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153EF0C3"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2AA715B9"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66F92C7A"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002C2F19"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3A177F57"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r>
      <w:tr w:rsidR="00BF6FDD" w:rsidRPr="00DE058F" w14:paraId="5AD29106"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BFBFBF" w:themeFill="background1" w:themeFillShade="BF"/>
            <w:noWrap/>
            <w:vAlign w:val="bottom"/>
            <w:hideMark/>
          </w:tcPr>
          <w:p w14:paraId="7FC3B69C" w14:textId="77777777" w:rsidR="00BF6FDD" w:rsidRPr="00DE058F" w:rsidRDefault="00BF6FDD" w:rsidP="00C91F83">
            <w:pPr>
              <w:tabs>
                <w:tab w:val="center" w:pos="4680"/>
                <w:tab w:val="right" w:pos="9360"/>
              </w:tabs>
              <w:rPr>
                <w:rFonts w:cstheme="minorHAnsi"/>
                <w:color w:val="002060"/>
                <w:sz w:val="14"/>
                <w:szCs w:val="14"/>
                <w:lang w:val="sr-Cyrl-CS"/>
              </w:rPr>
            </w:pPr>
            <w:r w:rsidRPr="00DE058F">
              <w:rPr>
                <w:rFonts w:cstheme="minorHAnsi"/>
                <w:color w:val="002060"/>
                <w:sz w:val="14"/>
                <w:szCs w:val="14"/>
                <w:lang w:val="sr-Cyrl-CS"/>
              </w:rPr>
              <w:t>Фискални резултат искљ. трансфере</w:t>
            </w:r>
          </w:p>
        </w:tc>
        <w:tc>
          <w:tcPr>
            <w:tcW w:w="356" w:type="pct"/>
            <w:tcBorders>
              <w:top w:val="nil"/>
            </w:tcBorders>
            <w:shd w:val="clear" w:color="auto" w:fill="BFBFBF" w:themeFill="background1" w:themeFillShade="BF"/>
            <w:noWrap/>
            <w:vAlign w:val="bottom"/>
            <w:hideMark/>
          </w:tcPr>
          <w:p w14:paraId="124175BC"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-113,3</w:t>
            </w:r>
          </w:p>
        </w:tc>
        <w:tc>
          <w:tcPr>
            <w:tcW w:w="356" w:type="pct"/>
            <w:tcBorders>
              <w:top w:val="nil"/>
            </w:tcBorders>
            <w:shd w:val="clear" w:color="auto" w:fill="BFBFBF" w:themeFill="background1" w:themeFillShade="BF"/>
            <w:noWrap/>
            <w:vAlign w:val="bottom"/>
            <w:hideMark/>
          </w:tcPr>
          <w:p w14:paraId="744E78E6"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219,9</w:t>
            </w:r>
          </w:p>
        </w:tc>
        <w:tc>
          <w:tcPr>
            <w:tcW w:w="360" w:type="pct"/>
            <w:tcBorders>
              <w:top w:val="nil"/>
            </w:tcBorders>
            <w:shd w:val="clear" w:color="auto" w:fill="BFBFBF" w:themeFill="background1" w:themeFillShade="BF"/>
            <w:noWrap/>
            <w:vAlign w:val="bottom"/>
            <w:hideMark/>
          </w:tcPr>
          <w:p w14:paraId="0180F3F6"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-98,2</w:t>
            </w:r>
          </w:p>
        </w:tc>
        <w:tc>
          <w:tcPr>
            <w:tcW w:w="348" w:type="pct"/>
            <w:tcBorders>
              <w:top w:val="nil"/>
            </w:tcBorders>
            <w:shd w:val="clear" w:color="auto" w:fill="BFBFBF" w:themeFill="background1" w:themeFillShade="BF"/>
            <w:noWrap/>
            <w:vAlign w:val="bottom"/>
            <w:hideMark/>
          </w:tcPr>
          <w:p w14:paraId="4B1BE721"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-54,3</w:t>
            </w:r>
          </w:p>
        </w:tc>
        <w:tc>
          <w:tcPr>
            <w:tcW w:w="372" w:type="pct"/>
            <w:tcBorders>
              <w:top w:val="nil"/>
            </w:tcBorders>
            <w:shd w:val="clear" w:color="auto" w:fill="BFBFBF" w:themeFill="background1" w:themeFillShade="BF"/>
            <w:noWrap/>
            <w:vAlign w:val="bottom"/>
            <w:hideMark/>
          </w:tcPr>
          <w:p w14:paraId="087EB0C3"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-43,9</w:t>
            </w:r>
          </w:p>
        </w:tc>
        <w:tc>
          <w:tcPr>
            <w:tcW w:w="353" w:type="pct"/>
            <w:tcBorders>
              <w:top w:val="nil"/>
            </w:tcBorders>
            <w:shd w:val="clear" w:color="auto" w:fill="BFBFBF" w:themeFill="background1" w:themeFillShade="BF"/>
            <w:noWrap/>
            <w:vAlign w:val="bottom"/>
            <w:hideMark/>
          </w:tcPr>
          <w:p w14:paraId="7F4FEAA0"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-30,9</w:t>
            </w:r>
          </w:p>
        </w:tc>
        <w:tc>
          <w:tcPr>
            <w:tcW w:w="372" w:type="pct"/>
            <w:tcBorders>
              <w:top w:val="nil"/>
            </w:tcBorders>
            <w:shd w:val="clear" w:color="auto" w:fill="BFBFBF" w:themeFill="background1" w:themeFillShade="BF"/>
            <w:noWrap/>
            <w:vAlign w:val="bottom"/>
            <w:hideMark/>
          </w:tcPr>
          <w:p w14:paraId="37E8E866"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-204,2</w:t>
            </w:r>
          </w:p>
        </w:tc>
        <w:tc>
          <w:tcPr>
            <w:tcW w:w="372" w:type="pct"/>
            <w:tcBorders>
              <w:top w:val="nil"/>
            </w:tcBorders>
            <w:shd w:val="clear" w:color="auto" w:fill="BFBFBF" w:themeFill="background1" w:themeFillShade="BF"/>
            <w:noWrap/>
            <w:vAlign w:val="bottom"/>
            <w:hideMark/>
          </w:tcPr>
          <w:p w14:paraId="7D2856A9"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-46,2</w:t>
            </w:r>
          </w:p>
        </w:tc>
        <w:tc>
          <w:tcPr>
            <w:tcW w:w="372" w:type="pct"/>
            <w:tcBorders>
              <w:top w:val="nil"/>
            </w:tcBorders>
            <w:shd w:val="clear" w:color="auto" w:fill="BFBFBF" w:themeFill="background1" w:themeFillShade="BF"/>
            <w:noWrap/>
            <w:vAlign w:val="bottom"/>
            <w:hideMark/>
          </w:tcPr>
          <w:p w14:paraId="0F9187C9"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-154,1</w:t>
            </w:r>
          </w:p>
        </w:tc>
        <w:tc>
          <w:tcPr>
            <w:tcW w:w="372" w:type="pct"/>
            <w:tcBorders>
              <w:top w:val="nil"/>
            </w:tcBorders>
            <w:shd w:val="clear" w:color="auto" w:fill="BFBFBF" w:themeFill="background1" w:themeFillShade="BF"/>
            <w:noWrap/>
            <w:vAlign w:val="bottom"/>
            <w:hideMark/>
          </w:tcPr>
          <w:p w14:paraId="5D12DD32"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-0,6</w:t>
            </w:r>
          </w:p>
        </w:tc>
        <w:tc>
          <w:tcPr>
            <w:tcW w:w="372" w:type="pct"/>
            <w:tcBorders>
              <w:top w:val="nil"/>
            </w:tcBorders>
            <w:shd w:val="clear" w:color="auto" w:fill="BFBFBF" w:themeFill="background1" w:themeFillShade="BF"/>
            <w:noWrap/>
            <w:vAlign w:val="bottom"/>
            <w:hideMark/>
          </w:tcPr>
          <w:p w14:paraId="37BCA354"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-3,3</w:t>
            </w:r>
          </w:p>
        </w:tc>
      </w:tr>
      <w:tr w:rsidR="00BF6FDD" w:rsidRPr="00DE058F" w14:paraId="24CE1F92"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5B128645"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Трансфери од других нивоа власти</w:t>
            </w:r>
          </w:p>
        </w:tc>
        <w:tc>
          <w:tcPr>
            <w:tcW w:w="356" w:type="pct"/>
            <w:tcBorders>
              <w:top w:val="nil"/>
            </w:tcBorders>
            <w:shd w:val="clear" w:color="auto" w:fill="FFFFFF" w:themeFill="background1"/>
            <w:noWrap/>
            <w:vAlign w:val="bottom"/>
            <w:hideMark/>
          </w:tcPr>
          <w:p w14:paraId="70B5DEE7"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429,7</w:t>
            </w:r>
          </w:p>
        </w:tc>
        <w:tc>
          <w:tcPr>
            <w:tcW w:w="356" w:type="pct"/>
            <w:tcBorders>
              <w:top w:val="nil"/>
            </w:tcBorders>
            <w:shd w:val="clear" w:color="auto" w:fill="FFFFFF" w:themeFill="background1"/>
            <w:noWrap/>
            <w:vAlign w:val="bottom"/>
            <w:hideMark/>
          </w:tcPr>
          <w:p w14:paraId="0C353BF5"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7,4</w:t>
            </w:r>
          </w:p>
        </w:tc>
        <w:tc>
          <w:tcPr>
            <w:tcW w:w="360" w:type="pct"/>
            <w:tcBorders>
              <w:top w:val="nil"/>
            </w:tcBorders>
            <w:shd w:val="clear" w:color="auto" w:fill="FFFFFF" w:themeFill="background1"/>
            <w:noWrap/>
            <w:vAlign w:val="bottom"/>
            <w:hideMark/>
          </w:tcPr>
          <w:p w14:paraId="7149D92D"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105,5</w:t>
            </w:r>
          </w:p>
        </w:tc>
        <w:tc>
          <w:tcPr>
            <w:tcW w:w="348" w:type="pct"/>
            <w:tcBorders>
              <w:top w:val="nil"/>
            </w:tcBorders>
            <w:shd w:val="clear" w:color="auto" w:fill="FFFFFF" w:themeFill="background1"/>
            <w:noWrap/>
            <w:vAlign w:val="bottom"/>
            <w:hideMark/>
          </w:tcPr>
          <w:p w14:paraId="391D95E0"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61,6</w:t>
            </w:r>
          </w:p>
        </w:tc>
        <w:tc>
          <w:tcPr>
            <w:tcW w:w="372" w:type="pct"/>
            <w:tcBorders>
              <w:top w:val="nil"/>
            </w:tcBorders>
            <w:shd w:val="clear" w:color="auto" w:fill="FFFFFF" w:themeFill="background1"/>
            <w:noWrap/>
            <w:vAlign w:val="bottom"/>
            <w:hideMark/>
          </w:tcPr>
          <w:p w14:paraId="3F0B7609"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43,9</w:t>
            </w:r>
          </w:p>
        </w:tc>
        <w:tc>
          <w:tcPr>
            <w:tcW w:w="353" w:type="pct"/>
            <w:tcBorders>
              <w:top w:val="nil"/>
            </w:tcBorders>
            <w:shd w:val="clear" w:color="auto" w:fill="FFFFFF" w:themeFill="background1"/>
            <w:noWrap/>
            <w:vAlign w:val="bottom"/>
            <w:hideMark/>
          </w:tcPr>
          <w:p w14:paraId="35BC11EF"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30,9</w:t>
            </w:r>
          </w:p>
        </w:tc>
        <w:tc>
          <w:tcPr>
            <w:tcW w:w="372" w:type="pct"/>
            <w:tcBorders>
              <w:top w:val="nil"/>
            </w:tcBorders>
            <w:shd w:val="clear" w:color="auto" w:fill="FFFFFF" w:themeFill="background1"/>
            <w:noWrap/>
            <w:vAlign w:val="bottom"/>
            <w:hideMark/>
          </w:tcPr>
          <w:p w14:paraId="0B08CF6D"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286,0</w:t>
            </w:r>
          </w:p>
        </w:tc>
        <w:tc>
          <w:tcPr>
            <w:tcW w:w="372" w:type="pct"/>
            <w:tcBorders>
              <w:top w:val="nil"/>
            </w:tcBorders>
            <w:shd w:val="clear" w:color="auto" w:fill="FFFFFF" w:themeFill="background1"/>
            <w:noWrap/>
            <w:vAlign w:val="bottom"/>
            <w:hideMark/>
          </w:tcPr>
          <w:p w14:paraId="6C0A34A7"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118,5</w:t>
            </w:r>
          </w:p>
        </w:tc>
        <w:tc>
          <w:tcPr>
            <w:tcW w:w="372" w:type="pct"/>
            <w:tcBorders>
              <w:top w:val="nil"/>
            </w:tcBorders>
            <w:shd w:val="clear" w:color="auto" w:fill="FFFFFF" w:themeFill="background1"/>
            <w:noWrap/>
            <w:vAlign w:val="bottom"/>
            <w:hideMark/>
          </w:tcPr>
          <w:p w14:paraId="5E92E360"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158,2</w:t>
            </w:r>
          </w:p>
        </w:tc>
        <w:tc>
          <w:tcPr>
            <w:tcW w:w="372" w:type="pct"/>
            <w:tcBorders>
              <w:top w:val="nil"/>
            </w:tcBorders>
            <w:shd w:val="clear" w:color="auto" w:fill="FFFFFF" w:themeFill="background1"/>
            <w:noWrap/>
            <w:vAlign w:val="bottom"/>
            <w:hideMark/>
          </w:tcPr>
          <w:p w14:paraId="4429CBB1"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6,1</w:t>
            </w:r>
          </w:p>
        </w:tc>
        <w:tc>
          <w:tcPr>
            <w:tcW w:w="372" w:type="pct"/>
            <w:tcBorders>
              <w:top w:val="nil"/>
            </w:tcBorders>
            <w:shd w:val="clear" w:color="auto" w:fill="FFFFFF" w:themeFill="background1"/>
            <w:noWrap/>
            <w:vAlign w:val="bottom"/>
            <w:hideMark/>
          </w:tcPr>
          <w:p w14:paraId="12781BC5"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3,3</w:t>
            </w:r>
          </w:p>
        </w:tc>
      </w:tr>
      <w:tr w:rsidR="00BF6FDD" w:rsidRPr="00DE058F" w14:paraId="05B04DEE"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129DF710"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Буџет Републике</w:t>
            </w:r>
          </w:p>
        </w:tc>
        <w:tc>
          <w:tcPr>
            <w:tcW w:w="356" w:type="pct"/>
            <w:tcBorders>
              <w:top w:val="nil"/>
            </w:tcBorders>
            <w:shd w:val="clear" w:color="auto" w:fill="FFFFFF" w:themeFill="background1"/>
            <w:noWrap/>
            <w:vAlign w:val="bottom"/>
            <w:hideMark/>
          </w:tcPr>
          <w:p w14:paraId="511BDE2E"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347,9</w:t>
            </w:r>
          </w:p>
        </w:tc>
        <w:tc>
          <w:tcPr>
            <w:tcW w:w="356" w:type="pct"/>
            <w:tcBorders>
              <w:top w:val="nil"/>
            </w:tcBorders>
            <w:shd w:val="clear" w:color="auto" w:fill="FFFFFF" w:themeFill="background1"/>
            <w:noWrap/>
            <w:vAlign w:val="bottom"/>
            <w:hideMark/>
          </w:tcPr>
          <w:p w14:paraId="35275B7C"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7,4</w:t>
            </w:r>
          </w:p>
        </w:tc>
        <w:tc>
          <w:tcPr>
            <w:tcW w:w="360" w:type="pct"/>
            <w:tcBorders>
              <w:top w:val="nil"/>
            </w:tcBorders>
            <w:shd w:val="clear" w:color="auto" w:fill="FFFFFF" w:themeFill="background1"/>
            <w:noWrap/>
            <w:vAlign w:val="bottom"/>
            <w:hideMark/>
          </w:tcPr>
          <w:p w14:paraId="41ED768B"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105,5</w:t>
            </w:r>
          </w:p>
        </w:tc>
        <w:tc>
          <w:tcPr>
            <w:tcW w:w="348" w:type="pct"/>
            <w:tcBorders>
              <w:top w:val="nil"/>
            </w:tcBorders>
            <w:shd w:val="clear" w:color="auto" w:fill="FFFFFF" w:themeFill="background1"/>
            <w:noWrap/>
            <w:vAlign w:val="bottom"/>
            <w:hideMark/>
          </w:tcPr>
          <w:p w14:paraId="4DE98BCF"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61,6</w:t>
            </w:r>
          </w:p>
        </w:tc>
        <w:tc>
          <w:tcPr>
            <w:tcW w:w="372" w:type="pct"/>
            <w:tcBorders>
              <w:top w:val="nil"/>
            </w:tcBorders>
            <w:shd w:val="clear" w:color="auto" w:fill="FFFFFF" w:themeFill="background1"/>
            <w:noWrap/>
            <w:vAlign w:val="bottom"/>
            <w:hideMark/>
          </w:tcPr>
          <w:p w14:paraId="13A571D3"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43,9</w:t>
            </w:r>
          </w:p>
        </w:tc>
        <w:tc>
          <w:tcPr>
            <w:tcW w:w="353" w:type="pct"/>
            <w:tcBorders>
              <w:top w:val="nil"/>
            </w:tcBorders>
            <w:shd w:val="clear" w:color="auto" w:fill="FFFFFF" w:themeFill="background1"/>
            <w:noWrap/>
            <w:vAlign w:val="bottom"/>
            <w:hideMark/>
          </w:tcPr>
          <w:p w14:paraId="4D0C552A"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30,9</w:t>
            </w:r>
          </w:p>
        </w:tc>
        <w:tc>
          <w:tcPr>
            <w:tcW w:w="372" w:type="pct"/>
            <w:tcBorders>
              <w:top w:val="nil"/>
            </w:tcBorders>
            <w:shd w:val="clear" w:color="auto" w:fill="FFFFFF" w:themeFill="background1"/>
            <w:noWrap/>
            <w:vAlign w:val="bottom"/>
            <w:hideMark/>
          </w:tcPr>
          <w:p w14:paraId="6D2BF7DC"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204,2</w:t>
            </w:r>
          </w:p>
        </w:tc>
        <w:tc>
          <w:tcPr>
            <w:tcW w:w="372" w:type="pct"/>
            <w:tcBorders>
              <w:top w:val="nil"/>
            </w:tcBorders>
            <w:shd w:val="clear" w:color="auto" w:fill="FFFFFF" w:themeFill="background1"/>
            <w:noWrap/>
            <w:vAlign w:val="bottom"/>
            <w:hideMark/>
          </w:tcPr>
          <w:p w14:paraId="4AD09753"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110,4</w:t>
            </w:r>
          </w:p>
        </w:tc>
        <w:tc>
          <w:tcPr>
            <w:tcW w:w="372" w:type="pct"/>
            <w:tcBorders>
              <w:top w:val="nil"/>
            </w:tcBorders>
            <w:shd w:val="clear" w:color="auto" w:fill="FFFFFF" w:themeFill="background1"/>
            <w:noWrap/>
            <w:vAlign w:val="bottom"/>
            <w:hideMark/>
          </w:tcPr>
          <w:p w14:paraId="3F4A3447"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87,1</w:t>
            </w:r>
          </w:p>
        </w:tc>
        <w:tc>
          <w:tcPr>
            <w:tcW w:w="372" w:type="pct"/>
            <w:tcBorders>
              <w:top w:val="nil"/>
            </w:tcBorders>
            <w:shd w:val="clear" w:color="auto" w:fill="FFFFFF" w:themeFill="background1"/>
            <w:noWrap/>
            <w:vAlign w:val="bottom"/>
            <w:hideMark/>
          </w:tcPr>
          <w:p w14:paraId="1CC45B91"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6,1</w:t>
            </w:r>
          </w:p>
        </w:tc>
        <w:tc>
          <w:tcPr>
            <w:tcW w:w="372" w:type="pct"/>
            <w:tcBorders>
              <w:top w:val="nil"/>
            </w:tcBorders>
            <w:shd w:val="clear" w:color="auto" w:fill="FFFFFF" w:themeFill="background1"/>
            <w:noWrap/>
            <w:vAlign w:val="bottom"/>
            <w:hideMark/>
          </w:tcPr>
          <w:p w14:paraId="33F98000"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0,5</w:t>
            </w:r>
          </w:p>
        </w:tc>
      </w:tr>
      <w:tr w:rsidR="00BF6FDD" w:rsidRPr="00DE058F" w14:paraId="012AA65A"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57AA5357"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Градови и општине</w:t>
            </w:r>
          </w:p>
        </w:tc>
        <w:tc>
          <w:tcPr>
            <w:tcW w:w="356" w:type="pct"/>
            <w:tcBorders>
              <w:top w:val="nil"/>
            </w:tcBorders>
            <w:shd w:val="clear" w:color="auto" w:fill="FFFFFF" w:themeFill="background1"/>
            <w:noWrap/>
            <w:vAlign w:val="bottom"/>
          </w:tcPr>
          <w:p w14:paraId="3C4C0D11"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6" w:type="pct"/>
            <w:tcBorders>
              <w:top w:val="nil"/>
            </w:tcBorders>
            <w:shd w:val="clear" w:color="auto" w:fill="FFFFFF" w:themeFill="background1"/>
            <w:noWrap/>
            <w:vAlign w:val="bottom"/>
            <w:hideMark/>
          </w:tcPr>
          <w:p w14:paraId="4C9E248F"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60" w:type="pct"/>
            <w:tcBorders>
              <w:top w:val="nil"/>
            </w:tcBorders>
            <w:shd w:val="clear" w:color="auto" w:fill="FFFFFF" w:themeFill="background1"/>
            <w:noWrap/>
            <w:vAlign w:val="bottom"/>
            <w:hideMark/>
          </w:tcPr>
          <w:p w14:paraId="69ED648D"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48" w:type="pct"/>
            <w:tcBorders>
              <w:top w:val="nil"/>
            </w:tcBorders>
            <w:shd w:val="clear" w:color="auto" w:fill="FFFFFF" w:themeFill="background1"/>
            <w:noWrap/>
            <w:vAlign w:val="bottom"/>
            <w:hideMark/>
          </w:tcPr>
          <w:p w14:paraId="533776EC"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11DA25B0"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78E47E44"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tcPr>
          <w:p w14:paraId="70CCF2C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vAlign w:val="bottom"/>
            <w:hideMark/>
          </w:tcPr>
          <w:p w14:paraId="018ADB12"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4702F11E"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56E8F2DA"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41B96A2A"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r>
      <w:tr w:rsidR="00BF6FDD" w:rsidRPr="00DE058F" w14:paraId="47EAC669"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5C3C7D0C"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AП Војводина</w:t>
            </w:r>
          </w:p>
        </w:tc>
        <w:tc>
          <w:tcPr>
            <w:tcW w:w="356" w:type="pct"/>
            <w:tcBorders>
              <w:top w:val="nil"/>
            </w:tcBorders>
            <w:shd w:val="clear" w:color="auto" w:fill="FFFFFF" w:themeFill="background1"/>
            <w:noWrap/>
            <w:vAlign w:val="bottom"/>
          </w:tcPr>
          <w:p w14:paraId="1796119A"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6" w:type="pct"/>
            <w:tcBorders>
              <w:top w:val="nil"/>
            </w:tcBorders>
            <w:shd w:val="clear" w:color="auto" w:fill="FFFFFF" w:themeFill="background1"/>
            <w:noWrap/>
            <w:vAlign w:val="bottom"/>
            <w:hideMark/>
          </w:tcPr>
          <w:p w14:paraId="732DF086"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60" w:type="pct"/>
            <w:tcBorders>
              <w:top w:val="nil"/>
            </w:tcBorders>
            <w:shd w:val="clear" w:color="auto" w:fill="FFFFFF" w:themeFill="background1"/>
            <w:noWrap/>
            <w:vAlign w:val="bottom"/>
            <w:hideMark/>
          </w:tcPr>
          <w:p w14:paraId="44712BA2"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48" w:type="pct"/>
            <w:tcBorders>
              <w:top w:val="nil"/>
            </w:tcBorders>
            <w:shd w:val="clear" w:color="auto" w:fill="FFFFFF" w:themeFill="background1"/>
            <w:noWrap/>
            <w:vAlign w:val="bottom"/>
            <w:hideMark/>
          </w:tcPr>
          <w:p w14:paraId="44A3AF82"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5690D6E8"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0D916377"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tcPr>
          <w:p w14:paraId="1DA19643"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vAlign w:val="bottom"/>
            <w:hideMark/>
          </w:tcPr>
          <w:p w14:paraId="5B0E4D7F"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4EBFF413"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35036F2B"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5FCC9E89"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r>
      <w:tr w:rsidR="00BF6FDD" w:rsidRPr="00DE058F" w14:paraId="60EC6A83"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14CA7F6A"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Фонд ПИО</w:t>
            </w:r>
          </w:p>
        </w:tc>
        <w:tc>
          <w:tcPr>
            <w:tcW w:w="356" w:type="pct"/>
            <w:tcBorders>
              <w:top w:val="nil"/>
            </w:tcBorders>
            <w:shd w:val="clear" w:color="auto" w:fill="FFFFFF" w:themeFill="background1"/>
            <w:noWrap/>
            <w:vAlign w:val="bottom"/>
            <w:hideMark/>
          </w:tcPr>
          <w:p w14:paraId="3786D41C"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72,2</w:t>
            </w:r>
          </w:p>
        </w:tc>
        <w:tc>
          <w:tcPr>
            <w:tcW w:w="356" w:type="pct"/>
            <w:tcBorders>
              <w:top w:val="nil"/>
            </w:tcBorders>
            <w:shd w:val="clear" w:color="auto" w:fill="FFFFFF" w:themeFill="background1"/>
            <w:noWrap/>
            <w:vAlign w:val="bottom"/>
            <w:hideMark/>
          </w:tcPr>
          <w:p w14:paraId="4A83FE67"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60" w:type="pct"/>
            <w:tcBorders>
              <w:top w:val="nil"/>
            </w:tcBorders>
            <w:shd w:val="clear" w:color="auto" w:fill="FFFFFF" w:themeFill="background1"/>
            <w:noWrap/>
            <w:vAlign w:val="bottom"/>
            <w:hideMark/>
          </w:tcPr>
          <w:p w14:paraId="44C39327"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48" w:type="pct"/>
            <w:tcBorders>
              <w:top w:val="nil"/>
            </w:tcBorders>
            <w:shd w:val="clear" w:color="auto" w:fill="FFFFFF" w:themeFill="background1"/>
            <w:noWrap/>
            <w:vAlign w:val="bottom"/>
            <w:hideMark/>
          </w:tcPr>
          <w:p w14:paraId="1DF121ED"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46AF4402"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4CD0E26F"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048B90C6"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72,2</w:t>
            </w:r>
          </w:p>
        </w:tc>
        <w:tc>
          <w:tcPr>
            <w:tcW w:w="372" w:type="pct"/>
            <w:tcBorders>
              <w:top w:val="nil"/>
            </w:tcBorders>
            <w:shd w:val="clear" w:color="auto" w:fill="FFFFFF" w:themeFill="background1"/>
            <w:noWrap/>
            <w:vAlign w:val="bottom"/>
            <w:hideMark/>
          </w:tcPr>
          <w:p w14:paraId="793DA43D"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hideMark/>
          </w:tcPr>
          <w:p w14:paraId="4CD2ADB9"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69,5</w:t>
            </w:r>
          </w:p>
        </w:tc>
        <w:tc>
          <w:tcPr>
            <w:tcW w:w="372" w:type="pct"/>
            <w:tcBorders>
              <w:top w:val="nil"/>
            </w:tcBorders>
            <w:shd w:val="clear" w:color="auto" w:fill="FFFFFF" w:themeFill="background1"/>
            <w:noWrap/>
            <w:vAlign w:val="bottom"/>
          </w:tcPr>
          <w:p w14:paraId="495F6BE5"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hideMark/>
          </w:tcPr>
          <w:p w14:paraId="6CBB1A4A"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2,8</w:t>
            </w:r>
          </w:p>
        </w:tc>
      </w:tr>
      <w:tr w:rsidR="00BF6FDD" w:rsidRPr="00DE058F" w14:paraId="336EF8B4"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68BF1780"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РФЗО</w:t>
            </w:r>
          </w:p>
        </w:tc>
        <w:tc>
          <w:tcPr>
            <w:tcW w:w="356" w:type="pct"/>
            <w:tcBorders>
              <w:top w:val="nil"/>
            </w:tcBorders>
            <w:shd w:val="clear" w:color="auto" w:fill="FFFFFF" w:themeFill="background1"/>
            <w:noWrap/>
            <w:vAlign w:val="bottom"/>
            <w:hideMark/>
          </w:tcPr>
          <w:p w14:paraId="05F589A2"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4,1</w:t>
            </w:r>
          </w:p>
        </w:tc>
        <w:tc>
          <w:tcPr>
            <w:tcW w:w="356" w:type="pct"/>
            <w:tcBorders>
              <w:top w:val="nil"/>
            </w:tcBorders>
            <w:shd w:val="clear" w:color="auto" w:fill="FFFFFF" w:themeFill="background1"/>
            <w:noWrap/>
            <w:vAlign w:val="bottom"/>
            <w:hideMark/>
          </w:tcPr>
          <w:p w14:paraId="37ADB031"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60" w:type="pct"/>
            <w:tcBorders>
              <w:top w:val="nil"/>
            </w:tcBorders>
            <w:shd w:val="clear" w:color="auto" w:fill="FFFFFF" w:themeFill="background1"/>
            <w:noWrap/>
            <w:vAlign w:val="bottom"/>
            <w:hideMark/>
          </w:tcPr>
          <w:p w14:paraId="1D4D2550"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48" w:type="pct"/>
            <w:tcBorders>
              <w:top w:val="nil"/>
            </w:tcBorders>
            <w:shd w:val="clear" w:color="auto" w:fill="FFFFFF" w:themeFill="background1"/>
            <w:noWrap/>
            <w:vAlign w:val="bottom"/>
            <w:hideMark/>
          </w:tcPr>
          <w:p w14:paraId="339D3BEA"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32104F48"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36BE5DBD"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401EFAAB"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4,1</w:t>
            </w:r>
          </w:p>
        </w:tc>
        <w:tc>
          <w:tcPr>
            <w:tcW w:w="372" w:type="pct"/>
            <w:tcBorders>
              <w:top w:val="nil"/>
            </w:tcBorders>
            <w:shd w:val="clear" w:color="auto" w:fill="FFFFFF" w:themeFill="background1"/>
            <w:noWrap/>
            <w:vAlign w:val="bottom"/>
            <w:hideMark/>
          </w:tcPr>
          <w:p w14:paraId="7F83583F"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4,1</w:t>
            </w:r>
          </w:p>
        </w:tc>
        <w:tc>
          <w:tcPr>
            <w:tcW w:w="372" w:type="pct"/>
            <w:tcBorders>
              <w:top w:val="nil"/>
            </w:tcBorders>
            <w:shd w:val="clear" w:color="auto" w:fill="FFFFFF" w:themeFill="background1"/>
            <w:noWrap/>
            <w:vAlign w:val="bottom"/>
          </w:tcPr>
          <w:p w14:paraId="6CDD58D4"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02A5A53F"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27C1087A"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r>
      <w:tr w:rsidR="00BF6FDD" w:rsidRPr="00DE058F" w14:paraId="42CC7F3C"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4347EDB4"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НСЗ</w:t>
            </w:r>
          </w:p>
        </w:tc>
        <w:tc>
          <w:tcPr>
            <w:tcW w:w="356" w:type="pct"/>
            <w:tcBorders>
              <w:top w:val="nil"/>
            </w:tcBorders>
            <w:shd w:val="clear" w:color="auto" w:fill="FFFFFF" w:themeFill="background1"/>
            <w:noWrap/>
            <w:vAlign w:val="bottom"/>
            <w:hideMark/>
          </w:tcPr>
          <w:p w14:paraId="3976E3D7"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5,5</w:t>
            </w:r>
          </w:p>
        </w:tc>
        <w:tc>
          <w:tcPr>
            <w:tcW w:w="356" w:type="pct"/>
            <w:tcBorders>
              <w:top w:val="nil"/>
            </w:tcBorders>
            <w:shd w:val="clear" w:color="auto" w:fill="FFFFFF" w:themeFill="background1"/>
            <w:noWrap/>
            <w:vAlign w:val="bottom"/>
            <w:hideMark/>
          </w:tcPr>
          <w:p w14:paraId="210F739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60" w:type="pct"/>
            <w:tcBorders>
              <w:top w:val="nil"/>
            </w:tcBorders>
            <w:shd w:val="clear" w:color="auto" w:fill="FFFFFF" w:themeFill="background1"/>
            <w:noWrap/>
            <w:vAlign w:val="bottom"/>
            <w:hideMark/>
          </w:tcPr>
          <w:p w14:paraId="68D24271"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48" w:type="pct"/>
            <w:tcBorders>
              <w:top w:val="nil"/>
            </w:tcBorders>
            <w:shd w:val="clear" w:color="auto" w:fill="FFFFFF" w:themeFill="background1"/>
            <w:noWrap/>
            <w:vAlign w:val="bottom"/>
            <w:hideMark/>
          </w:tcPr>
          <w:p w14:paraId="654BDA0A"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29F8AE8A"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444CB61B"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4DF2F8B5"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5,5</w:t>
            </w:r>
          </w:p>
        </w:tc>
        <w:tc>
          <w:tcPr>
            <w:tcW w:w="372" w:type="pct"/>
            <w:tcBorders>
              <w:top w:val="nil"/>
            </w:tcBorders>
            <w:shd w:val="clear" w:color="auto" w:fill="FFFFFF" w:themeFill="background1"/>
            <w:noWrap/>
            <w:vAlign w:val="bottom"/>
            <w:hideMark/>
          </w:tcPr>
          <w:p w14:paraId="7D3C1BDB"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3,9</w:t>
            </w:r>
          </w:p>
        </w:tc>
        <w:tc>
          <w:tcPr>
            <w:tcW w:w="372" w:type="pct"/>
            <w:tcBorders>
              <w:top w:val="nil"/>
            </w:tcBorders>
            <w:shd w:val="clear" w:color="auto" w:fill="FFFFFF" w:themeFill="background1"/>
            <w:noWrap/>
            <w:vAlign w:val="bottom"/>
            <w:hideMark/>
          </w:tcPr>
          <w:p w14:paraId="0605942D"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1,6</w:t>
            </w:r>
          </w:p>
        </w:tc>
        <w:tc>
          <w:tcPr>
            <w:tcW w:w="372" w:type="pct"/>
            <w:tcBorders>
              <w:top w:val="nil"/>
            </w:tcBorders>
            <w:shd w:val="clear" w:color="auto" w:fill="FFFFFF" w:themeFill="background1"/>
            <w:noWrap/>
            <w:vAlign w:val="bottom"/>
          </w:tcPr>
          <w:p w14:paraId="1F124051"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1A3A1F39"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r>
      <w:tr w:rsidR="00BF6FDD" w:rsidRPr="00DE058F" w14:paraId="7AE8E336"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3A39FD1C"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Фонд СОВО</w:t>
            </w:r>
          </w:p>
        </w:tc>
        <w:tc>
          <w:tcPr>
            <w:tcW w:w="356" w:type="pct"/>
            <w:tcBorders>
              <w:top w:val="nil"/>
            </w:tcBorders>
            <w:shd w:val="clear" w:color="auto" w:fill="FFFFFF" w:themeFill="background1"/>
            <w:noWrap/>
            <w:vAlign w:val="bottom"/>
          </w:tcPr>
          <w:p w14:paraId="5DAFEC9E"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6" w:type="pct"/>
            <w:tcBorders>
              <w:top w:val="nil"/>
            </w:tcBorders>
            <w:shd w:val="clear" w:color="auto" w:fill="FFFFFF" w:themeFill="background1"/>
            <w:noWrap/>
            <w:vAlign w:val="bottom"/>
            <w:hideMark/>
          </w:tcPr>
          <w:p w14:paraId="4115543F"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60" w:type="pct"/>
            <w:tcBorders>
              <w:top w:val="nil"/>
            </w:tcBorders>
            <w:shd w:val="clear" w:color="auto" w:fill="FFFFFF" w:themeFill="background1"/>
            <w:noWrap/>
            <w:vAlign w:val="bottom"/>
            <w:hideMark/>
          </w:tcPr>
          <w:p w14:paraId="6A4DCF79"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48" w:type="pct"/>
            <w:tcBorders>
              <w:top w:val="nil"/>
            </w:tcBorders>
            <w:shd w:val="clear" w:color="auto" w:fill="FFFFFF" w:themeFill="background1"/>
            <w:noWrap/>
            <w:vAlign w:val="bottom"/>
            <w:hideMark/>
          </w:tcPr>
          <w:p w14:paraId="461D45F3"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6C1151D1"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6F7CB742"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tcPr>
          <w:p w14:paraId="1E8F5464"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vAlign w:val="bottom"/>
          </w:tcPr>
          <w:p w14:paraId="7BA54C14"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0F648D9C"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1F995458"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5845700F"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r>
      <w:tr w:rsidR="00BF6FDD" w:rsidRPr="00DE058F" w14:paraId="3B2C3A5A"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536180CF"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Остали нивои</w:t>
            </w:r>
          </w:p>
        </w:tc>
        <w:tc>
          <w:tcPr>
            <w:tcW w:w="356" w:type="pct"/>
            <w:tcBorders>
              <w:top w:val="nil"/>
            </w:tcBorders>
            <w:shd w:val="clear" w:color="auto" w:fill="FFFFFF" w:themeFill="background1"/>
            <w:noWrap/>
            <w:vAlign w:val="bottom"/>
          </w:tcPr>
          <w:p w14:paraId="5E975825"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6" w:type="pct"/>
            <w:tcBorders>
              <w:top w:val="nil"/>
            </w:tcBorders>
            <w:shd w:val="clear" w:color="auto" w:fill="FFFFFF" w:themeFill="background1"/>
            <w:noWrap/>
            <w:vAlign w:val="bottom"/>
            <w:hideMark/>
          </w:tcPr>
          <w:p w14:paraId="6F1D6033"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60" w:type="pct"/>
            <w:tcBorders>
              <w:top w:val="nil"/>
            </w:tcBorders>
            <w:shd w:val="clear" w:color="auto" w:fill="FFFFFF" w:themeFill="background1"/>
            <w:noWrap/>
            <w:vAlign w:val="bottom"/>
            <w:hideMark/>
          </w:tcPr>
          <w:p w14:paraId="55007FC9"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48" w:type="pct"/>
            <w:tcBorders>
              <w:top w:val="nil"/>
            </w:tcBorders>
            <w:shd w:val="clear" w:color="auto" w:fill="FFFFFF" w:themeFill="background1"/>
            <w:noWrap/>
            <w:vAlign w:val="bottom"/>
            <w:hideMark/>
          </w:tcPr>
          <w:p w14:paraId="0F33143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359B65C9"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259CA7C3"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tcPr>
          <w:p w14:paraId="05DCB23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vAlign w:val="bottom"/>
          </w:tcPr>
          <w:p w14:paraId="7EADC1AB"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6AEBA73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6D7AF0F9"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207B7460"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r>
      <w:tr w:rsidR="00BF6FDD" w:rsidRPr="00DE058F" w14:paraId="0D4A4963"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2AC7605E"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Трансфери другим нивоима власти</w:t>
            </w:r>
          </w:p>
        </w:tc>
        <w:tc>
          <w:tcPr>
            <w:tcW w:w="356" w:type="pct"/>
            <w:tcBorders>
              <w:top w:val="nil"/>
            </w:tcBorders>
            <w:shd w:val="clear" w:color="auto" w:fill="FFFFFF" w:themeFill="background1"/>
            <w:noWrap/>
            <w:vAlign w:val="bottom"/>
            <w:hideMark/>
          </w:tcPr>
          <w:p w14:paraId="3DC8CF8A"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429,7</w:t>
            </w:r>
          </w:p>
        </w:tc>
        <w:tc>
          <w:tcPr>
            <w:tcW w:w="356" w:type="pct"/>
            <w:tcBorders>
              <w:top w:val="nil"/>
            </w:tcBorders>
            <w:shd w:val="clear" w:color="auto" w:fill="FFFFFF" w:themeFill="background1"/>
            <w:noWrap/>
            <w:vAlign w:val="bottom"/>
            <w:hideMark/>
          </w:tcPr>
          <w:p w14:paraId="5BCEAF5B"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340,5</w:t>
            </w:r>
          </w:p>
        </w:tc>
        <w:tc>
          <w:tcPr>
            <w:tcW w:w="360" w:type="pct"/>
            <w:tcBorders>
              <w:top w:val="nil"/>
            </w:tcBorders>
            <w:shd w:val="clear" w:color="auto" w:fill="FFFFFF" w:themeFill="background1"/>
            <w:noWrap/>
            <w:vAlign w:val="bottom"/>
            <w:hideMark/>
          </w:tcPr>
          <w:p w14:paraId="232A282D"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7,4</w:t>
            </w:r>
          </w:p>
        </w:tc>
        <w:tc>
          <w:tcPr>
            <w:tcW w:w="348" w:type="pct"/>
            <w:tcBorders>
              <w:top w:val="nil"/>
            </w:tcBorders>
            <w:shd w:val="clear" w:color="auto" w:fill="FFFFFF" w:themeFill="background1"/>
            <w:noWrap/>
            <w:vAlign w:val="bottom"/>
            <w:hideMark/>
          </w:tcPr>
          <w:p w14:paraId="23541254"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7,4</w:t>
            </w:r>
          </w:p>
        </w:tc>
        <w:tc>
          <w:tcPr>
            <w:tcW w:w="372" w:type="pct"/>
            <w:tcBorders>
              <w:top w:val="nil"/>
            </w:tcBorders>
            <w:shd w:val="clear" w:color="auto" w:fill="FFFFFF" w:themeFill="background1"/>
            <w:noWrap/>
            <w:vAlign w:val="bottom"/>
          </w:tcPr>
          <w:p w14:paraId="6B4FDB08"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53" w:type="pct"/>
            <w:tcBorders>
              <w:top w:val="nil"/>
            </w:tcBorders>
            <w:shd w:val="clear" w:color="auto" w:fill="FFFFFF" w:themeFill="background1"/>
            <w:noWrap/>
            <w:vAlign w:val="bottom"/>
          </w:tcPr>
          <w:p w14:paraId="7192BCC9"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hideMark/>
          </w:tcPr>
          <w:p w14:paraId="25616707"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81,9</w:t>
            </w:r>
          </w:p>
        </w:tc>
        <w:tc>
          <w:tcPr>
            <w:tcW w:w="372" w:type="pct"/>
            <w:tcBorders>
              <w:top w:val="nil"/>
            </w:tcBorders>
            <w:shd w:val="clear" w:color="auto" w:fill="FFFFFF" w:themeFill="background1"/>
            <w:noWrap/>
            <w:vAlign w:val="bottom"/>
            <w:hideMark/>
          </w:tcPr>
          <w:p w14:paraId="24BA42B3"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72,2</w:t>
            </w:r>
          </w:p>
        </w:tc>
        <w:tc>
          <w:tcPr>
            <w:tcW w:w="372" w:type="pct"/>
            <w:tcBorders>
              <w:top w:val="nil"/>
            </w:tcBorders>
            <w:shd w:val="clear" w:color="auto" w:fill="FFFFFF" w:themeFill="background1"/>
            <w:noWrap/>
            <w:vAlign w:val="bottom"/>
            <w:hideMark/>
          </w:tcPr>
          <w:p w14:paraId="189D87A0"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4,1</w:t>
            </w:r>
          </w:p>
        </w:tc>
        <w:tc>
          <w:tcPr>
            <w:tcW w:w="372" w:type="pct"/>
            <w:tcBorders>
              <w:top w:val="nil"/>
            </w:tcBorders>
            <w:shd w:val="clear" w:color="auto" w:fill="FFFFFF" w:themeFill="background1"/>
            <w:noWrap/>
            <w:vAlign w:val="bottom"/>
            <w:hideMark/>
          </w:tcPr>
          <w:p w14:paraId="6E68BA3F"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5,5</w:t>
            </w:r>
          </w:p>
        </w:tc>
        <w:tc>
          <w:tcPr>
            <w:tcW w:w="372" w:type="pct"/>
            <w:tcBorders>
              <w:top w:val="nil"/>
            </w:tcBorders>
            <w:shd w:val="clear" w:color="auto" w:fill="FFFFFF" w:themeFill="background1"/>
            <w:noWrap/>
            <w:vAlign w:val="bottom"/>
          </w:tcPr>
          <w:p w14:paraId="42BDFAC6"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r>
      <w:tr w:rsidR="00BF6FDD" w:rsidRPr="00DE058F" w14:paraId="53AF0F8E"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75EE0B11"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Буџет Републике</w:t>
            </w:r>
          </w:p>
        </w:tc>
        <w:tc>
          <w:tcPr>
            <w:tcW w:w="356" w:type="pct"/>
            <w:tcBorders>
              <w:top w:val="nil"/>
            </w:tcBorders>
            <w:shd w:val="clear" w:color="auto" w:fill="FFFFFF" w:themeFill="background1"/>
            <w:noWrap/>
            <w:vAlign w:val="bottom"/>
            <w:hideMark/>
          </w:tcPr>
          <w:p w14:paraId="482B7C8B"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7,4</w:t>
            </w:r>
          </w:p>
        </w:tc>
        <w:tc>
          <w:tcPr>
            <w:tcW w:w="356" w:type="pct"/>
            <w:tcBorders>
              <w:top w:val="nil"/>
            </w:tcBorders>
            <w:shd w:val="clear" w:color="auto" w:fill="FFFFFF" w:themeFill="background1"/>
            <w:noWrap/>
            <w:vAlign w:val="bottom"/>
            <w:hideMark/>
          </w:tcPr>
          <w:p w14:paraId="4755B397"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360" w:type="pct"/>
            <w:tcBorders>
              <w:top w:val="nil"/>
            </w:tcBorders>
            <w:shd w:val="clear" w:color="auto" w:fill="FFFFFF" w:themeFill="background1"/>
            <w:noWrap/>
            <w:vAlign w:val="bottom"/>
            <w:hideMark/>
          </w:tcPr>
          <w:p w14:paraId="3DD7928E"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7,4</w:t>
            </w:r>
          </w:p>
        </w:tc>
        <w:tc>
          <w:tcPr>
            <w:tcW w:w="348" w:type="pct"/>
            <w:tcBorders>
              <w:top w:val="nil"/>
            </w:tcBorders>
            <w:shd w:val="clear" w:color="auto" w:fill="FFFFFF" w:themeFill="background1"/>
            <w:noWrap/>
            <w:vAlign w:val="bottom"/>
            <w:hideMark/>
          </w:tcPr>
          <w:p w14:paraId="121E1E3E"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7,4</w:t>
            </w:r>
          </w:p>
        </w:tc>
        <w:tc>
          <w:tcPr>
            <w:tcW w:w="372" w:type="pct"/>
            <w:tcBorders>
              <w:top w:val="nil"/>
            </w:tcBorders>
            <w:shd w:val="clear" w:color="auto" w:fill="FFFFFF" w:themeFill="background1"/>
            <w:noWrap/>
            <w:vAlign w:val="bottom"/>
            <w:hideMark/>
          </w:tcPr>
          <w:p w14:paraId="287ADD0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0C7E51B4"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tcPr>
          <w:p w14:paraId="6511190A"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vAlign w:val="bottom"/>
            <w:hideMark/>
          </w:tcPr>
          <w:p w14:paraId="5BFA8CBE"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35F63562"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416ABAB5"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36897DE2"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r>
      <w:tr w:rsidR="00BF6FDD" w:rsidRPr="00DE058F" w14:paraId="76183B70"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7DF4AD39"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Градови и општине</w:t>
            </w:r>
          </w:p>
        </w:tc>
        <w:tc>
          <w:tcPr>
            <w:tcW w:w="356" w:type="pct"/>
            <w:tcBorders>
              <w:top w:val="nil"/>
            </w:tcBorders>
            <w:shd w:val="clear" w:color="auto" w:fill="FFFFFF" w:themeFill="background1"/>
            <w:noWrap/>
            <w:vAlign w:val="bottom"/>
            <w:hideMark/>
          </w:tcPr>
          <w:p w14:paraId="2EA66077"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61,6</w:t>
            </w:r>
          </w:p>
        </w:tc>
        <w:tc>
          <w:tcPr>
            <w:tcW w:w="356" w:type="pct"/>
            <w:tcBorders>
              <w:top w:val="nil"/>
            </w:tcBorders>
            <w:shd w:val="clear" w:color="auto" w:fill="FFFFFF" w:themeFill="background1"/>
            <w:noWrap/>
            <w:vAlign w:val="bottom"/>
            <w:hideMark/>
          </w:tcPr>
          <w:p w14:paraId="3FCF7957"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61,6</w:t>
            </w:r>
          </w:p>
        </w:tc>
        <w:tc>
          <w:tcPr>
            <w:tcW w:w="360" w:type="pct"/>
            <w:tcBorders>
              <w:top w:val="nil"/>
            </w:tcBorders>
            <w:shd w:val="clear" w:color="auto" w:fill="FFFFFF" w:themeFill="background1"/>
            <w:noWrap/>
            <w:vAlign w:val="bottom"/>
            <w:hideMark/>
          </w:tcPr>
          <w:p w14:paraId="156EDCB8"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48" w:type="pct"/>
            <w:tcBorders>
              <w:top w:val="nil"/>
            </w:tcBorders>
            <w:shd w:val="clear" w:color="auto" w:fill="FFFFFF" w:themeFill="background1"/>
            <w:noWrap/>
            <w:vAlign w:val="bottom"/>
            <w:hideMark/>
          </w:tcPr>
          <w:p w14:paraId="591637B7"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44643C26"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54646162"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tcPr>
          <w:p w14:paraId="29F8D5CD"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vAlign w:val="bottom"/>
            <w:hideMark/>
          </w:tcPr>
          <w:p w14:paraId="4A2EF436"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065B9430"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02509D61"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69B23E98"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r>
      <w:tr w:rsidR="00BF6FDD" w:rsidRPr="00DE058F" w14:paraId="0119ACDB"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1AAD2FF3"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AП Војводина</w:t>
            </w:r>
          </w:p>
        </w:tc>
        <w:tc>
          <w:tcPr>
            <w:tcW w:w="356" w:type="pct"/>
            <w:tcBorders>
              <w:top w:val="nil"/>
            </w:tcBorders>
            <w:shd w:val="clear" w:color="auto" w:fill="FFFFFF" w:themeFill="background1"/>
            <w:noWrap/>
            <w:vAlign w:val="bottom"/>
            <w:hideMark/>
          </w:tcPr>
          <w:p w14:paraId="0115454A"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43,9</w:t>
            </w:r>
          </w:p>
        </w:tc>
        <w:tc>
          <w:tcPr>
            <w:tcW w:w="356" w:type="pct"/>
            <w:tcBorders>
              <w:top w:val="nil"/>
            </w:tcBorders>
            <w:shd w:val="clear" w:color="auto" w:fill="FFFFFF" w:themeFill="background1"/>
            <w:noWrap/>
            <w:vAlign w:val="bottom"/>
            <w:hideMark/>
          </w:tcPr>
          <w:p w14:paraId="280FCA5A"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43,9</w:t>
            </w:r>
          </w:p>
        </w:tc>
        <w:tc>
          <w:tcPr>
            <w:tcW w:w="360" w:type="pct"/>
            <w:tcBorders>
              <w:top w:val="nil"/>
            </w:tcBorders>
            <w:shd w:val="clear" w:color="auto" w:fill="FFFFFF" w:themeFill="background1"/>
            <w:noWrap/>
            <w:vAlign w:val="bottom"/>
            <w:hideMark/>
          </w:tcPr>
          <w:p w14:paraId="00D2A775"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48" w:type="pct"/>
            <w:tcBorders>
              <w:top w:val="nil"/>
            </w:tcBorders>
            <w:shd w:val="clear" w:color="auto" w:fill="FFFFFF" w:themeFill="background1"/>
            <w:noWrap/>
            <w:vAlign w:val="bottom"/>
            <w:hideMark/>
          </w:tcPr>
          <w:p w14:paraId="2C6EDA6E"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33BE8285"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2EA1F9C4"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tcPr>
          <w:p w14:paraId="16F798B1"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vAlign w:val="bottom"/>
            <w:hideMark/>
          </w:tcPr>
          <w:p w14:paraId="33A97287"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069B6FAD"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1417F00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75600E83"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r>
      <w:tr w:rsidR="00BF6FDD" w:rsidRPr="00DE058F" w14:paraId="04A8281B"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51090B60"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Фонд ПИО</w:t>
            </w:r>
          </w:p>
        </w:tc>
        <w:tc>
          <w:tcPr>
            <w:tcW w:w="356" w:type="pct"/>
            <w:tcBorders>
              <w:top w:val="nil"/>
            </w:tcBorders>
            <w:shd w:val="clear" w:color="auto" w:fill="FFFFFF" w:themeFill="background1"/>
            <w:noWrap/>
            <w:vAlign w:val="bottom"/>
            <w:hideMark/>
          </w:tcPr>
          <w:p w14:paraId="63063618"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118,5</w:t>
            </w:r>
          </w:p>
        </w:tc>
        <w:tc>
          <w:tcPr>
            <w:tcW w:w="356" w:type="pct"/>
            <w:tcBorders>
              <w:top w:val="nil"/>
            </w:tcBorders>
            <w:shd w:val="clear" w:color="auto" w:fill="FFFFFF" w:themeFill="background1"/>
            <w:noWrap/>
            <w:vAlign w:val="bottom"/>
            <w:hideMark/>
          </w:tcPr>
          <w:p w14:paraId="00562252"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110,4</w:t>
            </w:r>
          </w:p>
        </w:tc>
        <w:tc>
          <w:tcPr>
            <w:tcW w:w="360" w:type="pct"/>
            <w:tcBorders>
              <w:top w:val="nil"/>
            </w:tcBorders>
            <w:shd w:val="clear" w:color="auto" w:fill="FFFFFF" w:themeFill="background1"/>
            <w:noWrap/>
            <w:vAlign w:val="bottom"/>
            <w:hideMark/>
          </w:tcPr>
          <w:p w14:paraId="036F50FA"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48" w:type="pct"/>
            <w:tcBorders>
              <w:top w:val="nil"/>
            </w:tcBorders>
            <w:shd w:val="clear" w:color="auto" w:fill="FFFFFF" w:themeFill="background1"/>
            <w:noWrap/>
            <w:vAlign w:val="bottom"/>
            <w:hideMark/>
          </w:tcPr>
          <w:p w14:paraId="6082283D"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7C4E94D1"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6DB01C1F"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1833B764"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8,0</w:t>
            </w:r>
          </w:p>
        </w:tc>
        <w:tc>
          <w:tcPr>
            <w:tcW w:w="372" w:type="pct"/>
            <w:tcBorders>
              <w:top w:val="nil"/>
            </w:tcBorders>
            <w:shd w:val="clear" w:color="auto" w:fill="FFFFFF" w:themeFill="background1"/>
            <w:noWrap/>
            <w:vAlign w:val="bottom"/>
          </w:tcPr>
          <w:p w14:paraId="130F40FC"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hideMark/>
          </w:tcPr>
          <w:p w14:paraId="4B3CCC3A"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4,1</w:t>
            </w:r>
          </w:p>
        </w:tc>
        <w:tc>
          <w:tcPr>
            <w:tcW w:w="372" w:type="pct"/>
            <w:tcBorders>
              <w:top w:val="nil"/>
            </w:tcBorders>
            <w:shd w:val="clear" w:color="auto" w:fill="FFFFFF" w:themeFill="background1"/>
            <w:noWrap/>
            <w:vAlign w:val="bottom"/>
            <w:hideMark/>
          </w:tcPr>
          <w:p w14:paraId="7673AE40"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3,9</w:t>
            </w:r>
          </w:p>
        </w:tc>
        <w:tc>
          <w:tcPr>
            <w:tcW w:w="372" w:type="pct"/>
            <w:tcBorders>
              <w:top w:val="nil"/>
            </w:tcBorders>
            <w:shd w:val="clear" w:color="auto" w:fill="FFFFFF" w:themeFill="background1"/>
            <w:noWrap/>
            <w:vAlign w:val="bottom"/>
          </w:tcPr>
          <w:p w14:paraId="4EF0BDA4"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r>
      <w:tr w:rsidR="00BF6FDD" w:rsidRPr="00DE058F" w14:paraId="2D2AA823"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42173A06"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РФЗО</w:t>
            </w:r>
          </w:p>
        </w:tc>
        <w:tc>
          <w:tcPr>
            <w:tcW w:w="356" w:type="pct"/>
            <w:tcBorders>
              <w:top w:val="nil"/>
            </w:tcBorders>
            <w:shd w:val="clear" w:color="auto" w:fill="FFFFFF" w:themeFill="background1"/>
            <w:noWrap/>
            <w:vAlign w:val="bottom"/>
            <w:hideMark/>
          </w:tcPr>
          <w:p w14:paraId="1019C416"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158,2</w:t>
            </w:r>
          </w:p>
        </w:tc>
        <w:tc>
          <w:tcPr>
            <w:tcW w:w="356" w:type="pct"/>
            <w:tcBorders>
              <w:top w:val="nil"/>
            </w:tcBorders>
            <w:shd w:val="clear" w:color="auto" w:fill="FFFFFF" w:themeFill="background1"/>
            <w:noWrap/>
            <w:vAlign w:val="bottom"/>
            <w:hideMark/>
          </w:tcPr>
          <w:p w14:paraId="4784338B"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87,1</w:t>
            </w:r>
          </w:p>
        </w:tc>
        <w:tc>
          <w:tcPr>
            <w:tcW w:w="360" w:type="pct"/>
            <w:tcBorders>
              <w:top w:val="nil"/>
            </w:tcBorders>
            <w:shd w:val="clear" w:color="auto" w:fill="FFFFFF" w:themeFill="background1"/>
            <w:noWrap/>
            <w:vAlign w:val="bottom"/>
            <w:hideMark/>
          </w:tcPr>
          <w:p w14:paraId="35BA3423"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48" w:type="pct"/>
            <w:tcBorders>
              <w:top w:val="nil"/>
            </w:tcBorders>
            <w:shd w:val="clear" w:color="auto" w:fill="FFFFFF" w:themeFill="background1"/>
            <w:noWrap/>
            <w:vAlign w:val="bottom"/>
            <w:hideMark/>
          </w:tcPr>
          <w:p w14:paraId="436EF7FC"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132C4D26"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2598730A"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6481FE01"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71,1</w:t>
            </w:r>
          </w:p>
        </w:tc>
        <w:tc>
          <w:tcPr>
            <w:tcW w:w="372" w:type="pct"/>
            <w:tcBorders>
              <w:top w:val="nil"/>
            </w:tcBorders>
            <w:shd w:val="clear" w:color="auto" w:fill="FFFFFF" w:themeFill="background1"/>
            <w:noWrap/>
            <w:vAlign w:val="bottom"/>
            <w:hideMark/>
          </w:tcPr>
          <w:p w14:paraId="69FA4F1E"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69,5</w:t>
            </w:r>
          </w:p>
        </w:tc>
        <w:tc>
          <w:tcPr>
            <w:tcW w:w="372" w:type="pct"/>
            <w:tcBorders>
              <w:top w:val="nil"/>
            </w:tcBorders>
            <w:shd w:val="clear" w:color="auto" w:fill="FFFFFF" w:themeFill="background1"/>
            <w:noWrap/>
            <w:vAlign w:val="bottom"/>
          </w:tcPr>
          <w:p w14:paraId="42BA1B2C"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hideMark/>
          </w:tcPr>
          <w:p w14:paraId="78B148B0"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1,6</w:t>
            </w:r>
          </w:p>
        </w:tc>
        <w:tc>
          <w:tcPr>
            <w:tcW w:w="372" w:type="pct"/>
            <w:tcBorders>
              <w:top w:val="nil"/>
            </w:tcBorders>
            <w:shd w:val="clear" w:color="auto" w:fill="FFFFFF" w:themeFill="background1"/>
            <w:noWrap/>
            <w:vAlign w:val="bottom"/>
          </w:tcPr>
          <w:p w14:paraId="443E82BF"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r>
      <w:tr w:rsidR="00BF6FDD" w:rsidRPr="00DE058F" w14:paraId="5777ABC8"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58811CE2"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НСЗ</w:t>
            </w:r>
          </w:p>
        </w:tc>
        <w:tc>
          <w:tcPr>
            <w:tcW w:w="356" w:type="pct"/>
            <w:tcBorders>
              <w:top w:val="nil"/>
            </w:tcBorders>
            <w:shd w:val="clear" w:color="auto" w:fill="FFFFFF" w:themeFill="background1"/>
            <w:noWrap/>
            <w:vAlign w:val="bottom"/>
            <w:hideMark/>
          </w:tcPr>
          <w:p w14:paraId="6C3DDF98"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6,1</w:t>
            </w:r>
          </w:p>
        </w:tc>
        <w:tc>
          <w:tcPr>
            <w:tcW w:w="356" w:type="pct"/>
            <w:tcBorders>
              <w:top w:val="nil"/>
            </w:tcBorders>
            <w:shd w:val="clear" w:color="auto" w:fill="FFFFFF" w:themeFill="background1"/>
            <w:noWrap/>
            <w:vAlign w:val="bottom"/>
            <w:hideMark/>
          </w:tcPr>
          <w:p w14:paraId="1CB7ADBA"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6,1</w:t>
            </w:r>
          </w:p>
        </w:tc>
        <w:tc>
          <w:tcPr>
            <w:tcW w:w="360" w:type="pct"/>
            <w:tcBorders>
              <w:top w:val="nil"/>
            </w:tcBorders>
            <w:shd w:val="clear" w:color="auto" w:fill="FFFFFF" w:themeFill="background1"/>
            <w:noWrap/>
            <w:vAlign w:val="bottom"/>
            <w:hideMark/>
          </w:tcPr>
          <w:p w14:paraId="4D907470"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48" w:type="pct"/>
            <w:tcBorders>
              <w:top w:val="nil"/>
            </w:tcBorders>
            <w:shd w:val="clear" w:color="auto" w:fill="FFFFFF" w:themeFill="background1"/>
            <w:noWrap/>
            <w:vAlign w:val="bottom"/>
            <w:hideMark/>
          </w:tcPr>
          <w:p w14:paraId="39CFCB8C"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73C0920C"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3DAFCE8B"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1C9391D3"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vAlign w:val="bottom"/>
          </w:tcPr>
          <w:p w14:paraId="644E11A2"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220766B8"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10FC65C8"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3DD96154"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r>
      <w:tr w:rsidR="00BF6FDD" w:rsidRPr="00DE058F" w14:paraId="13B5C1AE"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2505F073"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Фонд СОВО</w:t>
            </w:r>
          </w:p>
        </w:tc>
        <w:tc>
          <w:tcPr>
            <w:tcW w:w="356" w:type="pct"/>
            <w:tcBorders>
              <w:top w:val="nil"/>
            </w:tcBorders>
            <w:shd w:val="clear" w:color="auto" w:fill="FFFFFF" w:themeFill="background1"/>
            <w:noWrap/>
            <w:vAlign w:val="bottom"/>
            <w:hideMark/>
          </w:tcPr>
          <w:p w14:paraId="6FE6289E"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3,3</w:t>
            </w:r>
          </w:p>
        </w:tc>
        <w:tc>
          <w:tcPr>
            <w:tcW w:w="356" w:type="pct"/>
            <w:tcBorders>
              <w:top w:val="nil"/>
            </w:tcBorders>
            <w:shd w:val="clear" w:color="auto" w:fill="FFFFFF" w:themeFill="background1"/>
            <w:noWrap/>
            <w:vAlign w:val="bottom"/>
            <w:hideMark/>
          </w:tcPr>
          <w:p w14:paraId="6BB1221E"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0,5</w:t>
            </w:r>
          </w:p>
        </w:tc>
        <w:tc>
          <w:tcPr>
            <w:tcW w:w="360" w:type="pct"/>
            <w:tcBorders>
              <w:top w:val="nil"/>
            </w:tcBorders>
            <w:shd w:val="clear" w:color="auto" w:fill="FFFFFF" w:themeFill="background1"/>
            <w:noWrap/>
            <w:vAlign w:val="bottom"/>
            <w:hideMark/>
          </w:tcPr>
          <w:p w14:paraId="0576C852"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48" w:type="pct"/>
            <w:tcBorders>
              <w:top w:val="nil"/>
            </w:tcBorders>
            <w:shd w:val="clear" w:color="auto" w:fill="FFFFFF" w:themeFill="background1"/>
            <w:noWrap/>
            <w:vAlign w:val="bottom"/>
            <w:hideMark/>
          </w:tcPr>
          <w:p w14:paraId="38EFA929"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5D396CA6"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7F0A0593"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3E84E079"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2,8</w:t>
            </w:r>
          </w:p>
        </w:tc>
        <w:tc>
          <w:tcPr>
            <w:tcW w:w="372" w:type="pct"/>
            <w:tcBorders>
              <w:top w:val="nil"/>
            </w:tcBorders>
            <w:shd w:val="clear" w:color="auto" w:fill="FFFFFF" w:themeFill="background1"/>
            <w:noWrap/>
            <w:vAlign w:val="bottom"/>
            <w:hideMark/>
          </w:tcPr>
          <w:p w14:paraId="0AA4566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2,8</w:t>
            </w:r>
          </w:p>
        </w:tc>
        <w:tc>
          <w:tcPr>
            <w:tcW w:w="372" w:type="pct"/>
            <w:tcBorders>
              <w:top w:val="nil"/>
            </w:tcBorders>
            <w:shd w:val="clear" w:color="auto" w:fill="FFFFFF" w:themeFill="background1"/>
            <w:noWrap/>
            <w:vAlign w:val="bottom"/>
          </w:tcPr>
          <w:p w14:paraId="5D937C17"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7E0C73EA"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3EC7D7FC"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color w:val="002060"/>
                <w:sz w:val="14"/>
                <w:szCs w:val="14"/>
                <w:lang w:val="sr-Cyrl-CS"/>
              </w:rPr>
            </w:pPr>
          </w:p>
        </w:tc>
      </w:tr>
      <w:tr w:rsidR="00BF6FDD" w:rsidRPr="00DE058F" w14:paraId="358062D6"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3ED3EF9A"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Остали нивои</w:t>
            </w:r>
          </w:p>
        </w:tc>
        <w:tc>
          <w:tcPr>
            <w:tcW w:w="356" w:type="pct"/>
            <w:tcBorders>
              <w:top w:val="nil"/>
            </w:tcBorders>
            <w:shd w:val="clear" w:color="auto" w:fill="FFFFFF" w:themeFill="background1"/>
            <w:noWrap/>
            <w:vAlign w:val="bottom"/>
            <w:hideMark/>
          </w:tcPr>
          <w:p w14:paraId="639BB40B"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30,9</w:t>
            </w:r>
          </w:p>
        </w:tc>
        <w:tc>
          <w:tcPr>
            <w:tcW w:w="356" w:type="pct"/>
            <w:tcBorders>
              <w:top w:val="nil"/>
            </w:tcBorders>
            <w:shd w:val="clear" w:color="auto" w:fill="FFFFFF" w:themeFill="background1"/>
            <w:noWrap/>
            <w:vAlign w:val="bottom"/>
            <w:hideMark/>
          </w:tcPr>
          <w:p w14:paraId="675706AD"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30,9</w:t>
            </w:r>
          </w:p>
        </w:tc>
        <w:tc>
          <w:tcPr>
            <w:tcW w:w="360" w:type="pct"/>
            <w:tcBorders>
              <w:top w:val="nil"/>
            </w:tcBorders>
            <w:shd w:val="clear" w:color="auto" w:fill="FFFFFF" w:themeFill="background1"/>
            <w:noWrap/>
            <w:vAlign w:val="bottom"/>
            <w:hideMark/>
          </w:tcPr>
          <w:p w14:paraId="10A7FE48"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48" w:type="pct"/>
            <w:tcBorders>
              <w:top w:val="nil"/>
            </w:tcBorders>
            <w:shd w:val="clear" w:color="auto" w:fill="FFFFFF" w:themeFill="background1"/>
            <w:noWrap/>
            <w:vAlign w:val="bottom"/>
            <w:hideMark/>
          </w:tcPr>
          <w:p w14:paraId="17D2C50F"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0BDE8D12"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73D69CFD"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0B51919F"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vAlign w:val="bottom"/>
          </w:tcPr>
          <w:p w14:paraId="534C300A"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2CDBE113"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0A566FE5"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72" w:type="pct"/>
            <w:tcBorders>
              <w:top w:val="nil"/>
            </w:tcBorders>
            <w:shd w:val="clear" w:color="auto" w:fill="FFFFFF" w:themeFill="background1"/>
            <w:noWrap/>
            <w:vAlign w:val="bottom"/>
          </w:tcPr>
          <w:p w14:paraId="310F5D70"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r>
      <w:tr w:rsidR="00BF6FDD" w:rsidRPr="00DE058F" w14:paraId="503A5C2C"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195C7AB8"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Нето трансфери другим нивоима власти</w:t>
            </w:r>
          </w:p>
        </w:tc>
        <w:tc>
          <w:tcPr>
            <w:tcW w:w="356" w:type="pct"/>
            <w:tcBorders>
              <w:top w:val="nil"/>
            </w:tcBorders>
            <w:shd w:val="clear" w:color="auto" w:fill="FFFFFF" w:themeFill="background1"/>
            <w:noWrap/>
            <w:vAlign w:val="bottom"/>
          </w:tcPr>
          <w:p w14:paraId="0BDCA98E"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6" w:type="pct"/>
            <w:tcBorders>
              <w:top w:val="nil"/>
            </w:tcBorders>
            <w:shd w:val="clear" w:color="auto" w:fill="FFFFFF" w:themeFill="background1"/>
            <w:noWrap/>
            <w:vAlign w:val="bottom"/>
            <w:hideMark/>
          </w:tcPr>
          <w:p w14:paraId="2B6175B8" w14:textId="77777777" w:rsidR="00BF6FDD" w:rsidRPr="00DE058F" w:rsidRDefault="00BF6FDD" w:rsidP="006C47DD">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-333,2</w:t>
            </w:r>
          </w:p>
        </w:tc>
        <w:tc>
          <w:tcPr>
            <w:tcW w:w="360" w:type="pct"/>
            <w:tcBorders>
              <w:top w:val="nil"/>
            </w:tcBorders>
            <w:shd w:val="clear" w:color="auto" w:fill="FFFFFF" w:themeFill="background1"/>
            <w:noWrap/>
            <w:vAlign w:val="bottom"/>
            <w:hideMark/>
          </w:tcPr>
          <w:p w14:paraId="54EDD21C"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98,2</w:t>
            </w:r>
          </w:p>
        </w:tc>
        <w:tc>
          <w:tcPr>
            <w:tcW w:w="348" w:type="pct"/>
            <w:tcBorders>
              <w:top w:val="nil"/>
            </w:tcBorders>
            <w:shd w:val="clear" w:color="auto" w:fill="FFFFFF" w:themeFill="background1"/>
            <w:noWrap/>
            <w:vAlign w:val="bottom"/>
            <w:hideMark/>
          </w:tcPr>
          <w:p w14:paraId="42A253D7"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54,3</w:t>
            </w:r>
          </w:p>
        </w:tc>
        <w:tc>
          <w:tcPr>
            <w:tcW w:w="372" w:type="pct"/>
            <w:tcBorders>
              <w:top w:val="nil"/>
            </w:tcBorders>
            <w:shd w:val="clear" w:color="auto" w:fill="FFFFFF" w:themeFill="background1"/>
            <w:noWrap/>
            <w:vAlign w:val="bottom"/>
            <w:hideMark/>
          </w:tcPr>
          <w:p w14:paraId="68772683"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43,9</w:t>
            </w:r>
          </w:p>
        </w:tc>
        <w:tc>
          <w:tcPr>
            <w:tcW w:w="353" w:type="pct"/>
            <w:tcBorders>
              <w:top w:val="nil"/>
            </w:tcBorders>
            <w:shd w:val="clear" w:color="auto" w:fill="FFFFFF" w:themeFill="background1"/>
            <w:noWrap/>
            <w:vAlign w:val="bottom"/>
            <w:hideMark/>
          </w:tcPr>
          <w:p w14:paraId="3E0D4D67"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30,9</w:t>
            </w:r>
          </w:p>
        </w:tc>
        <w:tc>
          <w:tcPr>
            <w:tcW w:w="372" w:type="pct"/>
            <w:tcBorders>
              <w:top w:val="nil"/>
            </w:tcBorders>
            <w:shd w:val="clear" w:color="auto" w:fill="FFFFFF" w:themeFill="background1"/>
            <w:noWrap/>
            <w:vAlign w:val="bottom"/>
            <w:hideMark/>
          </w:tcPr>
          <w:p w14:paraId="1F5F2BC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204,2</w:t>
            </w:r>
          </w:p>
        </w:tc>
        <w:tc>
          <w:tcPr>
            <w:tcW w:w="372" w:type="pct"/>
            <w:tcBorders>
              <w:top w:val="nil"/>
            </w:tcBorders>
            <w:shd w:val="clear" w:color="auto" w:fill="FFFFFF" w:themeFill="background1"/>
            <w:noWrap/>
            <w:vAlign w:val="bottom"/>
            <w:hideMark/>
          </w:tcPr>
          <w:p w14:paraId="211F5673"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46,2</w:t>
            </w:r>
          </w:p>
        </w:tc>
        <w:tc>
          <w:tcPr>
            <w:tcW w:w="372" w:type="pct"/>
            <w:tcBorders>
              <w:top w:val="nil"/>
            </w:tcBorders>
            <w:shd w:val="clear" w:color="auto" w:fill="FFFFFF" w:themeFill="background1"/>
            <w:noWrap/>
            <w:vAlign w:val="bottom"/>
            <w:hideMark/>
          </w:tcPr>
          <w:p w14:paraId="4A44357F"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154,1</w:t>
            </w:r>
          </w:p>
        </w:tc>
        <w:tc>
          <w:tcPr>
            <w:tcW w:w="372" w:type="pct"/>
            <w:tcBorders>
              <w:top w:val="nil"/>
            </w:tcBorders>
            <w:shd w:val="clear" w:color="auto" w:fill="FFFFFF" w:themeFill="background1"/>
            <w:noWrap/>
            <w:vAlign w:val="bottom"/>
            <w:hideMark/>
          </w:tcPr>
          <w:p w14:paraId="35C51A0F"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0,6</w:t>
            </w:r>
          </w:p>
        </w:tc>
        <w:tc>
          <w:tcPr>
            <w:tcW w:w="372" w:type="pct"/>
            <w:tcBorders>
              <w:top w:val="nil"/>
            </w:tcBorders>
            <w:shd w:val="clear" w:color="auto" w:fill="FFFFFF" w:themeFill="background1"/>
            <w:noWrap/>
            <w:vAlign w:val="bottom"/>
            <w:hideMark/>
          </w:tcPr>
          <w:p w14:paraId="658591E1"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3,3</w:t>
            </w:r>
          </w:p>
        </w:tc>
      </w:tr>
      <w:tr w:rsidR="00BF6FDD" w:rsidRPr="00DE058F" w14:paraId="7CA8A8B4" w14:textId="77777777" w:rsidTr="00BF6FDD">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tcBorders>
            <w:shd w:val="clear" w:color="auto" w:fill="FFFFFF" w:themeFill="background1"/>
            <w:noWrap/>
            <w:vAlign w:val="bottom"/>
            <w:hideMark/>
          </w:tcPr>
          <w:p w14:paraId="69EEF25A" w14:textId="77777777" w:rsidR="00BF6FDD" w:rsidRPr="00DE058F" w:rsidRDefault="00BF6FDD" w:rsidP="00C91F83">
            <w:pPr>
              <w:tabs>
                <w:tab w:val="center" w:pos="4680"/>
                <w:tab w:val="right" w:pos="9360"/>
              </w:tabs>
              <w:rPr>
                <w:rFonts w:cstheme="minorHAnsi"/>
                <w:b w:val="0"/>
                <w:color w:val="002060"/>
                <w:sz w:val="14"/>
                <w:szCs w:val="14"/>
                <w:lang w:val="sr-Cyrl-CS"/>
              </w:rPr>
            </w:pPr>
            <w:r w:rsidRPr="00DE058F">
              <w:rPr>
                <w:rFonts w:cstheme="minorHAnsi"/>
                <w:b w:val="0"/>
                <w:color w:val="002060"/>
                <w:sz w:val="14"/>
                <w:szCs w:val="14"/>
                <w:lang w:val="sr-Cyrl-CS"/>
              </w:rPr>
              <w:t>Нераспоређени фискални простор</w:t>
            </w:r>
          </w:p>
        </w:tc>
        <w:tc>
          <w:tcPr>
            <w:tcW w:w="356" w:type="pct"/>
            <w:tcBorders>
              <w:top w:val="nil"/>
            </w:tcBorders>
            <w:shd w:val="clear" w:color="auto" w:fill="FFFFFF" w:themeFill="background1"/>
            <w:noWrap/>
            <w:vAlign w:val="bottom"/>
          </w:tcPr>
          <w:p w14:paraId="0ED455E4"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6" w:type="pct"/>
            <w:tcBorders>
              <w:top w:val="nil"/>
            </w:tcBorders>
            <w:shd w:val="clear" w:color="auto" w:fill="FFFFFF" w:themeFill="background1"/>
            <w:noWrap/>
            <w:vAlign w:val="bottom"/>
          </w:tcPr>
          <w:p w14:paraId="02EFD496"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color w:val="002060"/>
                <w:sz w:val="14"/>
                <w:szCs w:val="14"/>
                <w:lang w:val="sr-Cyrl-CS"/>
              </w:rPr>
            </w:pPr>
          </w:p>
        </w:tc>
        <w:tc>
          <w:tcPr>
            <w:tcW w:w="360" w:type="pct"/>
            <w:tcBorders>
              <w:top w:val="nil"/>
            </w:tcBorders>
            <w:shd w:val="clear" w:color="auto" w:fill="FFFFFF" w:themeFill="background1"/>
            <w:noWrap/>
            <w:vAlign w:val="bottom"/>
          </w:tcPr>
          <w:p w14:paraId="45BB4047"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vAlign w:val="bottom"/>
            <w:hideMark/>
          </w:tcPr>
          <w:p w14:paraId="3B9DD011"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3043F8B7"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53" w:type="pct"/>
            <w:tcBorders>
              <w:top w:val="nil"/>
            </w:tcBorders>
            <w:shd w:val="clear" w:color="auto" w:fill="FFFFFF" w:themeFill="background1"/>
            <w:noWrap/>
            <w:vAlign w:val="bottom"/>
            <w:hideMark/>
          </w:tcPr>
          <w:p w14:paraId="3AA94478"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0AB48E15"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vAlign w:val="bottom"/>
            <w:hideMark/>
          </w:tcPr>
          <w:p w14:paraId="4BBB70FA"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70EA0D3F"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5E0B0F57"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c>
          <w:tcPr>
            <w:tcW w:w="372" w:type="pct"/>
            <w:tcBorders>
              <w:top w:val="nil"/>
            </w:tcBorders>
            <w:shd w:val="clear" w:color="auto" w:fill="FFFFFF" w:themeFill="background1"/>
            <w:noWrap/>
            <w:vAlign w:val="bottom"/>
            <w:hideMark/>
          </w:tcPr>
          <w:p w14:paraId="69585458" w14:textId="77777777" w:rsidR="00BF6FDD" w:rsidRPr="00DE058F" w:rsidRDefault="00BF6FDD" w:rsidP="00C91F8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DE058F">
              <w:rPr>
                <w:rFonts w:cstheme="minorHAnsi"/>
                <w:color w:val="002060"/>
                <w:sz w:val="14"/>
                <w:szCs w:val="14"/>
                <w:lang w:val="sr-Cyrl-CS"/>
              </w:rPr>
              <w:t> </w:t>
            </w:r>
          </w:p>
        </w:tc>
      </w:tr>
      <w:tr w:rsidR="00BF6FDD" w:rsidRPr="00DE058F" w14:paraId="0F607E8E" w14:textId="77777777" w:rsidTr="00BF6FDD">
        <w:trPr>
          <w:trHeight w:val="171"/>
        </w:trPr>
        <w:tc>
          <w:tcPr>
            <w:cnfStyle w:val="001000000000" w:firstRow="0" w:lastRow="0" w:firstColumn="1" w:lastColumn="0" w:oddVBand="0" w:evenVBand="0" w:oddHBand="0" w:evenHBand="0" w:firstRowFirstColumn="0" w:firstRowLastColumn="0" w:lastRowFirstColumn="0" w:lastRowLastColumn="0"/>
            <w:tcW w:w="994" w:type="pct"/>
            <w:tcBorders>
              <w:top w:val="nil"/>
              <w:bottom w:val="single" w:sz="4" w:space="0" w:color="auto"/>
            </w:tcBorders>
            <w:shd w:val="clear" w:color="auto" w:fill="BFBFBF" w:themeFill="background1" w:themeFillShade="BF"/>
            <w:noWrap/>
            <w:vAlign w:val="bottom"/>
            <w:hideMark/>
          </w:tcPr>
          <w:p w14:paraId="6D5D0171" w14:textId="77777777" w:rsidR="00BF6FDD" w:rsidRPr="00DE058F" w:rsidRDefault="00BF6FDD" w:rsidP="00C91F83">
            <w:pPr>
              <w:tabs>
                <w:tab w:val="center" w:pos="4680"/>
                <w:tab w:val="right" w:pos="9360"/>
              </w:tabs>
              <w:rPr>
                <w:rFonts w:cstheme="minorHAnsi"/>
                <w:color w:val="002060"/>
                <w:sz w:val="14"/>
                <w:szCs w:val="14"/>
                <w:lang w:val="sr-Cyrl-CS"/>
              </w:rPr>
            </w:pPr>
            <w:r w:rsidRPr="00DE058F">
              <w:rPr>
                <w:rFonts w:cstheme="minorHAnsi"/>
                <w:color w:val="002060"/>
                <w:sz w:val="14"/>
                <w:szCs w:val="14"/>
                <w:lang w:val="sr-Cyrl-CS"/>
              </w:rPr>
              <w:t>Фискални резултат</w:t>
            </w:r>
          </w:p>
        </w:tc>
        <w:tc>
          <w:tcPr>
            <w:tcW w:w="356" w:type="pct"/>
            <w:tcBorders>
              <w:top w:val="nil"/>
              <w:bottom w:val="single" w:sz="4" w:space="0" w:color="auto"/>
            </w:tcBorders>
            <w:shd w:val="clear" w:color="auto" w:fill="BFBFBF" w:themeFill="background1" w:themeFillShade="BF"/>
            <w:noWrap/>
            <w:vAlign w:val="bottom"/>
            <w:hideMark/>
          </w:tcPr>
          <w:p w14:paraId="240D363A" w14:textId="77777777" w:rsidR="00BF6FDD" w:rsidRPr="00DE058F" w:rsidRDefault="00BF6FDD" w:rsidP="006C47DD">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-113,3</w:t>
            </w:r>
          </w:p>
        </w:tc>
        <w:tc>
          <w:tcPr>
            <w:tcW w:w="356" w:type="pct"/>
            <w:tcBorders>
              <w:top w:val="nil"/>
              <w:bottom w:val="single" w:sz="4" w:space="0" w:color="auto"/>
            </w:tcBorders>
            <w:shd w:val="clear" w:color="auto" w:fill="BFBFBF" w:themeFill="background1" w:themeFillShade="BF"/>
            <w:noWrap/>
            <w:vAlign w:val="bottom"/>
            <w:hideMark/>
          </w:tcPr>
          <w:p w14:paraId="29E61162" w14:textId="77777777" w:rsidR="00BF6FDD" w:rsidRPr="00DE058F" w:rsidRDefault="00BF6FDD" w:rsidP="006C47DD">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-113,3</w:t>
            </w:r>
          </w:p>
        </w:tc>
        <w:tc>
          <w:tcPr>
            <w:tcW w:w="360" w:type="pct"/>
            <w:tcBorders>
              <w:top w:val="nil"/>
              <w:bottom w:val="single" w:sz="4" w:space="0" w:color="auto"/>
            </w:tcBorders>
            <w:shd w:val="clear" w:color="auto" w:fill="BFBFBF" w:themeFill="background1" w:themeFillShade="BF"/>
            <w:noWrap/>
            <w:vAlign w:val="bottom"/>
            <w:hideMark/>
          </w:tcPr>
          <w:p w14:paraId="7A35ACEC"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0,0</w:t>
            </w:r>
          </w:p>
        </w:tc>
        <w:tc>
          <w:tcPr>
            <w:tcW w:w="348" w:type="pct"/>
            <w:tcBorders>
              <w:top w:val="nil"/>
              <w:bottom w:val="single" w:sz="4" w:space="0" w:color="auto"/>
            </w:tcBorders>
            <w:shd w:val="clear" w:color="auto" w:fill="BFBFBF" w:themeFill="background1" w:themeFillShade="BF"/>
            <w:noWrap/>
            <w:vAlign w:val="bottom"/>
            <w:hideMark/>
          </w:tcPr>
          <w:p w14:paraId="7837CF25"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0,0</w:t>
            </w:r>
          </w:p>
        </w:tc>
        <w:tc>
          <w:tcPr>
            <w:tcW w:w="372" w:type="pct"/>
            <w:tcBorders>
              <w:top w:val="nil"/>
              <w:bottom w:val="single" w:sz="4" w:space="0" w:color="auto"/>
            </w:tcBorders>
            <w:shd w:val="clear" w:color="auto" w:fill="BFBFBF" w:themeFill="background1" w:themeFillShade="BF"/>
            <w:noWrap/>
            <w:vAlign w:val="bottom"/>
            <w:hideMark/>
          </w:tcPr>
          <w:p w14:paraId="1012B08F"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0,0</w:t>
            </w:r>
          </w:p>
        </w:tc>
        <w:tc>
          <w:tcPr>
            <w:tcW w:w="353" w:type="pct"/>
            <w:tcBorders>
              <w:top w:val="nil"/>
              <w:bottom w:val="single" w:sz="4" w:space="0" w:color="auto"/>
            </w:tcBorders>
            <w:shd w:val="clear" w:color="auto" w:fill="BFBFBF" w:themeFill="background1" w:themeFillShade="BF"/>
            <w:noWrap/>
            <w:vAlign w:val="bottom"/>
            <w:hideMark/>
          </w:tcPr>
          <w:p w14:paraId="380C2A01"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0,0</w:t>
            </w:r>
          </w:p>
        </w:tc>
        <w:tc>
          <w:tcPr>
            <w:tcW w:w="372" w:type="pct"/>
            <w:tcBorders>
              <w:top w:val="nil"/>
              <w:bottom w:val="single" w:sz="4" w:space="0" w:color="auto"/>
            </w:tcBorders>
            <w:shd w:val="clear" w:color="auto" w:fill="BFBFBF" w:themeFill="background1" w:themeFillShade="BF"/>
            <w:noWrap/>
            <w:vAlign w:val="bottom"/>
            <w:hideMark/>
          </w:tcPr>
          <w:p w14:paraId="45B429DA"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0,0</w:t>
            </w:r>
          </w:p>
        </w:tc>
        <w:tc>
          <w:tcPr>
            <w:tcW w:w="372" w:type="pct"/>
            <w:tcBorders>
              <w:top w:val="nil"/>
              <w:bottom w:val="single" w:sz="4" w:space="0" w:color="auto"/>
            </w:tcBorders>
            <w:shd w:val="clear" w:color="auto" w:fill="BFBFBF" w:themeFill="background1" w:themeFillShade="BF"/>
            <w:noWrap/>
            <w:vAlign w:val="bottom"/>
            <w:hideMark/>
          </w:tcPr>
          <w:p w14:paraId="2BB66098"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0,0</w:t>
            </w:r>
          </w:p>
        </w:tc>
        <w:tc>
          <w:tcPr>
            <w:tcW w:w="372" w:type="pct"/>
            <w:tcBorders>
              <w:top w:val="nil"/>
              <w:bottom w:val="single" w:sz="4" w:space="0" w:color="auto"/>
            </w:tcBorders>
            <w:shd w:val="clear" w:color="auto" w:fill="BFBFBF" w:themeFill="background1" w:themeFillShade="BF"/>
            <w:noWrap/>
            <w:vAlign w:val="bottom"/>
            <w:hideMark/>
          </w:tcPr>
          <w:p w14:paraId="0EA47D3D"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0,0</w:t>
            </w:r>
          </w:p>
        </w:tc>
        <w:tc>
          <w:tcPr>
            <w:tcW w:w="372" w:type="pct"/>
            <w:tcBorders>
              <w:top w:val="nil"/>
              <w:bottom w:val="single" w:sz="4" w:space="0" w:color="auto"/>
            </w:tcBorders>
            <w:shd w:val="clear" w:color="auto" w:fill="BFBFBF" w:themeFill="background1" w:themeFillShade="BF"/>
            <w:noWrap/>
            <w:vAlign w:val="bottom"/>
            <w:hideMark/>
          </w:tcPr>
          <w:p w14:paraId="576554B7"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0,0</w:t>
            </w:r>
          </w:p>
        </w:tc>
        <w:tc>
          <w:tcPr>
            <w:tcW w:w="372" w:type="pct"/>
            <w:tcBorders>
              <w:top w:val="nil"/>
              <w:bottom w:val="single" w:sz="4" w:space="0" w:color="auto"/>
            </w:tcBorders>
            <w:shd w:val="clear" w:color="auto" w:fill="BFBFBF" w:themeFill="background1" w:themeFillShade="BF"/>
            <w:noWrap/>
            <w:vAlign w:val="bottom"/>
            <w:hideMark/>
          </w:tcPr>
          <w:p w14:paraId="656FDC3A" w14:textId="77777777" w:rsidR="00BF6FDD" w:rsidRPr="00DE058F" w:rsidRDefault="00BF6FDD" w:rsidP="00C91F83">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cstheme="minorHAnsi"/>
                <w:b/>
                <w:bCs/>
                <w:color w:val="002060"/>
                <w:sz w:val="14"/>
                <w:szCs w:val="14"/>
                <w:lang w:val="sr-Cyrl-CS"/>
              </w:rPr>
            </w:pPr>
            <w:r w:rsidRPr="00DE058F">
              <w:rPr>
                <w:rFonts w:cstheme="minorHAnsi"/>
                <w:b/>
                <w:bCs/>
                <w:color w:val="002060"/>
                <w:sz w:val="14"/>
                <w:szCs w:val="14"/>
                <w:lang w:val="sr-Cyrl-CS"/>
              </w:rPr>
              <w:t>0,0</w:t>
            </w:r>
          </w:p>
        </w:tc>
      </w:tr>
    </w:tbl>
    <w:p w14:paraId="03E3CD21" w14:textId="77777777" w:rsidR="00BF6FDD" w:rsidRPr="00DE058F" w:rsidRDefault="00BF6FDD" w:rsidP="00BF6FDD">
      <w:pPr>
        <w:tabs>
          <w:tab w:val="center" w:pos="4680"/>
          <w:tab w:val="right" w:pos="9360"/>
        </w:tabs>
        <w:spacing w:before="40" w:after="60" w:line="240" w:lineRule="auto"/>
        <w:ind w:right="340"/>
        <w:rPr>
          <w:rFonts w:cstheme="minorHAnsi"/>
          <w:sz w:val="16"/>
          <w:szCs w:val="16"/>
          <w:lang w:val="sr-Cyrl-CS"/>
        </w:rPr>
      </w:pPr>
      <w:r w:rsidRPr="00DE058F">
        <w:rPr>
          <w:rFonts w:cstheme="minorHAnsi"/>
          <w:sz w:val="16"/>
          <w:szCs w:val="16"/>
          <w:lang w:val="sr-Cyrl-CS"/>
        </w:rPr>
        <w:t>У табели је приказан оквирни износ прихода и расхода у 2023. години који је у већој мери заснован на статистичкој методологији рачуна јавних финансија него на рачуноводственој. Будући да током буџетског процеса може доћи до измена у висини и структури појединих категорија, ови износи нису законски обавезујући.</w:t>
      </w:r>
    </w:p>
    <w:p w14:paraId="1B0809C9" w14:textId="1D110572" w:rsidR="00C91F83" w:rsidRPr="00DE058F" w:rsidRDefault="00BF6FDD" w:rsidP="00BF6FDD">
      <w:pPr>
        <w:tabs>
          <w:tab w:val="center" w:pos="4680"/>
          <w:tab w:val="right" w:pos="9360"/>
        </w:tabs>
        <w:spacing w:before="40" w:after="60" w:line="240" w:lineRule="auto"/>
        <w:ind w:right="340"/>
        <w:rPr>
          <w:color w:val="2F5496" w:themeColor="accent1" w:themeShade="BF"/>
          <w:sz w:val="14"/>
          <w:szCs w:val="26"/>
          <w:lang w:val="sr-Cyrl-CS"/>
        </w:rPr>
      </w:pPr>
      <w:r w:rsidRPr="00DE058F">
        <w:rPr>
          <w:rFonts w:cstheme="minorHAnsi"/>
          <w:sz w:val="16"/>
          <w:szCs w:val="16"/>
          <w:lang w:val="sr-Cyrl-CS"/>
        </w:rPr>
        <w:t>* Буџет је приказан без дела сопствених прихода индиректних буџетских корисника и из њих финансираних расхода, који нису обухваћени информационим системом извршења буџета.</w:t>
      </w:r>
      <w:bookmarkEnd w:id="65"/>
      <w:bookmarkEnd w:id="66"/>
    </w:p>
    <w:sectPr w:rsidR="00C91F83" w:rsidRPr="00DE058F" w:rsidSect="00C91F83">
      <w:pgSz w:w="15840" w:h="12240" w:orient="landscape" w:code="1"/>
      <w:pgMar w:top="680" w:right="567" w:bottom="680" w:left="567" w:header="510" w:footer="397" w:gutter="0"/>
      <w:cols w:space="720"/>
      <w:docGrid w:linePitch="360"/>
      <w15:footnoteColumns w:val="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DD90BB" w14:textId="77777777" w:rsidR="00FC0A8C" w:rsidRDefault="00FC0A8C" w:rsidP="00BF7F6A">
      <w:pPr>
        <w:spacing w:after="0" w:line="240" w:lineRule="auto"/>
      </w:pPr>
      <w:r>
        <w:separator/>
      </w:r>
    </w:p>
  </w:endnote>
  <w:endnote w:type="continuationSeparator" w:id="0">
    <w:p w14:paraId="55EBDB18" w14:textId="77777777" w:rsidR="00FC0A8C" w:rsidRDefault="00FC0A8C" w:rsidP="00BF7F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unga">
    <w:panose1 w:val="00000400000000000000"/>
    <w:charset w:val="00"/>
    <w:family w:val="swiss"/>
    <w:pitch w:val="variable"/>
    <w:sig w:usb0="004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63909823"/>
      <w:docPartObj>
        <w:docPartGallery w:val="Page Numbers (Bottom of Page)"/>
        <w:docPartUnique/>
      </w:docPartObj>
    </w:sdtPr>
    <w:sdtEndPr>
      <w:rPr>
        <w:noProof/>
      </w:rPr>
    </w:sdtEndPr>
    <w:sdtContent>
      <w:p w14:paraId="1B721444" w14:textId="77777777" w:rsidR="00B56F57" w:rsidRDefault="00B56F57" w:rsidP="00D20C27">
        <w:pPr>
          <w:pStyle w:val="Footer"/>
          <w:jc w:val="right"/>
        </w:pPr>
        <w:r w:rsidRPr="00C92056">
          <w:rPr>
            <w:noProof/>
            <w:sz w:val="14"/>
            <w:lang w:val="sr-Cyrl-RS"/>
          </w:rPr>
          <w:t>ВЛАДА РЕПУБЛИКЕ СРБИЈЕ</w:t>
        </w:r>
        <w:r w:rsidRPr="00C92056">
          <w:t xml:space="preserve"> </w:t>
        </w:r>
        <w:r>
          <w:fldChar w:fldCharType="begin"/>
        </w:r>
        <w:r>
          <w:instrText xml:space="preserve"> PAGE   \* MERGEFORMAT </w:instrText>
        </w:r>
        <w:r>
          <w:fldChar w:fldCharType="separate"/>
        </w:r>
        <w:r>
          <w:rPr>
            <w:noProof/>
          </w:rPr>
          <w:t>14</w:t>
        </w:r>
        <w:r>
          <w:rPr>
            <w:noProof/>
          </w:rPr>
          <w:fldChar w:fldCharType="end"/>
        </w:r>
      </w:p>
    </w:sdtContent>
  </w:sdt>
  <w:p w14:paraId="02803FC9" w14:textId="77777777" w:rsidR="00B56F57" w:rsidRDefault="00B56F5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4371492"/>
      <w:docPartObj>
        <w:docPartGallery w:val="Page Numbers (Bottom of Page)"/>
        <w:docPartUnique/>
      </w:docPartObj>
    </w:sdtPr>
    <w:sdtEndPr>
      <w:rPr>
        <w:noProof/>
      </w:rPr>
    </w:sdtEndPr>
    <w:sdtContent>
      <w:p w14:paraId="197C62E6" w14:textId="77777777" w:rsidR="00B56F57" w:rsidRDefault="00B56F57" w:rsidP="00D20C27">
        <w:pPr>
          <w:pStyle w:val="Footer"/>
          <w:jc w:val="right"/>
        </w:pPr>
        <w:r>
          <w:fldChar w:fldCharType="begin"/>
        </w:r>
        <w:r>
          <w:instrText xml:space="preserve"> PAGE   \* MERGEFORMAT </w:instrText>
        </w:r>
        <w:r>
          <w:fldChar w:fldCharType="separate"/>
        </w:r>
        <w:r>
          <w:rPr>
            <w:noProof/>
          </w:rPr>
          <w:t>16</w:t>
        </w:r>
        <w:r>
          <w:rPr>
            <w:noProof/>
          </w:rPr>
          <w:fldChar w:fldCharType="end"/>
        </w:r>
      </w:p>
    </w:sdtContent>
  </w:sdt>
  <w:p w14:paraId="53EADA89" w14:textId="77777777" w:rsidR="00B56F57" w:rsidRDefault="00B56F57">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92726492"/>
      <w:docPartObj>
        <w:docPartGallery w:val="Page Numbers (Bottom of Page)"/>
        <w:docPartUnique/>
      </w:docPartObj>
    </w:sdtPr>
    <w:sdtEndPr>
      <w:rPr>
        <w:noProof/>
      </w:rPr>
    </w:sdtEndPr>
    <w:sdtContent>
      <w:p w14:paraId="5688DEC6" w14:textId="1A715F8F" w:rsidR="00B56F57" w:rsidRDefault="00B56F57">
        <w:pPr>
          <w:pStyle w:val="Footer"/>
        </w:pPr>
        <w:r>
          <w:fldChar w:fldCharType="begin"/>
        </w:r>
        <w:r>
          <w:instrText xml:space="preserve"> PAGE   \* MERGEFORMAT </w:instrText>
        </w:r>
        <w:r>
          <w:fldChar w:fldCharType="separate"/>
        </w:r>
        <w:r>
          <w:rPr>
            <w:noProof/>
          </w:rPr>
          <w:t>17</w:t>
        </w:r>
        <w:r>
          <w:rPr>
            <w:noProof/>
          </w:rPr>
          <w:fldChar w:fldCharType="end"/>
        </w:r>
      </w:p>
    </w:sdtContent>
  </w:sdt>
  <w:p w14:paraId="5BD73EF3" w14:textId="77777777" w:rsidR="00B56F57" w:rsidRDefault="00B56F57">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334181"/>
      <w:docPartObj>
        <w:docPartGallery w:val="Page Numbers (Bottom of Page)"/>
        <w:docPartUnique/>
      </w:docPartObj>
    </w:sdtPr>
    <w:sdtEndPr>
      <w:rPr>
        <w:noProof/>
      </w:rPr>
    </w:sdtEndPr>
    <w:sdtContent>
      <w:p w14:paraId="01237854" w14:textId="1F72943C" w:rsidR="00B56F57" w:rsidRDefault="00B56F57">
        <w:pPr>
          <w:pStyle w:val="Footer"/>
        </w:pPr>
        <w:r>
          <w:fldChar w:fldCharType="begin"/>
        </w:r>
        <w:r>
          <w:instrText xml:space="preserve"> PAGE   \* MERGEFORMAT </w:instrText>
        </w:r>
        <w:r>
          <w:fldChar w:fldCharType="separate"/>
        </w:r>
        <w:r w:rsidR="00061EA4">
          <w:rPr>
            <w:noProof/>
          </w:rPr>
          <w:t>18</w:t>
        </w:r>
        <w:r>
          <w:rPr>
            <w:noProof/>
          </w:rPr>
          <w:fldChar w:fldCharType="end"/>
        </w:r>
      </w:p>
    </w:sdtContent>
  </w:sdt>
  <w:p w14:paraId="48CBD63A" w14:textId="77777777" w:rsidR="00B56F57" w:rsidRPr="00287EFB" w:rsidRDefault="00B56F57" w:rsidP="00C130D2">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96429346"/>
      <w:docPartObj>
        <w:docPartGallery w:val="Page Numbers (Bottom of Page)"/>
        <w:docPartUnique/>
      </w:docPartObj>
    </w:sdtPr>
    <w:sdtEndPr>
      <w:rPr>
        <w:noProof/>
      </w:rPr>
    </w:sdtEndPr>
    <w:sdtContent>
      <w:p w14:paraId="770A2BC8" w14:textId="38EA7B9B" w:rsidR="00B56F57" w:rsidRDefault="00B56F57">
        <w:pPr>
          <w:pStyle w:val="Footer"/>
        </w:pPr>
        <w:r>
          <w:fldChar w:fldCharType="begin"/>
        </w:r>
        <w:r>
          <w:instrText xml:space="preserve"> PAGE   \* MERGEFORMAT </w:instrText>
        </w:r>
        <w:r>
          <w:fldChar w:fldCharType="separate"/>
        </w:r>
        <w:r w:rsidR="00061EA4">
          <w:rPr>
            <w:noProof/>
          </w:rPr>
          <w:t>24</w:t>
        </w:r>
        <w:r>
          <w:rPr>
            <w:noProof/>
          </w:rPr>
          <w:fldChar w:fldCharType="end"/>
        </w:r>
      </w:p>
    </w:sdtContent>
  </w:sdt>
  <w:p w14:paraId="5C3E8A85" w14:textId="77777777" w:rsidR="00B56F57" w:rsidRDefault="00B56F57">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8862087"/>
      <w:docPartObj>
        <w:docPartGallery w:val="Page Numbers (Bottom of Page)"/>
        <w:docPartUnique/>
      </w:docPartObj>
    </w:sdtPr>
    <w:sdtEndPr>
      <w:rPr>
        <w:noProof/>
      </w:rPr>
    </w:sdtEndPr>
    <w:sdtContent>
      <w:p w14:paraId="2E69E803" w14:textId="77777777" w:rsidR="00B56F57" w:rsidRPr="001B7E15" w:rsidRDefault="00B56F57" w:rsidP="00C130D2">
        <w:pPr>
          <w:pStyle w:val="Footer"/>
          <w:jc w:val="right"/>
        </w:pPr>
        <w:r w:rsidRPr="001B7E15">
          <w:fldChar w:fldCharType="begin"/>
        </w:r>
        <w:r w:rsidRPr="001B7E15">
          <w:instrText xml:space="preserve"> PAGE   \* MERGEFORMAT </w:instrText>
        </w:r>
        <w:r w:rsidRPr="001B7E15">
          <w:fldChar w:fldCharType="separate"/>
        </w:r>
        <w:r>
          <w:rPr>
            <w:noProof/>
          </w:rPr>
          <w:t>2</w:t>
        </w:r>
        <w:r w:rsidRPr="001B7E15">
          <w:rPr>
            <w:noProof/>
          </w:rPr>
          <w:fldChar w:fldCharType="end"/>
        </w:r>
      </w:p>
    </w:sdtContent>
  </w:sdt>
  <w:p w14:paraId="2FF68E7D" w14:textId="77777777" w:rsidR="00B56F57" w:rsidRPr="00231623" w:rsidRDefault="00B56F57" w:rsidP="00231623">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4654684"/>
      <w:docPartObj>
        <w:docPartGallery w:val="Page Numbers (Bottom of Page)"/>
        <w:docPartUnique/>
      </w:docPartObj>
    </w:sdtPr>
    <w:sdtEndPr>
      <w:rPr>
        <w:noProof/>
      </w:rPr>
    </w:sdtEndPr>
    <w:sdtContent>
      <w:p w14:paraId="424D9F25" w14:textId="52731ED2" w:rsidR="00B56F57" w:rsidRPr="001B7E15" w:rsidRDefault="00B56F57" w:rsidP="00C130D2">
        <w:pPr>
          <w:pStyle w:val="Footer"/>
        </w:pPr>
        <w:r w:rsidRPr="001B7E15">
          <w:fldChar w:fldCharType="begin"/>
        </w:r>
        <w:r w:rsidRPr="001B7E15">
          <w:instrText xml:space="preserve"> PAGE   \* MERGEFORMAT </w:instrText>
        </w:r>
        <w:r w:rsidRPr="001B7E15">
          <w:fldChar w:fldCharType="separate"/>
        </w:r>
        <w:r w:rsidR="00061EA4">
          <w:rPr>
            <w:noProof/>
          </w:rPr>
          <w:t>28</w:t>
        </w:r>
        <w:r w:rsidRPr="001B7E15">
          <w:rPr>
            <w:noProof/>
          </w:rPr>
          <w:fldChar w:fldCharType="end"/>
        </w:r>
      </w:p>
    </w:sdtContent>
  </w:sdt>
  <w:p w14:paraId="36DF22D0" w14:textId="77777777" w:rsidR="00B56F57" w:rsidRPr="00725FF8" w:rsidRDefault="00B56F57" w:rsidP="00C130D2">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45130734"/>
      <w:docPartObj>
        <w:docPartGallery w:val="Page Numbers (Bottom of Page)"/>
        <w:docPartUnique/>
      </w:docPartObj>
    </w:sdtPr>
    <w:sdtEndPr>
      <w:rPr>
        <w:noProof/>
      </w:rPr>
    </w:sdtEndPr>
    <w:sdtContent>
      <w:p w14:paraId="57158FF9" w14:textId="77777777" w:rsidR="00B56F57" w:rsidRPr="001B7E15" w:rsidRDefault="00B56F57" w:rsidP="00C130D2">
        <w:pPr>
          <w:pStyle w:val="Footer"/>
          <w:jc w:val="right"/>
        </w:pPr>
        <w:r w:rsidRPr="001B7E15">
          <w:fldChar w:fldCharType="begin"/>
        </w:r>
        <w:r w:rsidRPr="001B7E15">
          <w:instrText xml:space="preserve"> PAGE   \* MERGEFORMAT </w:instrText>
        </w:r>
        <w:r w:rsidRPr="001B7E15">
          <w:fldChar w:fldCharType="separate"/>
        </w:r>
        <w:r>
          <w:rPr>
            <w:noProof/>
          </w:rPr>
          <w:t>36</w:t>
        </w:r>
        <w:r w:rsidRPr="001B7E15">
          <w:rPr>
            <w:noProof/>
          </w:rPr>
          <w:fldChar w:fldCharType="end"/>
        </w:r>
      </w:p>
    </w:sdtContent>
  </w:sdt>
  <w:p w14:paraId="714134E5" w14:textId="77777777" w:rsidR="00B56F57" w:rsidRPr="00231623" w:rsidRDefault="00B56F57" w:rsidP="00231623">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90930438"/>
      <w:docPartObj>
        <w:docPartGallery w:val="Page Numbers (Bottom of Page)"/>
        <w:docPartUnique/>
      </w:docPartObj>
    </w:sdtPr>
    <w:sdtEndPr>
      <w:rPr>
        <w:noProof/>
      </w:rPr>
    </w:sdtEndPr>
    <w:sdtContent>
      <w:p w14:paraId="5CEDF52E" w14:textId="2C6D12FC" w:rsidR="00B56F57" w:rsidRPr="001B7E15" w:rsidRDefault="00B56F57" w:rsidP="00C130D2">
        <w:pPr>
          <w:pStyle w:val="Footer"/>
        </w:pPr>
        <w:r w:rsidRPr="001B7E15">
          <w:fldChar w:fldCharType="begin"/>
        </w:r>
        <w:r w:rsidRPr="001B7E15">
          <w:instrText xml:space="preserve"> PAGE   \* MERGEFORMAT </w:instrText>
        </w:r>
        <w:r w:rsidRPr="001B7E15">
          <w:fldChar w:fldCharType="separate"/>
        </w:r>
        <w:r w:rsidR="00061EA4">
          <w:rPr>
            <w:noProof/>
          </w:rPr>
          <w:t>31</w:t>
        </w:r>
        <w:r w:rsidRPr="001B7E15">
          <w:rPr>
            <w:noProof/>
          </w:rPr>
          <w:fldChar w:fldCharType="end"/>
        </w:r>
      </w:p>
    </w:sdtContent>
  </w:sdt>
  <w:p w14:paraId="2FE3BDE7" w14:textId="77777777" w:rsidR="00B56F57" w:rsidRPr="00725FF8" w:rsidRDefault="00B56F57" w:rsidP="00C130D2">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51109205"/>
      <w:docPartObj>
        <w:docPartGallery w:val="Page Numbers (Bottom of Page)"/>
        <w:docPartUnique/>
      </w:docPartObj>
    </w:sdtPr>
    <w:sdtEndPr>
      <w:rPr>
        <w:noProof/>
      </w:rPr>
    </w:sdtEndPr>
    <w:sdtContent>
      <w:p w14:paraId="542F5964" w14:textId="77777777" w:rsidR="00B56F57" w:rsidRPr="001B7E15" w:rsidRDefault="00B56F57" w:rsidP="00C130D2">
        <w:pPr>
          <w:pStyle w:val="Footer"/>
          <w:jc w:val="right"/>
        </w:pPr>
        <w:r w:rsidRPr="001B7E15">
          <w:fldChar w:fldCharType="begin"/>
        </w:r>
        <w:r w:rsidRPr="001B7E15">
          <w:instrText xml:space="preserve"> PAGE   \* MERGEFORMAT </w:instrText>
        </w:r>
        <w:r w:rsidRPr="001B7E15">
          <w:fldChar w:fldCharType="separate"/>
        </w:r>
        <w:r>
          <w:rPr>
            <w:noProof/>
          </w:rPr>
          <w:t>10</w:t>
        </w:r>
        <w:r w:rsidRPr="001B7E15">
          <w:rPr>
            <w:noProof/>
          </w:rPr>
          <w:fldChar w:fldCharType="end"/>
        </w:r>
      </w:p>
    </w:sdtContent>
  </w:sdt>
  <w:p w14:paraId="37853FA0" w14:textId="77777777" w:rsidR="00B56F57" w:rsidRPr="00231623" w:rsidRDefault="00B56F57" w:rsidP="00231623">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05561542"/>
      <w:docPartObj>
        <w:docPartGallery w:val="Page Numbers (Bottom of Page)"/>
        <w:docPartUnique/>
      </w:docPartObj>
    </w:sdtPr>
    <w:sdtEndPr>
      <w:rPr>
        <w:noProof/>
      </w:rPr>
    </w:sdtEndPr>
    <w:sdtContent>
      <w:p w14:paraId="636E1CC9" w14:textId="1D13BA24" w:rsidR="00B56F57" w:rsidRPr="001B7E15" w:rsidRDefault="00B56F57" w:rsidP="00C130D2">
        <w:pPr>
          <w:pStyle w:val="Footer"/>
        </w:pPr>
        <w:r w:rsidRPr="001B7E15">
          <w:fldChar w:fldCharType="begin"/>
        </w:r>
        <w:r w:rsidRPr="001B7E15">
          <w:instrText xml:space="preserve"> PAGE   \* MERGEFORMAT </w:instrText>
        </w:r>
        <w:r w:rsidRPr="001B7E15">
          <w:fldChar w:fldCharType="separate"/>
        </w:r>
        <w:r w:rsidR="00061EA4">
          <w:rPr>
            <w:noProof/>
          </w:rPr>
          <w:t>34</w:t>
        </w:r>
        <w:r w:rsidRPr="001B7E15">
          <w:rPr>
            <w:noProof/>
          </w:rPr>
          <w:fldChar w:fldCharType="end"/>
        </w:r>
      </w:p>
    </w:sdtContent>
  </w:sdt>
  <w:p w14:paraId="125332CC" w14:textId="77777777" w:rsidR="00B56F57" w:rsidRPr="00725FF8" w:rsidRDefault="00B56F57" w:rsidP="00C130D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7573982"/>
      <w:docPartObj>
        <w:docPartGallery w:val="Page Numbers (Bottom of Page)"/>
        <w:docPartUnique/>
      </w:docPartObj>
    </w:sdtPr>
    <w:sdtEndPr>
      <w:rPr>
        <w:noProof/>
      </w:rPr>
    </w:sdtEndPr>
    <w:sdtContent>
      <w:p w14:paraId="7B145A8D" w14:textId="77777777" w:rsidR="00B56F57" w:rsidRDefault="00B56F57">
        <w:pPr>
          <w:pStyle w:val="Footer"/>
        </w:pPr>
        <w:r>
          <w:fldChar w:fldCharType="begin"/>
        </w:r>
        <w:r>
          <w:instrText xml:space="preserve"> PAGE   \* MERGEFORMAT </w:instrText>
        </w:r>
        <w:r>
          <w:fldChar w:fldCharType="separate"/>
        </w:r>
        <w:r>
          <w:rPr>
            <w:noProof/>
          </w:rPr>
          <w:t>1</w:t>
        </w:r>
        <w:r>
          <w:rPr>
            <w:noProof/>
          </w:rPr>
          <w:fldChar w:fldCharType="end"/>
        </w:r>
        <w:r>
          <w:rPr>
            <w:noProof/>
          </w:rPr>
          <w:t xml:space="preserve"> </w:t>
        </w:r>
        <w:r w:rsidRPr="00C92056">
          <w:rPr>
            <w:noProof/>
            <w:sz w:val="14"/>
            <w:lang w:val="sr-Cyrl-RS"/>
          </w:rPr>
          <w:t>ВЛАДА РЕПУБЛИКЕ СРБИЈЕ</w:t>
        </w:r>
      </w:p>
    </w:sdtContent>
  </w:sdt>
  <w:p w14:paraId="56E2BB5D" w14:textId="77777777" w:rsidR="00B56F57" w:rsidRDefault="00B56F57">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0008135"/>
      <w:docPartObj>
        <w:docPartGallery w:val="Page Numbers (Bottom of Page)"/>
        <w:docPartUnique/>
      </w:docPartObj>
    </w:sdtPr>
    <w:sdtEndPr>
      <w:rPr>
        <w:noProof/>
      </w:rPr>
    </w:sdtEndPr>
    <w:sdtContent>
      <w:p w14:paraId="3ECD0824" w14:textId="77777777" w:rsidR="00B56F57" w:rsidRPr="001B7E15" w:rsidRDefault="00B56F57" w:rsidP="00C130D2">
        <w:pPr>
          <w:pStyle w:val="Footer"/>
          <w:jc w:val="right"/>
        </w:pPr>
        <w:r w:rsidRPr="001B7E15">
          <w:fldChar w:fldCharType="begin"/>
        </w:r>
        <w:r w:rsidRPr="001B7E15">
          <w:instrText xml:space="preserve"> PAGE   \* MERGEFORMAT </w:instrText>
        </w:r>
        <w:r w:rsidRPr="001B7E15">
          <w:fldChar w:fldCharType="separate"/>
        </w:r>
        <w:r>
          <w:rPr>
            <w:noProof/>
          </w:rPr>
          <w:t>8</w:t>
        </w:r>
        <w:r w:rsidRPr="001B7E15">
          <w:rPr>
            <w:noProof/>
          </w:rPr>
          <w:fldChar w:fldCharType="end"/>
        </w:r>
      </w:p>
    </w:sdtContent>
  </w:sdt>
  <w:p w14:paraId="5ABE1F59" w14:textId="77777777" w:rsidR="00B56F57" w:rsidRPr="00231623" w:rsidRDefault="00B56F57" w:rsidP="00231623">
    <w:pPr>
      <w:pStyle w:val="Footer"/>
    </w:pPr>
  </w:p>
  <w:p w14:paraId="4AC5841B" w14:textId="77777777" w:rsidR="00B56F57" w:rsidRDefault="00B56F57"/>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73308284"/>
      <w:docPartObj>
        <w:docPartGallery w:val="Page Numbers (Bottom of Page)"/>
        <w:docPartUnique/>
      </w:docPartObj>
    </w:sdtPr>
    <w:sdtEndPr>
      <w:rPr>
        <w:noProof/>
      </w:rPr>
    </w:sdtEndPr>
    <w:sdtContent>
      <w:p w14:paraId="74E0F1B5" w14:textId="77777777" w:rsidR="00B56F57" w:rsidRPr="001B7E15" w:rsidRDefault="00B56F57" w:rsidP="00C130D2">
        <w:pPr>
          <w:pStyle w:val="Footer"/>
        </w:pPr>
        <w:r w:rsidRPr="001B7E15">
          <w:fldChar w:fldCharType="begin"/>
        </w:r>
        <w:r w:rsidRPr="001B7E15">
          <w:instrText xml:space="preserve"> PAGE   \* MERGEFORMAT </w:instrText>
        </w:r>
        <w:r w:rsidRPr="001B7E15">
          <w:fldChar w:fldCharType="separate"/>
        </w:r>
        <w:r>
          <w:rPr>
            <w:noProof/>
          </w:rPr>
          <w:t>6</w:t>
        </w:r>
        <w:r w:rsidRPr="001B7E15">
          <w:rPr>
            <w:noProof/>
          </w:rPr>
          <w:fldChar w:fldCharType="end"/>
        </w:r>
      </w:p>
    </w:sdtContent>
  </w:sdt>
  <w:p w14:paraId="74A5A948" w14:textId="77777777" w:rsidR="00B56F57" w:rsidRPr="00725FF8" w:rsidRDefault="00B56F57" w:rsidP="00C130D2">
    <w:pPr>
      <w:pStyle w:val="Footer"/>
    </w:pPr>
  </w:p>
  <w:p w14:paraId="125C2B2A" w14:textId="77777777" w:rsidR="00B56F57" w:rsidRDefault="00B56F57"/>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9194339"/>
      <w:docPartObj>
        <w:docPartGallery w:val="Page Numbers (Bottom of Page)"/>
        <w:docPartUnique/>
      </w:docPartObj>
    </w:sdtPr>
    <w:sdtEndPr>
      <w:rPr>
        <w:noProof/>
      </w:rPr>
    </w:sdtEndPr>
    <w:sdtContent>
      <w:p w14:paraId="212F5D64" w14:textId="77777777" w:rsidR="00B56F57" w:rsidRPr="001B7E15" w:rsidRDefault="00B56F57" w:rsidP="00C130D2">
        <w:pPr>
          <w:pStyle w:val="Footer"/>
          <w:jc w:val="right"/>
        </w:pPr>
        <w:r w:rsidRPr="001B7E15">
          <w:fldChar w:fldCharType="begin"/>
        </w:r>
        <w:r w:rsidRPr="001B7E15">
          <w:instrText xml:space="preserve"> PAGE   \* MERGEFORMAT </w:instrText>
        </w:r>
        <w:r w:rsidRPr="001B7E15">
          <w:fldChar w:fldCharType="separate"/>
        </w:r>
        <w:r>
          <w:rPr>
            <w:noProof/>
          </w:rPr>
          <w:t>10</w:t>
        </w:r>
        <w:r w:rsidRPr="001B7E15">
          <w:rPr>
            <w:noProof/>
          </w:rPr>
          <w:fldChar w:fldCharType="end"/>
        </w:r>
      </w:p>
    </w:sdtContent>
  </w:sdt>
  <w:p w14:paraId="311E8CE3" w14:textId="77777777" w:rsidR="00B56F57" w:rsidRPr="00231623" w:rsidRDefault="00B56F57" w:rsidP="00C130D2">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34222282"/>
      <w:docPartObj>
        <w:docPartGallery w:val="Page Numbers (Bottom of Page)"/>
        <w:docPartUnique/>
      </w:docPartObj>
    </w:sdtPr>
    <w:sdtEndPr>
      <w:rPr>
        <w:noProof/>
      </w:rPr>
    </w:sdtEndPr>
    <w:sdtContent>
      <w:p w14:paraId="7F5A574F" w14:textId="77777777" w:rsidR="00B56F57" w:rsidRDefault="00B56F57" w:rsidP="00C130D2">
        <w:pPr>
          <w:pStyle w:val="Footer"/>
          <w:rPr>
            <w:noProof/>
          </w:rPr>
        </w:pPr>
        <w:r w:rsidRPr="001B7E15">
          <w:fldChar w:fldCharType="begin"/>
        </w:r>
        <w:r w:rsidRPr="001B7E15">
          <w:instrText xml:space="preserve"> PAGE   \* MERGEFORMAT </w:instrText>
        </w:r>
        <w:r w:rsidRPr="001B7E15">
          <w:fldChar w:fldCharType="separate"/>
        </w:r>
        <w:r>
          <w:rPr>
            <w:noProof/>
          </w:rPr>
          <w:t>6</w:t>
        </w:r>
        <w:r w:rsidRPr="001B7E15">
          <w:rPr>
            <w:noProof/>
          </w:rPr>
          <w:fldChar w:fldCharType="end"/>
        </w:r>
      </w:p>
    </w:sdtContent>
  </w:sdt>
  <w:p w14:paraId="47D47E0A" w14:textId="77777777" w:rsidR="00B56F57" w:rsidRPr="00956C60" w:rsidRDefault="00B56F57" w:rsidP="00956C60">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494228"/>
      <w:docPartObj>
        <w:docPartGallery w:val="Page Numbers (Bottom of Page)"/>
        <w:docPartUnique/>
      </w:docPartObj>
    </w:sdtPr>
    <w:sdtEndPr>
      <w:rPr>
        <w:noProof/>
      </w:rPr>
    </w:sdtEndPr>
    <w:sdtContent>
      <w:p w14:paraId="2389F256" w14:textId="77777777" w:rsidR="00B56F57" w:rsidRPr="001B7E15" w:rsidRDefault="00B56F57" w:rsidP="00C130D2">
        <w:pPr>
          <w:pStyle w:val="Footer"/>
          <w:jc w:val="right"/>
        </w:pPr>
        <w:r w:rsidRPr="001B7E15">
          <w:fldChar w:fldCharType="begin"/>
        </w:r>
        <w:r w:rsidRPr="001B7E15">
          <w:instrText xml:space="preserve"> PAGE   \* MERGEFORMAT </w:instrText>
        </w:r>
        <w:r w:rsidRPr="001B7E15">
          <w:fldChar w:fldCharType="separate"/>
        </w:r>
        <w:r>
          <w:rPr>
            <w:noProof/>
          </w:rPr>
          <w:t>50</w:t>
        </w:r>
        <w:r w:rsidRPr="001B7E15">
          <w:rPr>
            <w:noProof/>
          </w:rPr>
          <w:fldChar w:fldCharType="end"/>
        </w:r>
      </w:p>
    </w:sdtContent>
  </w:sdt>
  <w:p w14:paraId="7E228343" w14:textId="77777777" w:rsidR="00B56F57" w:rsidRPr="00231623" w:rsidRDefault="00B56F57" w:rsidP="00C130D2">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60871956"/>
      <w:docPartObj>
        <w:docPartGallery w:val="Page Numbers (Bottom of Page)"/>
        <w:docPartUnique/>
      </w:docPartObj>
    </w:sdtPr>
    <w:sdtEndPr>
      <w:rPr>
        <w:noProof/>
      </w:rPr>
    </w:sdtEndPr>
    <w:sdtContent>
      <w:p w14:paraId="1E9585A1" w14:textId="5506917E" w:rsidR="00B56F57" w:rsidRDefault="00B56F57" w:rsidP="00C130D2">
        <w:pPr>
          <w:pStyle w:val="Footer"/>
          <w:rPr>
            <w:noProof/>
          </w:rPr>
        </w:pPr>
        <w:r w:rsidRPr="001B7E15">
          <w:fldChar w:fldCharType="begin"/>
        </w:r>
        <w:r w:rsidRPr="001B7E15">
          <w:instrText xml:space="preserve"> PAGE   \* MERGEFORMAT </w:instrText>
        </w:r>
        <w:r w:rsidRPr="001B7E15">
          <w:fldChar w:fldCharType="separate"/>
        </w:r>
        <w:r w:rsidR="00061EA4">
          <w:rPr>
            <w:noProof/>
          </w:rPr>
          <w:t>38</w:t>
        </w:r>
        <w:r w:rsidRPr="001B7E15">
          <w:rPr>
            <w:noProof/>
          </w:rPr>
          <w:fldChar w:fldCharType="end"/>
        </w:r>
      </w:p>
    </w:sdtContent>
  </w:sdt>
  <w:p w14:paraId="69342616" w14:textId="77777777" w:rsidR="00B56F57" w:rsidRPr="00956C60" w:rsidRDefault="00B56F57" w:rsidP="00956C60">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86342217"/>
      <w:docPartObj>
        <w:docPartGallery w:val="Page Numbers (Bottom of Page)"/>
        <w:docPartUnique/>
      </w:docPartObj>
    </w:sdtPr>
    <w:sdtEndPr>
      <w:rPr>
        <w:noProof/>
      </w:rPr>
    </w:sdtEndPr>
    <w:sdtContent>
      <w:p w14:paraId="29820748" w14:textId="77777777" w:rsidR="00B56F57" w:rsidRPr="001B7E15" w:rsidRDefault="00B56F57" w:rsidP="00C130D2">
        <w:pPr>
          <w:pStyle w:val="Footer"/>
          <w:jc w:val="right"/>
        </w:pPr>
        <w:r w:rsidRPr="001B7E15">
          <w:fldChar w:fldCharType="begin"/>
        </w:r>
        <w:r w:rsidRPr="001B7E15">
          <w:instrText xml:space="preserve"> PAGE   \* MERGEFORMAT </w:instrText>
        </w:r>
        <w:r w:rsidRPr="001B7E15">
          <w:fldChar w:fldCharType="separate"/>
        </w:r>
        <w:r>
          <w:rPr>
            <w:noProof/>
          </w:rPr>
          <w:t>50</w:t>
        </w:r>
        <w:r w:rsidRPr="001B7E15">
          <w:rPr>
            <w:noProof/>
          </w:rPr>
          <w:fldChar w:fldCharType="end"/>
        </w:r>
      </w:p>
    </w:sdtContent>
  </w:sdt>
  <w:p w14:paraId="7C5E1405" w14:textId="77777777" w:rsidR="00B56F57" w:rsidRPr="00231623" w:rsidRDefault="00B56F57" w:rsidP="00C130D2">
    <w:pPr>
      <w:pStyle w:val="Foote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77683907"/>
      <w:docPartObj>
        <w:docPartGallery w:val="Page Numbers (Bottom of Page)"/>
        <w:docPartUnique/>
      </w:docPartObj>
    </w:sdtPr>
    <w:sdtEndPr>
      <w:rPr>
        <w:noProof/>
      </w:rPr>
    </w:sdtEndPr>
    <w:sdtContent>
      <w:p w14:paraId="7CB5CD99" w14:textId="600FC430" w:rsidR="00B56F57" w:rsidRDefault="00B56F57" w:rsidP="00C130D2">
        <w:pPr>
          <w:pStyle w:val="Footer"/>
          <w:rPr>
            <w:noProof/>
          </w:rPr>
        </w:pPr>
        <w:r w:rsidRPr="001B7E15">
          <w:fldChar w:fldCharType="begin"/>
        </w:r>
        <w:r w:rsidRPr="001B7E15">
          <w:instrText xml:space="preserve"> PAGE   \* MERGEFORMAT </w:instrText>
        </w:r>
        <w:r w:rsidRPr="001B7E15">
          <w:fldChar w:fldCharType="separate"/>
        </w:r>
        <w:r>
          <w:rPr>
            <w:noProof/>
          </w:rPr>
          <w:t>38</w:t>
        </w:r>
        <w:r w:rsidRPr="001B7E15">
          <w:rPr>
            <w:noProof/>
          </w:rPr>
          <w:fldChar w:fldCharType="end"/>
        </w:r>
      </w:p>
    </w:sdtContent>
  </w:sdt>
  <w:p w14:paraId="659D5553" w14:textId="77777777" w:rsidR="00B56F57" w:rsidRPr="00956C60" w:rsidRDefault="00B56F57" w:rsidP="00956C60">
    <w:pPr>
      <w:pStyle w:val="Foote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85015620"/>
      <w:docPartObj>
        <w:docPartGallery w:val="Page Numbers (Bottom of Page)"/>
        <w:docPartUnique/>
      </w:docPartObj>
    </w:sdtPr>
    <w:sdtEndPr>
      <w:rPr>
        <w:noProof/>
      </w:rPr>
    </w:sdtEndPr>
    <w:sdtContent>
      <w:p w14:paraId="3771337F" w14:textId="77777777" w:rsidR="00B56F57" w:rsidRPr="001B7E15" w:rsidRDefault="00B56F57" w:rsidP="00C130D2">
        <w:pPr>
          <w:pStyle w:val="Footer"/>
          <w:jc w:val="right"/>
        </w:pPr>
        <w:r w:rsidRPr="001B7E15">
          <w:fldChar w:fldCharType="begin"/>
        </w:r>
        <w:r w:rsidRPr="001B7E15">
          <w:instrText xml:space="preserve"> PAGE   \* MERGEFORMAT </w:instrText>
        </w:r>
        <w:r w:rsidRPr="001B7E15">
          <w:fldChar w:fldCharType="separate"/>
        </w:r>
        <w:r>
          <w:rPr>
            <w:noProof/>
          </w:rPr>
          <w:t>4</w:t>
        </w:r>
        <w:r w:rsidRPr="001B7E15">
          <w:rPr>
            <w:noProof/>
          </w:rPr>
          <w:fldChar w:fldCharType="end"/>
        </w:r>
      </w:p>
    </w:sdtContent>
  </w:sdt>
  <w:p w14:paraId="0CD16FF3" w14:textId="77777777" w:rsidR="00B56F57" w:rsidRPr="00231623" w:rsidRDefault="00B56F57" w:rsidP="00C130D2">
    <w:pPr>
      <w:pStyle w:val="Footer"/>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47412886"/>
      <w:docPartObj>
        <w:docPartGallery w:val="Page Numbers (Bottom of Page)"/>
        <w:docPartUnique/>
      </w:docPartObj>
    </w:sdtPr>
    <w:sdtEndPr>
      <w:rPr>
        <w:noProof/>
      </w:rPr>
    </w:sdtEndPr>
    <w:sdtContent>
      <w:p w14:paraId="44DB02FF" w14:textId="4CBA683F" w:rsidR="00B56F57" w:rsidRDefault="00B56F57" w:rsidP="00C130D2">
        <w:pPr>
          <w:pStyle w:val="Footer"/>
          <w:rPr>
            <w:noProof/>
          </w:rPr>
        </w:pPr>
        <w:r w:rsidRPr="001B7E15">
          <w:fldChar w:fldCharType="begin"/>
        </w:r>
        <w:r w:rsidRPr="001B7E15">
          <w:instrText xml:space="preserve"> PAGE   \* MERGEFORMAT </w:instrText>
        </w:r>
        <w:r w:rsidRPr="001B7E15">
          <w:fldChar w:fldCharType="separate"/>
        </w:r>
        <w:r w:rsidR="00061EA4">
          <w:rPr>
            <w:noProof/>
          </w:rPr>
          <w:t>43</w:t>
        </w:r>
        <w:r w:rsidRPr="001B7E15">
          <w:rPr>
            <w:noProof/>
          </w:rPr>
          <w:fldChar w:fldCharType="end"/>
        </w:r>
      </w:p>
    </w:sdtContent>
  </w:sdt>
  <w:p w14:paraId="210EBB58" w14:textId="77777777" w:rsidR="00B56F57" w:rsidRPr="00956C60" w:rsidRDefault="00B56F57" w:rsidP="00956C6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E1BD32" w14:textId="58C93EB6" w:rsidR="00B56F57" w:rsidRDefault="00B56F57">
    <w:pPr>
      <w:pStyle w:val="Footer"/>
    </w:pPr>
  </w:p>
  <w:p w14:paraId="1279348D" w14:textId="77777777" w:rsidR="00B56F57" w:rsidRDefault="00B56F57">
    <w:pPr>
      <w:pStyle w:val="Foote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17582342"/>
      <w:docPartObj>
        <w:docPartGallery w:val="Page Numbers (Bottom of Page)"/>
        <w:docPartUnique/>
      </w:docPartObj>
    </w:sdtPr>
    <w:sdtEndPr>
      <w:rPr>
        <w:noProof/>
      </w:rPr>
    </w:sdtEndPr>
    <w:sdtContent>
      <w:p w14:paraId="2D43FCF3" w14:textId="77777777" w:rsidR="00B56F57" w:rsidRPr="001B7E15" w:rsidRDefault="00B56F57" w:rsidP="00C130D2">
        <w:pPr>
          <w:pStyle w:val="Footer"/>
          <w:jc w:val="right"/>
        </w:pPr>
        <w:r w:rsidRPr="001B7E15">
          <w:fldChar w:fldCharType="begin"/>
        </w:r>
        <w:r w:rsidRPr="001B7E15">
          <w:instrText xml:space="preserve"> PAGE   \* MERGEFORMAT </w:instrText>
        </w:r>
        <w:r w:rsidRPr="001B7E15">
          <w:fldChar w:fldCharType="separate"/>
        </w:r>
        <w:r>
          <w:rPr>
            <w:noProof/>
          </w:rPr>
          <w:t>4</w:t>
        </w:r>
        <w:r w:rsidRPr="001B7E15">
          <w:rPr>
            <w:noProof/>
          </w:rPr>
          <w:fldChar w:fldCharType="end"/>
        </w:r>
      </w:p>
    </w:sdtContent>
  </w:sdt>
  <w:p w14:paraId="244BB7FE" w14:textId="77777777" w:rsidR="00B56F57" w:rsidRPr="00231623" w:rsidRDefault="00B56F57" w:rsidP="00C130D2">
    <w:pPr>
      <w:pStyle w:val="Foote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6519983"/>
      <w:docPartObj>
        <w:docPartGallery w:val="Page Numbers (Bottom of Page)"/>
        <w:docPartUnique/>
      </w:docPartObj>
    </w:sdtPr>
    <w:sdtEndPr>
      <w:rPr>
        <w:noProof/>
      </w:rPr>
    </w:sdtEndPr>
    <w:sdtContent>
      <w:p w14:paraId="75D1E9A2" w14:textId="37838E2E" w:rsidR="00B56F57" w:rsidRDefault="00B56F57" w:rsidP="00C130D2">
        <w:pPr>
          <w:pStyle w:val="Footer"/>
          <w:rPr>
            <w:noProof/>
          </w:rPr>
        </w:pPr>
        <w:r w:rsidRPr="001B7E15">
          <w:fldChar w:fldCharType="begin"/>
        </w:r>
        <w:r w:rsidRPr="001B7E15">
          <w:instrText xml:space="preserve"> PAGE   \* MERGEFORMAT </w:instrText>
        </w:r>
        <w:r w:rsidRPr="001B7E15">
          <w:fldChar w:fldCharType="separate"/>
        </w:r>
        <w:r w:rsidR="00061EA4">
          <w:rPr>
            <w:noProof/>
          </w:rPr>
          <w:t>44</w:t>
        </w:r>
        <w:r w:rsidRPr="001B7E15">
          <w:rPr>
            <w:noProof/>
          </w:rPr>
          <w:fldChar w:fldCharType="end"/>
        </w:r>
      </w:p>
    </w:sdtContent>
  </w:sdt>
  <w:p w14:paraId="10FCDAE6" w14:textId="77777777" w:rsidR="00B56F57" w:rsidRPr="00956C60" w:rsidRDefault="00B56F57" w:rsidP="00956C60">
    <w:pPr>
      <w:pStyle w:val="Footer"/>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87051930"/>
      <w:docPartObj>
        <w:docPartGallery w:val="Page Numbers (Bottom of Page)"/>
        <w:docPartUnique/>
      </w:docPartObj>
    </w:sdtPr>
    <w:sdtEndPr>
      <w:rPr>
        <w:noProof/>
      </w:rPr>
    </w:sdtEndPr>
    <w:sdtContent>
      <w:p w14:paraId="498A611F" w14:textId="77777777" w:rsidR="00B56F57" w:rsidRPr="001B7E15" w:rsidRDefault="00B56F57" w:rsidP="00C130D2">
        <w:pPr>
          <w:pStyle w:val="Footer"/>
          <w:jc w:val="right"/>
        </w:pPr>
        <w:r w:rsidRPr="001B7E15">
          <w:fldChar w:fldCharType="begin"/>
        </w:r>
        <w:r w:rsidRPr="001B7E15">
          <w:instrText xml:space="preserve"> PAGE   \* MERGEFORMAT </w:instrText>
        </w:r>
        <w:r w:rsidRPr="001B7E15">
          <w:fldChar w:fldCharType="separate"/>
        </w:r>
        <w:r>
          <w:rPr>
            <w:noProof/>
          </w:rPr>
          <w:t>50</w:t>
        </w:r>
        <w:r w:rsidRPr="001B7E15">
          <w:rPr>
            <w:noProof/>
          </w:rPr>
          <w:fldChar w:fldCharType="end"/>
        </w:r>
      </w:p>
    </w:sdtContent>
  </w:sdt>
  <w:p w14:paraId="5CBCCFBB" w14:textId="77777777" w:rsidR="00B56F57" w:rsidRPr="00231623" w:rsidRDefault="00B56F57" w:rsidP="00C130D2">
    <w:pPr>
      <w:pStyle w:val="Footer"/>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48343681"/>
      <w:docPartObj>
        <w:docPartGallery w:val="Page Numbers (Bottom of Page)"/>
        <w:docPartUnique/>
      </w:docPartObj>
    </w:sdtPr>
    <w:sdtEndPr>
      <w:rPr>
        <w:noProof/>
      </w:rPr>
    </w:sdtEndPr>
    <w:sdtContent>
      <w:p w14:paraId="3259CEA5" w14:textId="1EC19584" w:rsidR="00B56F57" w:rsidRDefault="00B56F57" w:rsidP="00C130D2">
        <w:pPr>
          <w:pStyle w:val="Footer"/>
          <w:rPr>
            <w:noProof/>
          </w:rPr>
        </w:pPr>
        <w:r w:rsidRPr="001B7E15">
          <w:fldChar w:fldCharType="begin"/>
        </w:r>
        <w:r w:rsidRPr="001B7E15">
          <w:instrText xml:space="preserve"> PAGE   \* MERGEFORMAT </w:instrText>
        </w:r>
        <w:r w:rsidRPr="001B7E15">
          <w:fldChar w:fldCharType="separate"/>
        </w:r>
        <w:r w:rsidR="00061EA4">
          <w:rPr>
            <w:noProof/>
          </w:rPr>
          <w:t>52</w:t>
        </w:r>
        <w:r w:rsidRPr="001B7E15">
          <w:rPr>
            <w:noProof/>
          </w:rPr>
          <w:fldChar w:fldCharType="end"/>
        </w:r>
      </w:p>
    </w:sdtContent>
  </w:sdt>
  <w:p w14:paraId="3A594D3C" w14:textId="77777777" w:rsidR="00B56F57" w:rsidRPr="00956C60" w:rsidRDefault="00B56F57" w:rsidP="00956C60">
    <w:pPr>
      <w:pStyle w:val="Footer"/>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60594641"/>
      <w:docPartObj>
        <w:docPartGallery w:val="Page Numbers (Bottom of Page)"/>
        <w:docPartUnique/>
      </w:docPartObj>
    </w:sdtPr>
    <w:sdtEndPr>
      <w:rPr>
        <w:noProof/>
      </w:rPr>
    </w:sdtEndPr>
    <w:sdtContent>
      <w:p w14:paraId="2822DC80" w14:textId="77777777" w:rsidR="00B56F57" w:rsidRPr="001B7E15" w:rsidRDefault="00B56F57" w:rsidP="00C130D2">
        <w:pPr>
          <w:pStyle w:val="Footer"/>
          <w:jc w:val="right"/>
        </w:pPr>
        <w:r w:rsidRPr="001B7E15">
          <w:fldChar w:fldCharType="begin"/>
        </w:r>
        <w:r w:rsidRPr="001B7E15">
          <w:instrText xml:space="preserve"> PAGE   \* MERGEFORMAT </w:instrText>
        </w:r>
        <w:r w:rsidRPr="001B7E15">
          <w:fldChar w:fldCharType="separate"/>
        </w:r>
        <w:r>
          <w:rPr>
            <w:noProof/>
          </w:rPr>
          <w:t>58</w:t>
        </w:r>
        <w:r w:rsidRPr="001B7E15">
          <w:rPr>
            <w:noProof/>
          </w:rPr>
          <w:fldChar w:fldCharType="end"/>
        </w:r>
      </w:p>
    </w:sdtContent>
  </w:sdt>
  <w:p w14:paraId="5C71E9EC" w14:textId="77777777" w:rsidR="00B56F57" w:rsidRPr="00231623" w:rsidRDefault="00B56F57" w:rsidP="00C130D2">
    <w:pPr>
      <w:pStyle w:val="Footer"/>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1081999"/>
      <w:docPartObj>
        <w:docPartGallery w:val="Page Numbers (Bottom of Page)"/>
        <w:docPartUnique/>
      </w:docPartObj>
    </w:sdtPr>
    <w:sdtEndPr>
      <w:rPr>
        <w:noProof/>
      </w:rPr>
    </w:sdtEndPr>
    <w:sdtContent>
      <w:p w14:paraId="2C5F2162" w14:textId="44840C8D" w:rsidR="00B56F57" w:rsidRDefault="00B56F57" w:rsidP="00C130D2">
        <w:pPr>
          <w:pStyle w:val="Footer"/>
          <w:rPr>
            <w:noProof/>
          </w:rPr>
        </w:pPr>
        <w:r w:rsidRPr="001B7E15">
          <w:fldChar w:fldCharType="begin"/>
        </w:r>
        <w:r w:rsidRPr="001B7E15">
          <w:instrText xml:space="preserve"> PAGE   \* MERGEFORMAT </w:instrText>
        </w:r>
        <w:r w:rsidRPr="001B7E15">
          <w:fldChar w:fldCharType="separate"/>
        </w:r>
        <w:r w:rsidR="00061EA4">
          <w:rPr>
            <w:noProof/>
          </w:rPr>
          <w:t>60</w:t>
        </w:r>
        <w:r w:rsidRPr="001B7E15">
          <w:rPr>
            <w:noProof/>
          </w:rPr>
          <w:fldChar w:fldCharType="end"/>
        </w:r>
      </w:p>
    </w:sdtContent>
  </w:sdt>
  <w:p w14:paraId="58906D1D" w14:textId="77777777" w:rsidR="00B56F57" w:rsidRPr="00956C60" w:rsidRDefault="00B56F57" w:rsidP="00956C60">
    <w:pPr>
      <w:pStyle w:val="Footer"/>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0375241"/>
      <w:docPartObj>
        <w:docPartGallery w:val="Page Numbers (Bottom of Page)"/>
        <w:docPartUnique/>
      </w:docPartObj>
    </w:sdtPr>
    <w:sdtEndPr>
      <w:rPr>
        <w:noProof/>
      </w:rPr>
    </w:sdtEndPr>
    <w:sdtContent>
      <w:p w14:paraId="7CF99FFD" w14:textId="77777777" w:rsidR="00B56F57" w:rsidRPr="001B7E15" w:rsidRDefault="00B56F57" w:rsidP="00C130D2">
        <w:pPr>
          <w:pStyle w:val="Footer"/>
          <w:jc w:val="right"/>
        </w:pPr>
        <w:r w:rsidRPr="001B7E15">
          <w:fldChar w:fldCharType="begin"/>
        </w:r>
        <w:r w:rsidRPr="001B7E15">
          <w:instrText xml:space="preserve"> PAGE   \* MERGEFORMAT </w:instrText>
        </w:r>
        <w:r w:rsidRPr="001B7E15">
          <w:fldChar w:fldCharType="separate"/>
        </w:r>
        <w:r>
          <w:rPr>
            <w:noProof/>
          </w:rPr>
          <w:t>12</w:t>
        </w:r>
        <w:r w:rsidRPr="001B7E15">
          <w:rPr>
            <w:noProof/>
          </w:rPr>
          <w:fldChar w:fldCharType="end"/>
        </w:r>
      </w:p>
    </w:sdtContent>
  </w:sdt>
  <w:p w14:paraId="0F7B9DAE" w14:textId="77777777" w:rsidR="00B56F57" w:rsidRPr="00231623" w:rsidRDefault="00B56F57" w:rsidP="00C130D2">
    <w:pPr>
      <w:pStyle w:val="Footer"/>
    </w:pP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04761709"/>
      <w:docPartObj>
        <w:docPartGallery w:val="Page Numbers (Bottom of Page)"/>
        <w:docPartUnique/>
      </w:docPartObj>
    </w:sdtPr>
    <w:sdtEndPr>
      <w:rPr>
        <w:noProof/>
      </w:rPr>
    </w:sdtEndPr>
    <w:sdtContent>
      <w:p w14:paraId="49BA8C0A" w14:textId="60ABEDFF" w:rsidR="00B56F57" w:rsidRDefault="00B56F57" w:rsidP="00C130D2">
        <w:pPr>
          <w:pStyle w:val="Footer"/>
          <w:rPr>
            <w:noProof/>
          </w:rPr>
        </w:pPr>
        <w:r w:rsidRPr="001B7E15">
          <w:fldChar w:fldCharType="begin"/>
        </w:r>
        <w:r w:rsidRPr="001B7E15">
          <w:instrText xml:space="preserve"> PAGE   \* MERGEFORMAT </w:instrText>
        </w:r>
        <w:r w:rsidRPr="001B7E15">
          <w:fldChar w:fldCharType="separate"/>
        </w:r>
        <w:r w:rsidR="00061EA4">
          <w:rPr>
            <w:noProof/>
          </w:rPr>
          <w:t>72</w:t>
        </w:r>
        <w:r w:rsidRPr="001B7E15">
          <w:rPr>
            <w:noProof/>
          </w:rPr>
          <w:fldChar w:fldCharType="end"/>
        </w:r>
      </w:p>
    </w:sdtContent>
  </w:sdt>
  <w:p w14:paraId="149B254A" w14:textId="77777777" w:rsidR="00B56F57" w:rsidRPr="00956C60" w:rsidRDefault="00B56F57" w:rsidP="00956C60">
    <w:pPr>
      <w:pStyle w:val="Footer"/>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37753289"/>
      <w:docPartObj>
        <w:docPartGallery w:val="Page Numbers (Bottom of Page)"/>
        <w:docPartUnique/>
      </w:docPartObj>
    </w:sdtPr>
    <w:sdtEndPr>
      <w:rPr>
        <w:noProof/>
      </w:rPr>
    </w:sdtEndPr>
    <w:sdtContent>
      <w:sdt>
        <w:sdtPr>
          <w:id w:val="-1234151694"/>
          <w:docPartObj>
            <w:docPartGallery w:val="Page Numbers (Bottom of Page)"/>
            <w:docPartUnique/>
          </w:docPartObj>
        </w:sdtPr>
        <w:sdtEndPr>
          <w:rPr>
            <w:noProof/>
          </w:rPr>
        </w:sdtEndPr>
        <w:sdtContent>
          <w:p w14:paraId="76473721" w14:textId="77777777" w:rsidR="00B56F57" w:rsidRPr="00F061F2" w:rsidRDefault="00B56F57" w:rsidP="00C130D2">
            <w:pPr>
              <w:pStyle w:val="Footer"/>
              <w:jc w:val="right"/>
            </w:pPr>
            <w:r w:rsidRPr="001B7E15">
              <w:fldChar w:fldCharType="begin"/>
            </w:r>
            <w:r w:rsidRPr="001B7E15">
              <w:instrText xml:space="preserve"> PAGE   \* MERGEFORMAT </w:instrText>
            </w:r>
            <w:r w:rsidRPr="001B7E15">
              <w:fldChar w:fldCharType="separate"/>
            </w:r>
            <w:r>
              <w:rPr>
                <w:noProof/>
              </w:rPr>
              <w:t>88</w:t>
            </w:r>
            <w:r w:rsidRPr="001B7E15">
              <w:rPr>
                <w:noProof/>
              </w:rPr>
              <w:fldChar w:fldCharType="end"/>
            </w:r>
          </w:p>
        </w:sdtContent>
      </w:sdt>
    </w:sdtContent>
  </w:sdt>
  <w:p w14:paraId="251AEE17" w14:textId="77777777" w:rsidR="00B56F57" w:rsidRDefault="00B56F57" w:rsidP="00542CA2">
    <w:pPr>
      <w:spacing w:after="0"/>
    </w:pPr>
  </w:p>
  <w:p w14:paraId="152CC100" w14:textId="77777777" w:rsidR="00B56F57" w:rsidRDefault="00B56F57"/>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93656640"/>
      <w:docPartObj>
        <w:docPartGallery w:val="Page Numbers (Bottom of Page)"/>
        <w:docPartUnique/>
      </w:docPartObj>
    </w:sdtPr>
    <w:sdtEndPr>
      <w:rPr>
        <w:noProof/>
      </w:rPr>
    </w:sdtEndPr>
    <w:sdtContent>
      <w:sdt>
        <w:sdtPr>
          <w:id w:val="-430739521"/>
          <w:docPartObj>
            <w:docPartGallery w:val="Page Numbers (Bottom of Page)"/>
            <w:docPartUnique/>
          </w:docPartObj>
        </w:sdtPr>
        <w:sdtEndPr>
          <w:rPr>
            <w:noProof/>
          </w:rPr>
        </w:sdtEndPr>
        <w:sdtContent>
          <w:p w14:paraId="7A3F51E1" w14:textId="5E406303" w:rsidR="00B56F57" w:rsidRPr="00F061F2" w:rsidRDefault="00B56F57" w:rsidP="00C130D2">
            <w:pPr>
              <w:pStyle w:val="Footer"/>
              <w:rPr>
                <w:noProof/>
              </w:rPr>
            </w:pPr>
            <w:r w:rsidRPr="001B7E15">
              <w:fldChar w:fldCharType="begin"/>
            </w:r>
            <w:r w:rsidRPr="001B7E15">
              <w:instrText xml:space="preserve"> PAGE   \* MERGEFORMAT </w:instrText>
            </w:r>
            <w:r w:rsidRPr="001B7E15">
              <w:fldChar w:fldCharType="separate"/>
            </w:r>
            <w:r w:rsidR="00061EA4">
              <w:rPr>
                <w:noProof/>
              </w:rPr>
              <w:t>89</w:t>
            </w:r>
            <w:r w:rsidRPr="001B7E15">
              <w:rPr>
                <w:noProof/>
              </w:rPr>
              <w:fldChar w:fldCharType="end"/>
            </w:r>
          </w:p>
        </w:sdtContent>
      </w:sdt>
    </w:sdtContent>
  </w:sdt>
  <w:p w14:paraId="6A351368" w14:textId="77777777" w:rsidR="00B56F57" w:rsidRDefault="00B56F57"/>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50326505"/>
      <w:docPartObj>
        <w:docPartGallery w:val="Page Numbers (Bottom of Page)"/>
        <w:docPartUnique/>
      </w:docPartObj>
    </w:sdtPr>
    <w:sdtEndPr>
      <w:rPr>
        <w:noProof/>
      </w:rPr>
    </w:sdtEndPr>
    <w:sdtContent>
      <w:p w14:paraId="7609C542" w14:textId="56A05D3D" w:rsidR="00B56F57" w:rsidRDefault="00FC0A8C">
        <w:pPr>
          <w:pStyle w:val="Footer"/>
        </w:pPr>
      </w:p>
    </w:sdtContent>
  </w:sdt>
  <w:p w14:paraId="5FE27688" w14:textId="77777777" w:rsidR="00B56F57" w:rsidRDefault="00B56F57">
    <w:pPr>
      <w:pStyle w:val="Footer"/>
    </w:pP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56682961"/>
      <w:docPartObj>
        <w:docPartGallery w:val="Page Numbers (Bottom of Page)"/>
        <w:docPartUnique/>
      </w:docPartObj>
    </w:sdtPr>
    <w:sdtEndPr>
      <w:rPr>
        <w:noProof/>
      </w:rPr>
    </w:sdtEndPr>
    <w:sdtContent>
      <w:p w14:paraId="5E9965E0" w14:textId="77777777" w:rsidR="00B56F57" w:rsidRPr="001B7E15" w:rsidRDefault="00B56F57" w:rsidP="00C130D2">
        <w:pPr>
          <w:pStyle w:val="Footer"/>
          <w:jc w:val="right"/>
        </w:pPr>
        <w:r w:rsidRPr="001B7E15">
          <w:fldChar w:fldCharType="begin"/>
        </w:r>
        <w:r w:rsidRPr="001B7E15">
          <w:instrText xml:space="preserve"> PAGE   \* MERGEFORMAT </w:instrText>
        </w:r>
        <w:r w:rsidRPr="001B7E15">
          <w:fldChar w:fldCharType="separate"/>
        </w:r>
        <w:r>
          <w:rPr>
            <w:noProof/>
          </w:rPr>
          <w:t>50</w:t>
        </w:r>
        <w:r w:rsidRPr="001B7E15">
          <w:rPr>
            <w:noProof/>
          </w:rPr>
          <w:fldChar w:fldCharType="end"/>
        </w:r>
      </w:p>
    </w:sdtContent>
  </w:sdt>
  <w:p w14:paraId="3DE62EDF" w14:textId="77777777" w:rsidR="00B56F57" w:rsidRPr="00231623" w:rsidRDefault="00B56F57" w:rsidP="00C130D2">
    <w:pPr>
      <w:pStyle w:val="Footer"/>
    </w:pP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81336439"/>
      <w:docPartObj>
        <w:docPartGallery w:val="Page Numbers (Bottom of Page)"/>
        <w:docPartUnique/>
      </w:docPartObj>
    </w:sdtPr>
    <w:sdtEndPr>
      <w:rPr>
        <w:noProof/>
      </w:rPr>
    </w:sdtEndPr>
    <w:sdtContent>
      <w:p w14:paraId="34DB4DD5" w14:textId="64D35F04" w:rsidR="00B56F57" w:rsidRDefault="00B56F57" w:rsidP="00C130D2">
        <w:pPr>
          <w:pStyle w:val="Footer"/>
          <w:rPr>
            <w:noProof/>
          </w:rPr>
        </w:pPr>
        <w:r w:rsidRPr="001B7E15">
          <w:fldChar w:fldCharType="begin"/>
        </w:r>
        <w:r w:rsidRPr="001B7E15">
          <w:instrText xml:space="preserve"> PAGE   \* MERGEFORMAT </w:instrText>
        </w:r>
        <w:r w:rsidRPr="001B7E15">
          <w:fldChar w:fldCharType="separate"/>
        </w:r>
        <w:r w:rsidR="00061EA4">
          <w:rPr>
            <w:noProof/>
          </w:rPr>
          <w:t>90</w:t>
        </w:r>
        <w:r w:rsidRPr="001B7E15">
          <w:rPr>
            <w:noProof/>
          </w:rPr>
          <w:fldChar w:fldCharType="end"/>
        </w:r>
      </w:p>
    </w:sdtContent>
  </w:sdt>
  <w:p w14:paraId="5C45C329" w14:textId="77777777" w:rsidR="00B56F57" w:rsidRPr="00956C60" w:rsidRDefault="00B56F57" w:rsidP="00956C60">
    <w:pPr>
      <w:pStyle w:val="Footer"/>
    </w:pP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90821"/>
      <w:docPartObj>
        <w:docPartGallery w:val="Page Numbers (Bottom of Page)"/>
        <w:docPartUnique/>
      </w:docPartObj>
    </w:sdtPr>
    <w:sdtEndPr>
      <w:rPr>
        <w:noProof/>
      </w:rPr>
    </w:sdtEndPr>
    <w:sdtContent>
      <w:p w14:paraId="1C51D891" w14:textId="5B8ACAB2" w:rsidR="00B56F57" w:rsidRDefault="00B56F57">
        <w:pPr>
          <w:pStyle w:val="Footer"/>
        </w:pPr>
        <w:r>
          <w:fldChar w:fldCharType="begin"/>
        </w:r>
        <w:r>
          <w:instrText xml:space="preserve"> PAGE   \* MERGEFORMAT </w:instrText>
        </w:r>
        <w:r>
          <w:fldChar w:fldCharType="separate"/>
        </w:r>
        <w:r w:rsidR="00061EA4">
          <w:rPr>
            <w:noProof/>
          </w:rPr>
          <w:t>92</w:t>
        </w:r>
        <w:r>
          <w:rPr>
            <w:noProof/>
          </w:rPr>
          <w:fldChar w:fldCharType="end"/>
        </w:r>
      </w:p>
    </w:sdtContent>
  </w:sdt>
  <w:p w14:paraId="0AEDF61D" w14:textId="77777777" w:rsidR="00B56F57" w:rsidRPr="00287EFB" w:rsidRDefault="00B56F57" w:rsidP="00C130D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8470435"/>
      <w:docPartObj>
        <w:docPartGallery w:val="Page Numbers (Bottom of Page)"/>
        <w:docPartUnique/>
      </w:docPartObj>
    </w:sdtPr>
    <w:sdtEndPr>
      <w:rPr>
        <w:noProof/>
      </w:rPr>
    </w:sdtEndPr>
    <w:sdtContent>
      <w:p w14:paraId="1E5FC5B0" w14:textId="2107A385" w:rsidR="00B56F57" w:rsidRDefault="00B56F57">
        <w:pPr>
          <w:pStyle w:val="Footer"/>
        </w:pPr>
        <w:r>
          <w:fldChar w:fldCharType="begin"/>
        </w:r>
        <w:r>
          <w:instrText xml:space="preserve"> PAGE   \* MERGEFORMAT </w:instrText>
        </w:r>
        <w:r>
          <w:fldChar w:fldCharType="separate"/>
        </w:r>
        <w:r w:rsidR="00061EA4">
          <w:rPr>
            <w:noProof/>
          </w:rPr>
          <w:t>2</w:t>
        </w:r>
        <w:r>
          <w:rPr>
            <w:noProof/>
          </w:rPr>
          <w:fldChar w:fldCharType="end"/>
        </w:r>
      </w:p>
    </w:sdtContent>
  </w:sdt>
  <w:p w14:paraId="5B2FC29C" w14:textId="77777777" w:rsidR="00B56F57" w:rsidRDefault="00B56F5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46688203"/>
      <w:docPartObj>
        <w:docPartGallery w:val="Page Numbers (Bottom of Page)"/>
        <w:docPartUnique/>
      </w:docPartObj>
    </w:sdtPr>
    <w:sdtEndPr>
      <w:rPr>
        <w:noProof/>
      </w:rPr>
    </w:sdtEndPr>
    <w:sdtContent>
      <w:p w14:paraId="35E68D90" w14:textId="77777777" w:rsidR="00B56F57" w:rsidRDefault="00B56F57">
        <w:pPr>
          <w:pStyle w:val="Footer"/>
          <w:jc w:val="right"/>
        </w:pPr>
        <w:r>
          <w:fldChar w:fldCharType="begin"/>
        </w:r>
        <w:r>
          <w:instrText xml:space="preserve"> PAGE   \* MERGEFORMAT </w:instrText>
        </w:r>
        <w:r>
          <w:fldChar w:fldCharType="separate"/>
        </w:r>
        <w:r>
          <w:rPr>
            <w:noProof/>
          </w:rPr>
          <w:t>6</w:t>
        </w:r>
        <w:r>
          <w:rPr>
            <w:noProof/>
          </w:rPr>
          <w:fldChar w:fldCharType="end"/>
        </w:r>
      </w:p>
    </w:sdtContent>
  </w:sdt>
  <w:p w14:paraId="68D1A6ED" w14:textId="77777777" w:rsidR="00B56F57" w:rsidRDefault="00B56F57">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63908428"/>
      <w:docPartObj>
        <w:docPartGallery w:val="Page Numbers (Bottom of Page)"/>
        <w:docPartUnique/>
      </w:docPartObj>
    </w:sdtPr>
    <w:sdtEndPr>
      <w:rPr>
        <w:noProof/>
      </w:rPr>
    </w:sdtEndPr>
    <w:sdtContent>
      <w:p w14:paraId="191E57D3" w14:textId="46EDDB7B" w:rsidR="00B56F57" w:rsidRDefault="00B56F57" w:rsidP="00521A99">
        <w:pPr>
          <w:pStyle w:val="Footer"/>
          <w:jc w:val="left"/>
        </w:pPr>
        <w:r>
          <w:fldChar w:fldCharType="begin"/>
        </w:r>
        <w:r>
          <w:instrText xml:space="preserve"> PAGE   \* MERGEFORMAT </w:instrText>
        </w:r>
        <w:r>
          <w:fldChar w:fldCharType="separate"/>
        </w:r>
        <w:r w:rsidR="00061EA4">
          <w:rPr>
            <w:noProof/>
          </w:rPr>
          <w:t>7</w:t>
        </w:r>
        <w:r>
          <w:rPr>
            <w:noProof/>
          </w:rPr>
          <w:fldChar w:fldCharType="end"/>
        </w:r>
      </w:p>
    </w:sdtContent>
  </w:sdt>
  <w:p w14:paraId="3C1C06C1" w14:textId="77777777" w:rsidR="00B56F57" w:rsidRDefault="00B56F5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18068856"/>
      <w:docPartObj>
        <w:docPartGallery w:val="Page Numbers (Bottom of Page)"/>
        <w:docPartUnique/>
      </w:docPartObj>
    </w:sdtPr>
    <w:sdtEndPr>
      <w:rPr>
        <w:noProof/>
      </w:rPr>
    </w:sdtEndPr>
    <w:sdtContent>
      <w:p w14:paraId="1BA06271" w14:textId="77777777" w:rsidR="00B56F57" w:rsidRDefault="00B56F57">
        <w:pPr>
          <w:pStyle w:val="Footer"/>
          <w:jc w:val="right"/>
        </w:pPr>
        <w:r>
          <w:fldChar w:fldCharType="begin"/>
        </w:r>
        <w:r>
          <w:instrText xml:space="preserve"> PAGE   \* MERGEFORMAT </w:instrText>
        </w:r>
        <w:r>
          <w:fldChar w:fldCharType="separate"/>
        </w:r>
        <w:r>
          <w:rPr>
            <w:noProof/>
          </w:rPr>
          <w:t>14</w:t>
        </w:r>
        <w:r>
          <w:rPr>
            <w:noProof/>
          </w:rPr>
          <w:fldChar w:fldCharType="end"/>
        </w:r>
      </w:p>
    </w:sdtContent>
  </w:sdt>
  <w:p w14:paraId="72ED50FB" w14:textId="77777777" w:rsidR="00B56F57" w:rsidRDefault="00B56F5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1341562"/>
      <w:docPartObj>
        <w:docPartGallery w:val="Page Numbers (Bottom of Page)"/>
        <w:docPartUnique/>
      </w:docPartObj>
    </w:sdtPr>
    <w:sdtEndPr>
      <w:rPr>
        <w:noProof/>
      </w:rPr>
    </w:sdtEndPr>
    <w:sdtContent>
      <w:p w14:paraId="1C98AA19" w14:textId="5EA4C7FE" w:rsidR="00B56F57" w:rsidRDefault="00B56F57" w:rsidP="00521A99">
        <w:pPr>
          <w:pStyle w:val="Footer"/>
          <w:jc w:val="left"/>
        </w:pPr>
        <w:r>
          <w:fldChar w:fldCharType="begin"/>
        </w:r>
        <w:r>
          <w:instrText xml:space="preserve"> PAGE   \* MERGEFORMAT </w:instrText>
        </w:r>
        <w:r>
          <w:fldChar w:fldCharType="separate"/>
        </w:r>
        <w:r w:rsidR="00061EA4">
          <w:rPr>
            <w:noProof/>
          </w:rPr>
          <w:t>16</w:t>
        </w:r>
        <w:r>
          <w:rPr>
            <w:noProof/>
          </w:rPr>
          <w:fldChar w:fldCharType="end"/>
        </w:r>
      </w:p>
    </w:sdtContent>
  </w:sdt>
  <w:p w14:paraId="27C24977" w14:textId="77777777" w:rsidR="00B56F57" w:rsidRDefault="00B56F5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7BA15E" w14:textId="77777777" w:rsidR="00FC0A8C" w:rsidRDefault="00FC0A8C" w:rsidP="00BF7F6A">
      <w:pPr>
        <w:spacing w:after="0" w:line="240" w:lineRule="auto"/>
      </w:pPr>
      <w:r>
        <w:separator/>
      </w:r>
    </w:p>
  </w:footnote>
  <w:footnote w:type="continuationSeparator" w:id="0">
    <w:p w14:paraId="64F3859B" w14:textId="77777777" w:rsidR="00FC0A8C" w:rsidRDefault="00FC0A8C" w:rsidP="00BF7F6A">
      <w:pPr>
        <w:spacing w:after="0" w:line="240" w:lineRule="auto"/>
      </w:pPr>
      <w:r>
        <w:continuationSeparator/>
      </w:r>
    </w:p>
  </w:footnote>
  <w:footnote w:id="1">
    <w:p w14:paraId="3D958A40" w14:textId="77777777" w:rsidR="00B56F57" w:rsidRPr="002F6B52" w:rsidRDefault="00B56F57">
      <w:pPr>
        <w:pStyle w:val="FootnoteText"/>
        <w:rPr>
          <w:lang w:val="sr-Cyrl-RS"/>
        </w:rPr>
      </w:pPr>
      <w:r w:rsidRPr="002F6B52">
        <w:rPr>
          <w:rStyle w:val="FootnoteReference"/>
          <w:lang w:val="sr-Cyrl-RS"/>
        </w:rPr>
        <w:footnoteRef/>
      </w:r>
      <w:r w:rsidRPr="002F6B52">
        <w:rPr>
          <w:lang w:val="sr-Cyrl-RS"/>
        </w:rPr>
        <w:t xml:space="preserve"> </w:t>
      </w:r>
      <w:r w:rsidRPr="002F6B52">
        <w:rPr>
          <w:spacing w:val="-2"/>
          <w:sz w:val="16"/>
          <w:lang w:val="sr-Cyrl-RS"/>
        </w:rPr>
        <w:t xml:space="preserve">За детаљна методолошка објашњења видети </w:t>
      </w:r>
      <w:hyperlink r:id="rId1" w:history="1">
        <w:r w:rsidRPr="002F6B52">
          <w:rPr>
            <w:rStyle w:val="Hyperlink"/>
            <w:spacing w:val="-2"/>
            <w:sz w:val="16"/>
            <w:lang w:val="sr-Cyrl-RS"/>
          </w:rPr>
          <w:t>https://www.mfin.gov.rs//upload/media/ZzkTpV_601696edb3a9a.pdf</w:t>
        </w:r>
      </w:hyperlink>
    </w:p>
  </w:footnote>
  <w:footnote w:id="2">
    <w:p w14:paraId="2CE5812F" w14:textId="77777777" w:rsidR="00B56F57" w:rsidRPr="002F6B52" w:rsidRDefault="00B56F57" w:rsidP="008527D6">
      <w:pPr>
        <w:pStyle w:val="FootnoteText"/>
        <w:rPr>
          <w:sz w:val="16"/>
          <w:lang w:val="sr-Cyrl-RS"/>
        </w:rPr>
      </w:pPr>
      <w:r w:rsidRPr="002F6B52">
        <w:rPr>
          <w:rStyle w:val="FootnoteReference"/>
          <w:lang w:val="sr-Cyrl-RS"/>
        </w:rPr>
        <w:footnoteRef/>
      </w:r>
      <w:r w:rsidRPr="002F6B52">
        <w:rPr>
          <w:lang w:val="sr-Cyrl-RS"/>
        </w:rPr>
        <w:t xml:space="preserve"> </w:t>
      </w:r>
      <w:r w:rsidRPr="002F6B52">
        <w:rPr>
          <w:sz w:val="16"/>
          <w:lang w:val="sr-Cyrl-RS"/>
        </w:rPr>
        <w:t>G-I – Трговина; Саобраћај и складиштење; Услуге смештаја и исхране | J – Информисање и комуникације | K – Финансијске делатности и осигурање | L – Пословање некретнинама | M-N – Стручне, научне, иновационе и техничке делатности; Административне и помоћне делатности | O-Q – Државна управа; Образовање; Здравство | R-T – Уметност, забава и рекреација и остале услужне делатности</w:t>
      </w:r>
    </w:p>
  </w:footnote>
  <w:footnote w:id="3">
    <w:p w14:paraId="2578671C" w14:textId="77777777" w:rsidR="00B56F57" w:rsidRPr="002F6B52" w:rsidRDefault="00B56F57">
      <w:pPr>
        <w:pStyle w:val="FootnoteText"/>
        <w:rPr>
          <w:lang w:val="sr-Cyrl-RS"/>
        </w:rPr>
      </w:pPr>
      <w:r w:rsidRPr="002F6B52">
        <w:rPr>
          <w:rStyle w:val="FootnoteReference"/>
          <w:lang w:val="sr-Cyrl-RS"/>
        </w:rPr>
        <w:footnoteRef/>
      </w:r>
      <w:r w:rsidRPr="002F6B52">
        <w:rPr>
          <w:lang w:val="sr-Cyrl-RS"/>
        </w:rPr>
        <w:t xml:space="preserve"> </w:t>
      </w:r>
      <w:r w:rsidRPr="002F6B52">
        <w:rPr>
          <w:sz w:val="16"/>
          <w:lang w:val="sr-Cyrl-RS"/>
        </w:rPr>
        <w:t>Подаци се односе збирно за Народну Републику Кину, Хонг Конг и Кинеску Провинцију Тајван.</w:t>
      </w:r>
    </w:p>
  </w:footnote>
  <w:footnote w:id="4">
    <w:p w14:paraId="2132C180" w14:textId="7FD34882" w:rsidR="00B56F57" w:rsidRPr="002F6B52" w:rsidRDefault="00B56F57" w:rsidP="00132FA9">
      <w:pPr>
        <w:pStyle w:val="FootnoteText"/>
        <w:rPr>
          <w:rFonts w:cstheme="minorHAnsi"/>
          <w:spacing w:val="-2"/>
          <w:sz w:val="16"/>
          <w:szCs w:val="16"/>
          <w:lang w:val="sr-Cyrl-RS"/>
        </w:rPr>
      </w:pPr>
      <w:r w:rsidRPr="00CB04CB">
        <w:rPr>
          <w:rStyle w:val="FootnoteReference"/>
          <w:rFonts w:cstheme="minorHAnsi"/>
          <w:spacing w:val="-2"/>
          <w:sz w:val="16"/>
          <w:szCs w:val="16"/>
          <w:lang w:val="sr-Cyrl-RS"/>
        </w:rPr>
        <w:footnoteRef/>
      </w:r>
      <w:r w:rsidRPr="00CB04CB">
        <w:rPr>
          <w:rFonts w:cstheme="minorHAnsi"/>
          <w:spacing w:val="-2"/>
          <w:sz w:val="16"/>
          <w:szCs w:val="16"/>
          <w:lang w:val="sr-Cyrl-RS"/>
        </w:rPr>
        <w:t xml:space="preserve"> Детаљнији приказ структурних реформи по приоритетним областима је саставни део Програма економских реформи у периоду 202</w:t>
      </w:r>
      <w:r w:rsidRPr="00CB04CB">
        <w:rPr>
          <w:rFonts w:cstheme="minorHAnsi"/>
          <w:spacing w:val="-2"/>
          <w:sz w:val="16"/>
          <w:szCs w:val="16"/>
        </w:rPr>
        <w:t>2</w:t>
      </w:r>
      <w:r w:rsidRPr="00CB04CB">
        <w:rPr>
          <w:rFonts w:cstheme="minorHAnsi"/>
          <w:spacing w:val="-2"/>
          <w:sz w:val="16"/>
          <w:szCs w:val="16"/>
          <w:lang w:val="sr-Cyrl-RS"/>
        </w:rPr>
        <w:t>–202</w:t>
      </w:r>
      <w:r w:rsidRPr="00CB04CB">
        <w:rPr>
          <w:rFonts w:cstheme="minorHAnsi"/>
          <w:spacing w:val="-2"/>
          <w:sz w:val="16"/>
          <w:szCs w:val="16"/>
        </w:rPr>
        <w:t>4</w:t>
      </w:r>
      <w:r w:rsidRPr="00CB04CB">
        <w:rPr>
          <w:rFonts w:cstheme="minorHAnsi"/>
          <w:spacing w:val="-2"/>
          <w:sz w:val="16"/>
          <w:szCs w:val="16"/>
          <w:lang w:val="sr-Cyrl-RS"/>
        </w:rPr>
        <w:t>.</w:t>
      </w:r>
    </w:p>
  </w:footnote>
  <w:footnote w:id="5">
    <w:p w14:paraId="33360A5E" w14:textId="77777777" w:rsidR="00B56F57" w:rsidRPr="002F6B52" w:rsidRDefault="00B56F57" w:rsidP="00C130D2">
      <w:pPr>
        <w:pStyle w:val="FootnoteText"/>
        <w:rPr>
          <w:rFonts w:cstheme="minorHAnsi"/>
          <w:sz w:val="16"/>
          <w:szCs w:val="16"/>
          <w:lang w:val="sr-Cyrl-RS"/>
        </w:rPr>
      </w:pPr>
      <w:r w:rsidRPr="002F6B52">
        <w:rPr>
          <w:rStyle w:val="FootnoteReference"/>
          <w:rFonts w:cstheme="minorHAnsi"/>
          <w:sz w:val="16"/>
          <w:szCs w:val="16"/>
          <w:lang w:val="sr-Cyrl-RS"/>
        </w:rPr>
        <w:footnoteRef/>
      </w:r>
      <w:r w:rsidRPr="002F6B52">
        <w:rPr>
          <w:rFonts w:cstheme="minorHAnsi"/>
          <w:sz w:val="16"/>
          <w:szCs w:val="16"/>
          <w:lang w:val="sr-Cyrl-RS"/>
        </w:rPr>
        <w:t xml:space="preserve"> Ревидирана Фискална стратегија за 2022. годину са пројекцијама за 2023. и 2024. годину.</w:t>
      </w:r>
    </w:p>
  </w:footnote>
  <w:footnote w:id="6">
    <w:p w14:paraId="0AB3E1CD" w14:textId="302525A8" w:rsidR="00B56F57" w:rsidRPr="002F6B52" w:rsidRDefault="00B56F57" w:rsidP="00C95509">
      <w:pPr>
        <w:pStyle w:val="FootnoteText"/>
        <w:rPr>
          <w:rFonts w:cstheme="minorHAnsi"/>
          <w:sz w:val="16"/>
          <w:szCs w:val="16"/>
          <w:lang w:val="sr-Cyrl-RS"/>
        </w:rPr>
      </w:pPr>
      <w:r w:rsidRPr="002F6B52">
        <w:rPr>
          <w:rStyle w:val="FootnoteReference"/>
          <w:rFonts w:cstheme="minorHAnsi"/>
          <w:sz w:val="16"/>
          <w:szCs w:val="16"/>
          <w:lang w:val="sr-Cyrl-RS"/>
        </w:rPr>
        <w:footnoteRef/>
      </w:r>
      <w:r w:rsidRPr="002F6B52">
        <w:rPr>
          <w:rFonts w:cstheme="minorHAnsi"/>
          <w:sz w:val="16"/>
          <w:szCs w:val="16"/>
          <w:lang w:val="sr-Cyrl-RS"/>
        </w:rPr>
        <w:t xml:space="preserve"> Закон о јавном дугу </w:t>
      </w:r>
      <w:r w:rsidR="00B2727E">
        <w:rPr>
          <w:rFonts w:cstheme="minorHAnsi"/>
          <w:sz w:val="16"/>
          <w:szCs w:val="16"/>
          <w:lang w:val="sr-Cyrl-RS"/>
        </w:rPr>
        <w:t>(</w:t>
      </w:r>
      <w:r w:rsidRPr="002F6B52">
        <w:rPr>
          <w:rFonts w:cstheme="minorHAnsi"/>
          <w:sz w:val="16"/>
          <w:szCs w:val="16"/>
          <w:lang w:val="sr-Cyrl-RS"/>
        </w:rPr>
        <w:t>„Службени гласник РС”, бр. 61/05, 107/09, 78/11, 68/15, 95/18, 91/19 и 149/20</w:t>
      </w:r>
      <w:r w:rsidR="00B2727E">
        <w:rPr>
          <w:rFonts w:cstheme="minorHAnsi"/>
          <w:sz w:val="16"/>
          <w:szCs w:val="16"/>
          <w:lang w:val="sr-Cyrl-RS"/>
        </w:rPr>
        <w:t>)</w:t>
      </w:r>
      <w:r w:rsidRPr="002F6B52">
        <w:rPr>
          <w:rFonts w:cstheme="minorHAnsi"/>
          <w:sz w:val="16"/>
          <w:szCs w:val="16"/>
          <w:lang w:val="sr-Cyrl-RS"/>
        </w:rPr>
        <w:t>.</w:t>
      </w:r>
    </w:p>
  </w:footnote>
  <w:footnote w:id="7">
    <w:p w14:paraId="31EA22CE" w14:textId="77777777" w:rsidR="00B56F57" w:rsidRPr="002F6B52" w:rsidRDefault="00B56F57" w:rsidP="00C95509">
      <w:pPr>
        <w:pStyle w:val="FootnoteText"/>
        <w:rPr>
          <w:rFonts w:cstheme="minorHAnsi"/>
          <w:sz w:val="16"/>
          <w:szCs w:val="16"/>
          <w:lang w:val="sr-Cyrl-RS"/>
        </w:rPr>
      </w:pPr>
      <w:r w:rsidRPr="002F6B52">
        <w:rPr>
          <w:rStyle w:val="FootnoteReference"/>
          <w:rFonts w:cstheme="minorHAnsi"/>
          <w:sz w:val="16"/>
          <w:szCs w:val="16"/>
          <w:lang w:val="sr-Cyrl-RS"/>
        </w:rPr>
        <w:footnoteRef/>
      </w:r>
      <w:r w:rsidRPr="002F6B52">
        <w:rPr>
          <w:rFonts w:cstheme="minorHAnsi"/>
          <w:sz w:val="16"/>
          <w:szCs w:val="16"/>
          <w:lang w:val="sr-Cyrl-RS"/>
        </w:rPr>
        <w:t xml:space="preserve"> Дефиниција дуга, према критеријумима из Мастрихта, између осталог, различито третира издате гаранције, у односу на дефиницију јавног дуга према домаћем законодавству. У јавни дуг (дуг опште државе) улазе, према критеријумима из Мастрихта, само активиране гаранције. Домаће законодавство, по овом питању има конзервативнији приступ, и све издате гаранције укључује у јавни дуг.</w:t>
      </w:r>
    </w:p>
  </w:footnote>
  <w:footnote w:id="8">
    <w:p w14:paraId="7E460E8D" w14:textId="77777777" w:rsidR="00B56F57" w:rsidRPr="002F6B52" w:rsidRDefault="00B56F57" w:rsidP="00C95509">
      <w:pPr>
        <w:pStyle w:val="FootnoteText"/>
        <w:spacing w:after="40"/>
        <w:rPr>
          <w:rFonts w:cstheme="minorHAnsi"/>
          <w:sz w:val="16"/>
          <w:szCs w:val="16"/>
          <w:lang w:val="sr-Cyrl-RS"/>
        </w:rPr>
      </w:pPr>
      <w:r w:rsidRPr="002F6B52">
        <w:rPr>
          <w:rStyle w:val="FootnoteReference"/>
          <w:rFonts w:cstheme="minorHAnsi"/>
          <w:sz w:val="16"/>
          <w:szCs w:val="16"/>
          <w:lang w:val="sr-Cyrl-RS"/>
        </w:rPr>
        <w:footnoteRef/>
      </w:r>
      <w:r w:rsidRPr="002F6B52">
        <w:rPr>
          <w:rFonts w:cstheme="minorHAnsi"/>
          <w:sz w:val="16"/>
          <w:szCs w:val="16"/>
          <w:lang w:val="sr-Cyrl-RS"/>
        </w:rPr>
        <w:t xml:space="preserve"> Отплата по основу гаранција из републичког буџета је у расходе укључена по готовинској основи. Међународни стандарди, који се заснивају на обрачунској основи, у расходе укључују цео износ преосталог дуга, у моменту активирања гаранције, док се сама отплата дуга по том основу третира као финансијска трансакција.</w:t>
      </w:r>
    </w:p>
  </w:footnote>
  <w:footnote w:id="9">
    <w:p w14:paraId="60A92FA1" w14:textId="77777777" w:rsidR="00B56F57" w:rsidRPr="002F6B52" w:rsidRDefault="00B56F57" w:rsidP="00C95509">
      <w:pPr>
        <w:pStyle w:val="FootnoteText"/>
        <w:rPr>
          <w:rFonts w:cstheme="minorHAnsi"/>
          <w:sz w:val="16"/>
          <w:szCs w:val="16"/>
          <w:lang w:val="sr-Cyrl-RS"/>
        </w:rPr>
      </w:pPr>
      <w:r w:rsidRPr="002F6B52">
        <w:rPr>
          <w:rStyle w:val="FootnoteReference"/>
          <w:rFonts w:cstheme="minorHAnsi"/>
          <w:sz w:val="16"/>
          <w:szCs w:val="16"/>
          <w:lang w:val="sr-Cyrl-RS"/>
        </w:rPr>
        <w:footnoteRef/>
      </w:r>
      <w:r w:rsidRPr="002F6B52">
        <w:rPr>
          <w:rFonts w:cstheme="minorHAnsi"/>
          <w:sz w:val="16"/>
          <w:szCs w:val="16"/>
          <w:lang w:val="sr-Cyrl-RS"/>
        </w:rPr>
        <w:t xml:space="preserve"> Део расхода по основу отплате по гаранцијама за ЈП „Путеви Србије” не укључује се у расходе буџета, јер је ово предузеће део сектора опште државе, те су расходи који су финансирани гарантованим кредитима били део расхода опште државе у моменту трошења средстава, док се сама отплата третира као финансијска трансакција („испод црте”).</w:t>
      </w:r>
    </w:p>
  </w:footnote>
  <w:footnote w:id="10">
    <w:p w14:paraId="55952FCB" w14:textId="77777777" w:rsidR="00B56F57" w:rsidRPr="002F6B52" w:rsidRDefault="00B56F57" w:rsidP="00C95509">
      <w:pPr>
        <w:pStyle w:val="FootnoteText"/>
        <w:rPr>
          <w:rFonts w:cs="Calibri"/>
          <w:sz w:val="16"/>
          <w:szCs w:val="16"/>
          <w:lang w:val="sr-Cyrl-RS"/>
        </w:rPr>
      </w:pPr>
      <w:r w:rsidRPr="002F6B52">
        <w:rPr>
          <w:rStyle w:val="FootnoteReference"/>
          <w:rFonts w:cs="Calibri"/>
          <w:sz w:val="16"/>
          <w:szCs w:val="16"/>
          <w:lang w:val="sr-Cyrl-RS"/>
        </w:rPr>
        <w:footnoteRef/>
      </w:r>
      <w:r w:rsidRPr="002F6B52">
        <w:rPr>
          <w:rFonts w:cs="Calibri"/>
          <w:sz w:val="16"/>
          <w:szCs w:val="16"/>
          <w:lang w:val="sr-Cyrl-RS"/>
        </w:rPr>
        <w:t xml:space="preserve"> Народна скупштина усвојила је измене и допуне Закона о НБС и Закона о банкама, као и нови Закон о АОД, Закон о осигурању депозита, Закон о стечају и ликвидацији банака и друштава за осигурање. Са изменом сета финансијских закона, наметнуло се и усвајање допуне Закона о министарствима.</w:t>
      </w:r>
    </w:p>
  </w:footnote>
  <w:footnote w:id="11">
    <w:p w14:paraId="575765B2" w14:textId="77777777" w:rsidR="00B56F57" w:rsidRPr="002F6B52" w:rsidRDefault="00B56F57" w:rsidP="00C95509">
      <w:pPr>
        <w:pStyle w:val="FootnoteText"/>
        <w:rPr>
          <w:rFonts w:cs="Calibri"/>
          <w:sz w:val="16"/>
          <w:szCs w:val="16"/>
          <w:lang w:val="sr-Cyrl-RS"/>
        </w:rPr>
      </w:pPr>
      <w:r w:rsidRPr="002F6B52">
        <w:rPr>
          <w:rStyle w:val="FootnoteReference"/>
          <w:rFonts w:cs="Calibri"/>
          <w:sz w:val="16"/>
          <w:szCs w:val="16"/>
          <w:lang w:val="sr-Cyrl-RS"/>
        </w:rPr>
        <w:footnoteRef/>
      </w:r>
      <w:r w:rsidRPr="002F6B52">
        <w:rPr>
          <w:rFonts w:cs="Calibri"/>
          <w:sz w:val="16"/>
          <w:szCs w:val="16"/>
          <w:lang w:val="sr-Cyrl-RS"/>
        </w:rPr>
        <w:t xml:space="preserve"> Заштићени депоненти су: физичка лица, предузетници, микро, мала и средња правна лица, након искључења предвиђеним Законом о осигурању депозита.</w:t>
      </w:r>
    </w:p>
  </w:footnote>
  <w:footnote w:id="12">
    <w:p w14:paraId="4453E951" w14:textId="77777777" w:rsidR="00B56F57" w:rsidRPr="002F6B52" w:rsidRDefault="00B56F57" w:rsidP="00E124CF">
      <w:pPr>
        <w:spacing w:after="0"/>
        <w:rPr>
          <w:rFonts w:eastAsia="Times New Roman" w:cstheme="minorHAnsi"/>
          <w:bCs/>
          <w:sz w:val="16"/>
          <w:szCs w:val="16"/>
          <w:lang w:val="sr-Cyrl-RS"/>
        </w:rPr>
      </w:pPr>
      <w:r w:rsidRPr="002F6B52">
        <w:rPr>
          <w:rStyle w:val="FootnoteReference"/>
          <w:rFonts w:cstheme="minorHAnsi"/>
          <w:sz w:val="16"/>
          <w:szCs w:val="16"/>
          <w:lang w:val="sr-Cyrl-RS"/>
        </w:rPr>
        <w:footnoteRef/>
      </w:r>
      <w:r w:rsidRPr="002F6B52">
        <w:rPr>
          <w:rFonts w:cstheme="minorHAnsi"/>
          <w:sz w:val="16"/>
          <w:szCs w:val="16"/>
          <w:lang w:val="sr-Cyrl-RS"/>
        </w:rPr>
        <w:t xml:space="preserve"> </w:t>
      </w:r>
      <w:r w:rsidRPr="002F6B52">
        <w:rPr>
          <w:rFonts w:eastAsia="Times New Roman" w:cstheme="minorHAnsi"/>
          <w:bCs/>
          <w:sz w:val="16"/>
          <w:szCs w:val="16"/>
          <w:lang w:val="sr-Cyrl-RS"/>
        </w:rPr>
        <w:t>Детаљнији опис коришћене методологије и резултата могу се пронаћи у Фискалној стратегији за 2013. годину са пројекцијама за 2014. и 2015. годину или путем линка</w:t>
      </w:r>
      <w:r w:rsidRPr="002F6B52">
        <w:rPr>
          <w:rFonts w:cstheme="minorHAnsi"/>
          <w:sz w:val="16"/>
          <w:szCs w:val="16"/>
          <w:lang w:val="sr-Cyrl-RS"/>
        </w:rPr>
        <w:t xml:space="preserve"> </w:t>
      </w:r>
      <w:hyperlink r:id="rId2" w:history="1">
        <w:r w:rsidRPr="002F6B52">
          <w:rPr>
            <w:rStyle w:val="Hyperlink"/>
            <w:rFonts w:eastAsia="Times New Roman" w:cstheme="minorHAnsi"/>
            <w:bCs/>
            <w:color w:val="44546A" w:themeColor="text2"/>
            <w:sz w:val="16"/>
            <w:szCs w:val="16"/>
            <w:u w:val="none"/>
            <w:lang w:val="sr-Cyrl-RS"/>
          </w:rPr>
          <w:t>http://www.mfin.gov.rs/pages/article.php?id=8626</w:t>
        </w:r>
      </w:hyperlink>
    </w:p>
  </w:footnote>
  <w:footnote w:id="13">
    <w:p w14:paraId="622A9E97" w14:textId="77777777" w:rsidR="00B56F57" w:rsidRPr="002F6B52" w:rsidRDefault="00B56F57" w:rsidP="00E124CF">
      <w:pPr>
        <w:pStyle w:val="FootnoteText"/>
        <w:rPr>
          <w:rFonts w:cstheme="minorHAnsi"/>
          <w:sz w:val="16"/>
          <w:szCs w:val="16"/>
          <w:lang w:val="sr-Cyrl-RS"/>
        </w:rPr>
      </w:pPr>
      <w:r w:rsidRPr="002F6B52">
        <w:rPr>
          <w:rStyle w:val="FootnoteReference"/>
          <w:rFonts w:cstheme="minorHAnsi"/>
          <w:sz w:val="16"/>
          <w:szCs w:val="16"/>
          <w:lang w:val="sr-Cyrl-RS"/>
        </w:rPr>
        <w:footnoteRef/>
      </w:r>
      <w:r w:rsidRPr="002F6B52">
        <w:rPr>
          <w:rFonts w:cstheme="minorHAnsi"/>
          <w:sz w:val="16"/>
          <w:szCs w:val="16"/>
          <w:lang w:val="sr-Cyrl-RS"/>
        </w:rPr>
        <w:t xml:space="preserve"> Јавни дуг у овом документу не обухвата дуг по основу реституције у складу са дефиницијом дуга из Закона о буџетском систему.</w:t>
      </w:r>
    </w:p>
  </w:footnote>
  <w:footnote w:id="14">
    <w:p w14:paraId="3B4FE6A5" w14:textId="77777777" w:rsidR="00B56F57" w:rsidRPr="002F6B52" w:rsidRDefault="00B56F57" w:rsidP="00C91F83">
      <w:pPr>
        <w:pStyle w:val="FootnoteText"/>
        <w:rPr>
          <w:rStyle w:val="FootnoteReference"/>
          <w:rFonts w:cs="Times New Roman"/>
          <w:sz w:val="16"/>
          <w:szCs w:val="16"/>
          <w:vertAlign w:val="baseline"/>
          <w:lang w:val="sr-Cyrl-RS"/>
        </w:rPr>
      </w:pPr>
      <w:r w:rsidRPr="002F6B52">
        <w:rPr>
          <w:rStyle w:val="FootnoteReference"/>
          <w:sz w:val="16"/>
          <w:szCs w:val="16"/>
          <w:lang w:val="sr-Cyrl-RS"/>
        </w:rPr>
        <w:footnoteRef/>
      </w:r>
      <w:r w:rsidRPr="002F6B52">
        <w:rPr>
          <w:rStyle w:val="FootnoteReference"/>
          <w:sz w:val="16"/>
          <w:szCs w:val="16"/>
          <w:vertAlign w:val="baseline"/>
          <w:lang w:val="sr-Cyrl-RS"/>
        </w:rPr>
        <w:t xml:space="preserve"> АТМ (</w:t>
      </w:r>
      <w:r w:rsidRPr="002F6B52">
        <w:rPr>
          <w:rStyle w:val="FootnoteReference"/>
          <w:i/>
          <w:sz w:val="16"/>
          <w:szCs w:val="16"/>
          <w:vertAlign w:val="baseline"/>
          <w:lang w:val="sr-Cyrl-RS"/>
        </w:rPr>
        <w:t>Average Time to Maturity</w:t>
      </w:r>
      <w:r w:rsidRPr="002F6B52">
        <w:rPr>
          <w:rStyle w:val="FootnoteReference"/>
          <w:sz w:val="16"/>
          <w:szCs w:val="16"/>
          <w:vertAlign w:val="baseline"/>
          <w:lang w:val="sr-Cyrl-RS"/>
        </w:rPr>
        <w:t>) – енглеска скраћеница за просечно време до доспећа.</w:t>
      </w:r>
    </w:p>
  </w:footnote>
  <w:footnote w:id="15">
    <w:p w14:paraId="03501C04" w14:textId="77777777" w:rsidR="00B56F57" w:rsidRPr="002F6B52" w:rsidRDefault="00B56F57" w:rsidP="00C91F83">
      <w:pPr>
        <w:pStyle w:val="FootnoteText"/>
        <w:rPr>
          <w:lang w:val="sr-Cyrl-RS"/>
        </w:rPr>
      </w:pPr>
      <w:r w:rsidRPr="002F6B52">
        <w:rPr>
          <w:rStyle w:val="FootnoteReference"/>
          <w:sz w:val="16"/>
          <w:szCs w:val="16"/>
          <w:lang w:val="sr-Cyrl-RS"/>
        </w:rPr>
        <w:footnoteRef/>
      </w:r>
      <w:r w:rsidRPr="002F6B52">
        <w:rPr>
          <w:rStyle w:val="FootnoteReference"/>
          <w:sz w:val="16"/>
          <w:szCs w:val="16"/>
          <w:vertAlign w:val="baseline"/>
          <w:lang w:val="sr-Cyrl-RS"/>
        </w:rPr>
        <w:t xml:space="preserve"> АТR (</w:t>
      </w:r>
      <w:r w:rsidRPr="002F6B52">
        <w:rPr>
          <w:rStyle w:val="FootnoteReference"/>
          <w:i/>
          <w:sz w:val="16"/>
          <w:szCs w:val="16"/>
          <w:vertAlign w:val="baseline"/>
          <w:lang w:val="sr-Cyrl-RS"/>
        </w:rPr>
        <w:t>Average Time to Refixing</w:t>
      </w:r>
      <w:r w:rsidRPr="002F6B52">
        <w:rPr>
          <w:rStyle w:val="FootnoteReference"/>
          <w:sz w:val="16"/>
          <w:szCs w:val="16"/>
          <w:vertAlign w:val="baseline"/>
          <w:lang w:val="sr-Cyrl-RS"/>
        </w:rPr>
        <w:t>) – енглеска скраћеница за просечно време до промене каматних стопа.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E9A819" w14:textId="77777777" w:rsidR="00B56F57" w:rsidRPr="001B7E15" w:rsidRDefault="00B56F57" w:rsidP="00BD7EB6">
    <w:pPr>
      <w:pStyle w:val="Header"/>
      <w:jc w:val="center"/>
      <w:rPr>
        <w:lang w:val="sr-Cyrl-RS"/>
      </w:rPr>
    </w:pPr>
    <w:r w:rsidRPr="001B7E15">
      <w:rPr>
        <w:lang w:val="sr-Cyrl-RS"/>
      </w:rPr>
      <w:t>Фискална стратегија за 2019. годину са пројекцијама за 2020. и 2021. годину</w:t>
    </w:r>
  </w:p>
  <w:p w14:paraId="47E29DDA" w14:textId="77777777" w:rsidR="00B56F57" w:rsidRDefault="00B56F57">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B3F90" w14:textId="77777777" w:rsidR="00B56F57" w:rsidRPr="00BF7F6A" w:rsidRDefault="00B56F57" w:rsidP="00BD7EB6">
    <w:pPr>
      <w:pStyle w:val="Header"/>
      <w:jc w:val="center"/>
      <w:rPr>
        <w:lang w:val="sr-Cyrl-RS"/>
      </w:rPr>
    </w:pPr>
    <w:r>
      <w:rPr>
        <w:lang w:val="sr-Cyrl-RS"/>
      </w:rPr>
      <w:t>Фискална стратегија за 2019. годину са пројекцијама за 2020. и 2021. годину</w:t>
    </w:r>
  </w:p>
  <w:p w14:paraId="5742326E" w14:textId="77777777" w:rsidR="00B56F57" w:rsidRDefault="00B56F57">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E7E7A" w14:textId="77777777" w:rsidR="00B56F57" w:rsidRPr="00F061F2" w:rsidRDefault="00B56F57" w:rsidP="00C130D2">
    <w:pPr>
      <w:pStyle w:val="Header"/>
      <w:jc w:val="center"/>
    </w:pPr>
    <w:r>
      <w:rPr>
        <w:lang w:val="sr-Cyrl-RS"/>
      </w:rPr>
      <w:t>Фискална стратегија за 202</w:t>
    </w:r>
    <w:r>
      <w:t>1</w:t>
    </w:r>
    <w:r>
      <w:rPr>
        <w:lang w:val="sr-Cyrl-RS"/>
      </w:rPr>
      <w:t>. годину са пројекцијама за 202</w:t>
    </w:r>
    <w:r>
      <w:t>2</w:t>
    </w:r>
    <w:r>
      <w:rPr>
        <w:lang w:val="sr-Cyrl-RS"/>
      </w:rPr>
      <w:t>. и 202</w:t>
    </w:r>
    <w:r>
      <w:t>3</w:t>
    </w:r>
    <w:r w:rsidRPr="00F061F2">
      <w:rPr>
        <w:lang w:val="sr-Cyrl-RS"/>
      </w:rPr>
      <w:t>. годину</w:t>
    </w:r>
  </w:p>
  <w:p w14:paraId="1946CC83" w14:textId="77777777" w:rsidR="00B56F57" w:rsidRPr="004F72C4" w:rsidRDefault="00B56F57" w:rsidP="004F72C4">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6C2363" w14:textId="77777777" w:rsidR="00B56F57" w:rsidRPr="00BF7F6A" w:rsidRDefault="00B56F57" w:rsidP="00BD7EB6">
    <w:pPr>
      <w:pStyle w:val="Header"/>
      <w:jc w:val="center"/>
      <w:rPr>
        <w:lang w:val="sr-Cyrl-RS"/>
      </w:rPr>
    </w:pPr>
    <w:r>
      <w:rPr>
        <w:lang w:val="sr-Cyrl-RS"/>
      </w:rPr>
      <w:t>Фискална стратегија за 2019. годину са пројекцијама за 2020. и 2021. годину</w:t>
    </w:r>
  </w:p>
  <w:p w14:paraId="62966634" w14:textId="77777777" w:rsidR="00B56F57" w:rsidRDefault="00B56F57">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A650BA" w14:textId="77777777" w:rsidR="00B56F57" w:rsidRPr="00F061F2" w:rsidRDefault="00B56F57" w:rsidP="00C130D2">
    <w:pPr>
      <w:pStyle w:val="Header"/>
      <w:jc w:val="center"/>
    </w:pPr>
    <w:r w:rsidRPr="006C57DB">
      <w:rPr>
        <w:lang w:val="sr-Cyrl-RS"/>
      </w:rPr>
      <w:t xml:space="preserve">Фискална </w:t>
    </w:r>
    <w:r>
      <w:rPr>
        <w:lang w:val="sr-Cyrl-RS"/>
      </w:rPr>
      <w:t>стратегија за 2020. годину са пројекцијама за 2021. и 2022</w:t>
    </w:r>
    <w:r w:rsidRPr="00F061F2">
      <w:rPr>
        <w:lang w:val="sr-Cyrl-RS"/>
      </w:rPr>
      <w:t>. годину</w:t>
    </w:r>
  </w:p>
  <w:p w14:paraId="1573E1B0" w14:textId="77777777" w:rsidR="00B56F57" w:rsidRPr="004F72C4" w:rsidRDefault="00B56F57" w:rsidP="004F72C4">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539E5" w14:textId="77777777" w:rsidR="00B56F57" w:rsidRPr="00242248" w:rsidRDefault="00B56F57" w:rsidP="00C91F83">
    <w:pPr>
      <w:pStyle w:val="Header"/>
      <w:jc w:val="center"/>
    </w:pPr>
    <w:r w:rsidRPr="006C57DB">
      <w:rPr>
        <w:lang w:val="sr-Cyrl-RS"/>
      </w:rPr>
      <w:t xml:space="preserve">Фискална </w:t>
    </w:r>
    <w:r w:rsidRPr="00361C29">
      <w:rPr>
        <w:lang w:val="sr-Cyrl-RS"/>
      </w:rPr>
      <w:t>стратегија за 20</w:t>
    </w:r>
    <w:r>
      <w:rPr>
        <w:lang w:val="sr-Cyrl-RS"/>
      </w:rPr>
      <w:t>2</w:t>
    </w:r>
    <w:r>
      <w:rPr>
        <w:lang w:val="en-GB"/>
      </w:rPr>
      <w:t>3</w:t>
    </w:r>
    <w:r w:rsidRPr="00361C29">
      <w:rPr>
        <w:lang w:val="sr-Cyrl-RS"/>
      </w:rPr>
      <w:t>. годину са пројекцијама за 202</w:t>
    </w:r>
    <w:r>
      <w:rPr>
        <w:lang w:val="en-GB"/>
      </w:rPr>
      <w:t>4</w:t>
    </w:r>
    <w:r w:rsidRPr="00361C29">
      <w:rPr>
        <w:lang w:val="sr-Cyrl-RS"/>
      </w:rPr>
      <w:t>. и 202</w:t>
    </w:r>
    <w:r>
      <w:rPr>
        <w:lang w:val="en-GB"/>
      </w:rPr>
      <w:t>5</w:t>
    </w:r>
    <w:r w:rsidRPr="00361C29">
      <w:rPr>
        <w:lang w:val="sr-Cyrl-RS"/>
      </w:rPr>
      <w:t>. годину</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6F1FC" w14:textId="77777777" w:rsidR="00B56F57" w:rsidRPr="00BF7F6A" w:rsidRDefault="00B56F57" w:rsidP="00BD7EB6">
    <w:pPr>
      <w:pStyle w:val="Header"/>
      <w:jc w:val="center"/>
      <w:rPr>
        <w:lang w:val="sr-Cyrl-RS"/>
      </w:rPr>
    </w:pPr>
    <w:r>
      <w:rPr>
        <w:lang w:val="sr-Cyrl-RS"/>
      </w:rPr>
      <w:t>Фискална стратегија за 2019. годину са пројекцијама за 2020. и 2021. годину</w:t>
    </w:r>
  </w:p>
  <w:p w14:paraId="67EE3CE4" w14:textId="77777777" w:rsidR="00B56F57" w:rsidRDefault="00B56F57">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1302B7" w14:textId="77777777" w:rsidR="00B56F57" w:rsidRPr="00F061F2" w:rsidRDefault="00B56F57" w:rsidP="005D42AC">
    <w:pPr>
      <w:pStyle w:val="Header"/>
      <w:jc w:val="center"/>
    </w:pPr>
    <w:r>
      <w:t>Фискална стратегија за 2021. годину са пројекцијама за 2022. и 2023</w:t>
    </w:r>
    <w:r w:rsidRPr="00F061F2">
      <w:t>. годину</w:t>
    </w:r>
  </w:p>
  <w:p w14:paraId="2C5BE3A0" w14:textId="77777777" w:rsidR="00B56F57" w:rsidRPr="004F72C4" w:rsidRDefault="00B56F57" w:rsidP="004F72C4">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22EB21" w14:textId="77777777" w:rsidR="00B56F57" w:rsidRPr="00094ACF" w:rsidRDefault="00B56F57" w:rsidP="00E124CF">
    <w:pPr>
      <w:tabs>
        <w:tab w:val="center" w:pos="4680"/>
        <w:tab w:val="right" w:pos="9360"/>
      </w:tabs>
      <w:spacing w:after="0" w:line="240" w:lineRule="auto"/>
      <w:jc w:val="center"/>
      <w:rPr>
        <w:lang w:val="sr-Cyrl-RS"/>
      </w:rPr>
    </w:pPr>
    <w:r w:rsidRPr="00094ACF">
      <w:rPr>
        <w:lang w:val="sr-Cyrl-RS"/>
      </w:rPr>
      <w:t>Фискална стратегија за 2023. годину са пројекцијама за 2024. и 2025. годину</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9FD946" w14:textId="77777777" w:rsidR="00B56F57" w:rsidRPr="00BF7F6A" w:rsidRDefault="00B56F57" w:rsidP="00BD7EB6">
    <w:pPr>
      <w:pStyle w:val="Header"/>
      <w:jc w:val="center"/>
    </w:pPr>
    <w:r>
      <w:t>Фискална стратегија за 2019. годину са пројекцијама за 2020. и 2021. годину</w:t>
    </w:r>
  </w:p>
  <w:p w14:paraId="3D5F199D" w14:textId="77777777" w:rsidR="00B56F57" w:rsidRDefault="00B56F57">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3B4146" w14:textId="77777777" w:rsidR="00B56F57" w:rsidRPr="00F061F2" w:rsidRDefault="00B56F57" w:rsidP="00C130D2">
    <w:pPr>
      <w:pStyle w:val="Header"/>
      <w:jc w:val="center"/>
    </w:pPr>
    <w:r w:rsidRPr="00724C89">
      <w:t xml:space="preserve">Ревидирана фискална </w:t>
    </w:r>
    <w:r>
      <w:t>стратегија за 2020. годину са пројекцијама за 2021. и 2022</w:t>
    </w:r>
    <w:r w:rsidRPr="00F061F2">
      <w:t>. годину</w:t>
    </w:r>
  </w:p>
  <w:p w14:paraId="6743FE75" w14:textId="77777777" w:rsidR="00B56F57" w:rsidRPr="004F72C4" w:rsidRDefault="00B56F57" w:rsidP="004F72C4">
    <w:pPr>
      <w:pStyle w:val="Header"/>
    </w:pPr>
  </w:p>
  <w:p w14:paraId="3685BB27" w14:textId="77777777" w:rsidR="00B56F57" w:rsidRDefault="00B56F5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7F8DF" w14:textId="673D7F9E" w:rsidR="00B56F57" w:rsidRPr="003C3685" w:rsidRDefault="00B56F57" w:rsidP="003C3685">
    <w:pPr>
      <w:pStyle w:val="Header"/>
      <w:jc w:val="center"/>
      <w:rPr>
        <w:lang w:val="sr-Cyrl-RS"/>
      </w:rPr>
    </w:pPr>
    <w:r>
      <w:rPr>
        <w:lang w:val="sr-Cyrl-RS"/>
      </w:rPr>
      <w:t>Фискална стратегија за 20</w:t>
    </w:r>
    <w:r>
      <w:rPr>
        <w:lang w:val="sr-Latn-RS"/>
      </w:rPr>
      <w:t>23</w:t>
    </w:r>
    <w:r>
      <w:rPr>
        <w:lang w:val="sr-Cyrl-RS"/>
      </w:rPr>
      <w:t>. годину са пројекцијама за 202</w:t>
    </w:r>
    <w:r>
      <w:rPr>
        <w:lang w:val="sr-Latn-RS"/>
      </w:rPr>
      <w:t>4.</w:t>
    </w:r>
    <w:r>
      <w:rPr>
        <w:lang w:val="sr-Cyrl-RS"/>
      </w:rPr>
      <w:t xml:space="preserve"> и 202</w:t>
    </w:r>
    <w:r>
      <w:rPr>
        <w:lang w:val="sr-Latn-RS"/>
      </w:rPr>
      <w:t>5</w:t>
    </w:r>
    <w:r>
      <w:rPr>
        <w:lang w:val="sr-Cyrl-RS"/>
      </w:rPr>
      <w:t>. годину</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08486" w14:textId="77777777" w:rsidR="00B56F57" w:rsidRPr="000766DD" w:rsidRDefault="00B56F57" w:rsidP="000766DD">
    <w:pPr>
      <w:pStyle w:val="Header"/>
    </w:pPr>
  </w:p>
  <w:p w14:paraId="6EA8E836" w14:textId="77777777" w:rsidR="00B56F57" w:rsidRDefault="00B56F57"/>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6C5E1A" w14:textId="77777777" w:rsidR="00B56F57" w:rsidRPr="00BF7F6A" w:rsidRDefault="00B56F57" w:rsidP="00BD7EB6">
    <w:pPr>
      <w:pStyle w:val="Header"/>
      <w:jc w:val="center"/>
    </w:pPr>
    <w:r>
      <w:t>Фискална стратегија за 2019. годину са пројекцијама за 2020. и 2021. годину</w:t>
    </w:r>
  </w:p>
  <w:p w14:paraId="4562E715" w14:textId="77777777" w:rsidR="00B56F57" w:rsidRDefault="00B56F57">
    <w:pPr>
      <w:pStyle w:val="Header"/>
    </w:pPr>
  </w:p>
  <w:p w14:paraId="7E47F016" w14:textId="77777777" w:rsidR="00B56F57" w:rsidRDefault="00B56F57"/>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8F42F8" w14:textId="77777777" w:rsidR="00B56F57" w:rsidRPr="00F061F2" w:rsidRDefault="00B56F57" w:rsidP="00C130D2">
    <w:pPr>
      <w:pStyle w:val="Header"/>
      <w:jc w:val="center"/>
    </w:pPr>
    <w:r w:rsidRPr="00724C89">
      <w:t xml:space="preserve">Ревидирана фискална </w:t>
    </w:r>
    <w:r>
      <w:t>стратегија за 2020. годину са пројекцијама за 2021. и 2022</w:t>
    </w:r>
    <w:r w:rsidRPr="00F061F2">
      <w:t>. годину</w:t>
    </w:r>
  </w:p>
  <w:p w14:paraId="5508EF05" w14:textId="77777777" w:rsidR="00B56F57" w:rsidRDefault="00B56F57">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F21049" w14:textId="77777777" w:rsidR="00B56F57" w:rsidRPr="00094ACF" w:rsidRDefault="00B56F57" w:rsidP="00E124CF">
    <w:pPr>
      <w:tabs>
        <w:tab w:val="center" w:pos="4680"/>
        <w:tab w:val="right" w:pos="9360"/>
      </w:tabs>
      <w:spacing w:after="0" w:line="240" w:lineRule="auto"/>
      <w:jc w:val="center"/>
      <w:rPr>
        <w:lang w:val="sr-Cyrl-RS"/>
      </w:rPr>
    </w:pPr>
    <w:r w:rsidRPr="00094ACF">
      <w:rPr>
        <w:lang w:val="sr-Cyrl-RS"/>
      </w:rPr>
      <w:t>Фискална стратегија за 2023. годину са пројекцијама за 2024. и 2025. годину</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46867" w14:textId="77777777" w:rsidR="00B56F57" w:rsidRPr="00BF7F6A" w:rsidRDefault="00B56F57" w:rsidP="00BD7EB6">
    <w:pPr>
      <w:pStyle w:val="Header"/>
      <w:jc w:val="center"/>
    </w:pPr>
    <w:r>
      <w:t>Фискална стратегија за 2019. годину са пројекцијама за 2020. и 2021. годину</w:t>
    </w:r>
  </w:p>
  <w:p w14:paraId="704617D9" w14:textId="77777777" w:rsidR="00B56F57" w:rsidRDefault="00B56F57">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758266" w14:textId="77777777" w:rsidR="00B56F57" w:rsidRPr="00F061F2" w:rsidRDefault="00B56F57" w:rsidP="00C130D2">
    <w:pPr>
      <w:pStyle w:val="Header"/>
      <w:jc w:val="center"/>
    </w:pPr>
    <w:r w:rsidRPr="006C57DB">
      <w:rPr>
        <w:lang w:val="sr-Cyrl-RS"/>
      </w:rPr>
      <w:t xml:space="preserve">Фискална </w:t>
    </w:r>
    <w:r>
      <w:rPr>
        <w:lang w:val="sr-Cyrl-RS"/>
      </w:rPr>
      <w:t>стратегија за 2020. годину са пројекцијама за 2021. и 2022</w:t>
    </w:r>
    <w:r w:rsidRPr="00F061F2">
      <w:rPr>
        <w:lang w:val="sr-Cyrl-RS"/>
      </w:rPr>
      <w:t>. годину</w:t>
    </w:r>
  </w:p>
  <w:p w14:paraId="44186450" w14:textId="77777777" w:rsidR="00B56F57" w:rsidRDefault="00B56F57">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9222B" w14:textId="77777777" w:rsidR="00B56F57" w:rsidRPr="00BF7F6A" w:rsidRDefault="00B56F57" w:rsidP="00BD7EB6">
    <w:pPr>
      <w:pStyle w:val="Header"/>
      <w:jc w:val="center"/>
      <w:rPr>
        <w:lang w:val="sr-Cyrl-RS"/>
      </w:rPr>
    </w:pPr>
    <w:r>
      <w:rPr>
        <w:lang w:val="sr-Cyrl-RS"/>
      </w:rPr>
      <w:t>Фискална стратегија за 2019. годину са пројекцијама за 2020. и 2021. годину</w:t>
    </w:r>
  </w:p>
  <w:p w14:paraId="5E209F77" w14:textId="77777777" w:rsidR="00B56F57" w:rsidRDefault="00B56F57">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083A39" w14:textId="77777777" w:rsidR="00B56F57" w:rsidRPr="00F061F2" w:rsidRDefault="00B56F57" w:rsidP="00C130D2">
    <w:pPr>
      <w:pStyle w:val="Header"/>
      <w:jc w:val="center"/>
    </w:pPr>
    <w:r w:rsidRPr="006C57DB">
      <w:t xml:space="preserve">Фискална </w:t>
    </w:r>
    <w:r>
      <w:t>стратегија за 2020. годину са пројекцијама за 2021. и 2022</w:t>
    </w:r>
    <w:r w:rsidRPr="00F061F2">
      <w:t>. годину</w:t>
    </w:r>
  </w:p>
  <w:p w14:paraId="38AE737A" w14:textId="77777777" w:rsidR="00B56F57" w:rsidRDefault="00B56F57">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304E9" w14:textId="77777777" w:rsidR="00B56F57" w:rsidRPr="00BF7F6A" w:rsidRDefault="00B56F57" w:rsidP="00BD7EB6">
    <w:pPr>
      <w:pStyle w:val="Header"/>
      <w:jc w:val="center"/>
    </w:pPr>
    <w:r>
      <w:t>Фискална стратегија за 2019. годину са пројекцијама за 2020. и 2021. годину</w:t>
    </w:r>
  </w:p>
  <w:p w14:paraId="4A501A10" w14:textId="77777777" w:rsidR="00B56F57" w:rsidRDefault="00B56F57">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3C5FB2" w14:textId="77777777" w:rsidR="00B56F57" w:rsidRPr="00CB5C6B" w:rsidRDefault="00B56F57" w:rsidP="00953528">
    <w:pPr>
      <w:pStyle w:val="Header"/>
      <w:jc w:val="center"/>
      <w:rPr>
        <w:lang w:val="sr-Cyrl-RS"/>
      </w:rPr>
    </w:pPr>
    <w:r>
      <w:rPr>
        <w:lang w:val="sr-Cyrl-RS"/>
      </w:rPr>
      <w:t>Фискална стратегија за 202</w:t>
    </w:r>
    <w:r>
      <w:rPr>
        <w:lang w:val="en-GB"/>
      </w:rPr>
      <w:t>3</w:t>
    </w:r>
    <w:r>
      <w:rPr>
        <w:lang w:val="sr-Cyrl-RS"/>
      </w:rPr>
      <w:t>. годину са пројекцијама за 202</w:t>
    </w:r>
    <w:r>
      <w:t>4</w:t>
    </w:r>
    <w:r>
      <w:rPr>
        <w:lang w:val="sr-Cyrl-RS"/>
      </w:rPr>
      <w:t>. и 202</w:t>
    </w:r>
    <w:r>
      <w:t>5</w:t>
    </w:r>
    <w:r>
      <w:rPr>
        <w:lang w:val="sr-Cyrl-RS"/>
      </w:rPr>
      <w:t>. годину</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4AF04C" w14:textId="4819E796" w:rsidR="00B56F57" w:rsidRPr="003C3685" w:rsidRDefault="00B56F57" w:rsidP="003C3685">
    <w:pPr>
      <w:pStyle w:val="Header"/>
      <w:jc w:val="center"/>
    </w:pPr>
    <w:r>
      <w:rPr>
        <w:lang w:val="sr-Cyrl-RS"/>
      </w:rPr>
      <w:t>Фискална стратегија за 20</w:t>
    </w:r>
    <w:r>
      <w:rPr>
        <w:lang w:val="sr-Latn-RS"/>
      </w:rPr>
      <w:t>23</w:t>
    </w:r>
    <w:r>
      <w:rPr>
        <w:lang w:val="sr-Cyrl-RS"/>
      </w:rPr>
      <w:t>. годину са пројекцијама за 202</w:t>
    </w:r>
    <w:r>
      <w:rPr>
        <w:lang w:val="sr-Latn-RS"/>
      </w:rPr>
      <w:t>4.</w:t>
    </w:r>
    <w:r>
      <w:rPr>
        <w:lang w:val="sr-Cyrl-RS"/>
      </w:rPr>
      <w:t xml:space="preserve"> и 202</w:t>
    </w:r>
    <w:r>
      <w:rPr>
        <w:lang w:val="sr-Latn-RS"/>
      </w:rPr>
      <w:t>5</w:t>
    </w:r>
    <w:r>
      <w:rPr>
        <w:lang w:val="sr-Cyrl-RS"/>
      </w:rPr>
      <w:t>. годину</w: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640AC0" w14:textId="77777777" w:rsidR="00B56F57" w:rsidRPr="00BF7F6A" w:rsidRDefault="00B56F57" w:rsidP="00BD7EB6">
    <w:pPr>
      <w:pStyle w:val="Header"/>
      <w:jc w:val="center"/>
      <w:rPr>
        <w:lang w:val="sr-Cyrl-RS"/>
      </w:rPr>
    </w:pPr>
    <w:r>
      <w:rPr>
        <w:lang w:val="sr-Cyrl-RS"/>
      </w:rPr>
      <w:t>Фискална стратегија за 2019. годину са пројекцијама за 2020. и 2021. годину</w:t>
    </w:r>
  </w:p>
  <w:p w14:paraId="09FD3707" w14:textId="77777777" w:rsidR="00B56F57" w:rsidRDefault="00B56F57">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FA34D9" w14:textId="77777777" w:rsidR="00B56F57" w:rsidRPr="0040572C" w:rsidRDefault="00B56F57" w:rsidP="00953528">
    <w:pPr>
      <w:pStyle w:val="Header"/>
      <w:jc w:val="center"/>
      <w:rPr>
        <w:lang w:val="sr-Cyrl-RS"/>
      </w:rPr>
    </w:pPr>
    <w:r w:rsidRPr="006C57DB">
      <w:rPr>
        <w:lang w:val="sr-Cyrl-RS"/>
      </w:rPr>
      <w:t xml:space="preserve">Фискална </w:t>
    </w:r>
    <w:r w:rsidRPr="000C433F">
      <w:rPr>
        <w:lang w:val="sr-Cyrl-RS"/>
      </w:rPr>
      <w:t>стратегија за 202</w:t>
    </w:r>
    <w:r>
      <w:rPr>
        <w:lang w:val="en-GB"/>
      </w:rPr>
      <w:t>3</w:t>
    </w:r>
    <w:r w:rsidRPr="000C433F">
      <w:rPr>
        <w:lang w:val="sr-Cyrl-RS"/>
      </w:rPr>
      <w:t>. годину са пројекцијама за 202</w:t>
    </w:r>
    <w:r>
      <w:rPr>
        <w:lang w:val="en-GB"/>
      </w:rPr>
      <w:t>4</w:t>
    </w:r>
    <w:r w:rsidRPr="000C433F">
      <w:rPr>
        <w:lang w:val="sr-Cyrl-RS"/>
      </w:rPr>
      <w:t>. и 202</w:t>
    </w:r>
    <w:r>
      <w:rPr>
        <w:lang w:val="en-GB"/>
      </w:rPr>
      <w:t>5</w:t>
    </w:r>
    <w:r w:rsidRPr="000C433F">
      <w:rPr>
        <w:lang w:val="sr-Cyrl-RS"/>
      </w:rPr>
      <w:t>. годину</w: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2B40A6" w14:textId="77777777" w:rsidR="00B56F57" w:rsidRPr="00BF7F6A" w:rsidRDefault="00B56F57" w:rsidP="00BD7EB6">
    <w:pPr>
      <w:pStyle w:val="Header"/>
      <w:jc w:val="center"/>
      <w:rPr>
        <w:lang w:val="sr-Cyrl-RS"/>
      </w:rPr>
    </w:pPr>
    <w:r>
      <w:rPr>
        <w:lang w:val="sr-Cyrl-RS"/>
      </w:rPr>
      <w:t>Фискална стратегија за 2019. годину са пројекцијама за 2020. и 2021. годину</w:t>
    </w:r>
  </w:p>
  <w:p w14:paraId="645BDD38" w14:textId="77777777" w:rsidR="00B56F57" w:rsidRDefault="00B56F57">
    <w:pPr>
      <w:pStyle w:val="Heade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289B22" w14:textId="77777777" w:rsidR="00B56F57" w:rsidRPr="00F061F2" w:rsidRDefault="00B56F57" w:rsidP="00C130D2">
    <w:pPr>
      <w:pStyle w:val="Header"/>
      <w:jc w:val="center"/>
    </w:pPr>
    <w:r w:rsidRPr="006C57DB">
      <w:rPr>
        <w:lang w:val="sr-Cyrl-RS"/>
      </w:rPr>
      <w:t xml:space="preserve">Фискална </w:t>
    </w:r>
    <w:r>
      <w:rPr>
        <w:lang w:val="sr-Cyrl-RS"/>
      </w:rPr>
      <w:t>стратегија за 2020. годину са пројекцијама за 2021. и 2022</w:t>
    </w:r>
    <w:r w:rsidRPr="00F061F2">
      <w:rPr>
        <w:lang w:val="sr-Cyrl-RS"/>
      </w:rPr>
      <w:t>. годину</w:t>
    </w:r>
  </w:p>
  <w:p w14:paraId="16D4180F" w14:textId="77777777" w:rsidR="00B56F57" w:rsidRDefault="00B56F57">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2AD360" w14:textId="77777777" w:rsidR="00B56F57" w:rsidRPr="00704F42" w:rsidRDefault="00B56F57" w:rsidP="00953528">
    <w:pPr>
      <w:pStyle w:val="Header"/>
      <w:jc w:val="center"/>
      <w:rPr>
        <w:lang w:val="sr-Cyrl-RS"/>
      </w:rPr>
    </w:pPr>
    <w:r w:rsidRPr="006C57DB">
      <w:rPr>
        <w:lang w:val="sr-Cyrl-RS"/>
      </w:rPr>
      <w:t xml:space="preserve">Фискална </w:t>
    </w:r>
    <w:r w:rsidRPr="000C433F">
      <w:rPr>
        <w:lang w:val="sr-Cyrl-RS"/>
      </w:rPr>
      <w:t>стратегија за 202</w:t>
    </w:r>
    <w:r>
      <w:rPr>
        <w:lang w:val="en-GB"/>
      </w:rPr>
      <w:t>3</w:t>
    </w:r>
    <w:r w:rsidRPr="000C433F">
      <w:rPr>
        <w:lang w:val="sr-Cyrl-RS"/>
      </w:rPr>
      <w:t>. годину са пројекцијама за 202</w:t>
    </w:r>
    <w:r>
      <w:rPr>
        <w:lang w:val="en-GB"/>
      </w:rPr>
      <w:t>4</w:t>
    </w:r>
    <w:r w:rsidRPr="000C433F">
      <w:rPr>
        <w:lang w:val="sr-Cyrl-RS"/>
      </w:rPr>
      <w:t>. и 202</w:t>
    </w:r>
    <w:r>
      <w:rPr>
        <w:lang w:val="en-GB"/>
      </w:rPr>
      <w:t>5</w:t>
    </w:r>
    <w:r w:rsidRPr="000C433F">
      <w:rPr>
        <w:lang w:val="sr-Cyrl-RS"/>
      </w:rPr>
      <w:t>. годину</w: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8DAA90" w14:textId="77777777" w:rsidR="00B56F57" w:rsidRPr="00BF7F6A" w:rsidRDefault="00B56F57" w:rsidP="00BD7EB6">
    <w:pPr>
      <w:pStyle w:val="Header"/>
      <w:jc w:val="center"/>
      <w:rPr>
        <w:lang w:val="sr-Cyrl-RS"/>
      </w:rPr>
    </w:pPr>
    <w:r>
      <w:rPr>
        <w:lang w:val="sr-Cyrl-RS"/>
      </w:rPr>
      <w:t>Фискална стратегија за 2019. годину са пројекцијама за 2020. и 2021. годину</w:t>
    </w:r>
  </w:p>
  <w:p w14:paraId="7BD52F40" w14:textId="77777777" w:rsidR="00B56F57" w:rsidRDefault="00B56F57">
    <w:pPr>
      <w:pStyle w:val="Heade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E54D88" w14:textId="77777777" w:rsidR="00B56F57" w:rsidRPr="00CE7D9C" w:rsidRDefault="00B56F57" w:rsidP="00C95509">
    <w:pPr>
      <w:pStyle w:val="Header"/>
      <w:jc w:val="center"/>
      <w:rPr>
        <w:lang w:val="sr-Cyrl-RS"/>
      </w:rPr>
    </w:pPr>
    <w:r w:rsidRPr="006C57DB">
      <w:rPr>
        <w:lang w:val="sr-Cyrl-RS"/>
      </w:rPr>
      <w:t xml:space="preserve">Фискална </w:t>
    </w:r>
    <w:r w:rsidRPr="000C433F">
      <w:rPr>
        <w:lang w:val="sr-Cyrl-RS"/>
      </w:rPr>
      <w:t>стратегија за 202</w:t>
    </w:r>
    <w:r>
      <w:rPr>
        <w:lang w:val="sr-Cyrl-RS"/>
      </w:rPr>
      <w:t>3</w:t>
    </w:r>
    <w:r w:rsidRPr="000C433F">
      <w:rPr>
        <w:lang w:val="sr-Cyrl-RS"/>
      </w:rPr>
      <w:t>. годину са пројекцијама за 202</w:t>
    </w:r>
    <w:r>
      <w:rPr>
        <w:lang w:val="sr-Cyrl-RS"/>
      </w:rPr>
      <w:t>4</w:t>
    </w:r>
    <w:r w:rsidRPr="000C433F">
      <w:rPr>
        <w:lang w:val="sr-Cyrl-RS"/>
      </w:rPr>
      <w:t>. и 202</w:t>
    </w:r>
    <w:r>
      <w:rPr>
        <w:lang w:val="en-GB"/>
      </w:rPr>
      <w:t>5</w:t>
    </w:r>
    <w:r w:rsidRPr="000C433F">
      <w:rPr>
        <w:lang w:val="sr-Cyrl-RS"/>
      </w:rPr>
      <w:t>. годину</w: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E3FA04" w14:textId="77777777" w:rsidR="00B56F57" w:rsidRPr="003B6D80" w:rsidRDefault="00B56F57" w:rsidP="00E4657F">
    <w:pPr>
      <w:pStyle w:val="Header"/>
      <w:jc w:val="center"/>
    </w:pPr>
    <w:r w:rsidRPr="006C57DB">
      <w:rPr>
        <w:lang w:val="sr-Cyrl-RS"/>
      </w:rPr>
      <w:t xml:space="preserve">Фискална </w:t>
    </w:r>
    <w:r w:rsidRPr="00724C89">
      <w:t>стратегија за 2020. годину са пројекцијама за 2021. и 2022. годину</w: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E6B98D" w14:textId="77777777" w:rsidR="00B56F57" w:rsidRPr="00BF7F6A" w:rsidRDefault="00B56F57" w:rsidP="00BD7EB6">
    <w:pPr>
      <w:pStyle w:val="Header"/>
      <w:jc w:val="center"/>
      <w:rPr>
        <w:lang w:val="sr-Cyrl-RS"/>
      </w:rPr>
    </w:pPr>
    <w:r>
      <w:rPr>
        <w:lang w:val="sr-Cyrl-RS"/>
      </w:rPr>
      <w:t>Фискална стратегија за 2019. годину са пројекцијама за 2020. и 2021. годину</w:t>
    </w:r>
  </w:p>
  <w:p w14:paraId="3A693F46" w14:textId="77777777" w:rsidR="00B56F57" w:rsidRDefault="00B56F57">
    <w:pPr>
      <w:pStyle w:val="Heade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5C82A0" w14:textId="77777777" w:rsidR="00B56F57" w:rsidRDefault="00B56F57" w:rsidP="00815831">
    <w:pPr>
      <w:pStyle w:val="Header"/>
      <w:jc w:val="center"/>
    </w:pPr>
    <w:r w:rsidRPr="00724C89">
      <w:t xml:space="preserve">Ревидирана фискална </w:t>
    </w:r>
    <w:r>
      <w:t>стратегија за 2020. годину са пројекцијама за 2021. и 2022</w:t>
    </w:r>
    <w:r w:rsidRPr="00F061F2">
      <w:t>. годину</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43B3A9" w14:textId="77777777" w:rsidR="00B56F57" w:rsidRPr="00521A99" w:rsidRDefault="00B56F57" w:rsidP="00521A99">
    <w:pPr>
      <w:pStyle w:val="Header"/>
      <w:jc w:val="center"/>
      <w:rPr>
        <w:lang w:val="sr-Cyrl-RS"/>
      </w:rPr>
    </w:pPr>
    <w:r w:rsidRPr="006C57DB">
      <w:rPr>
        <w:lang w:val="sr-Cyrl-RS"/>
      </w:rPr>
      <w:t xml:space="preserve">Фискална </w:t>
    </w:r>
    <w:r w:rsidRPr="000C433F">
      <w:rPr>
        <w:lang w:val="sr-Cyrl-RS"/>
      </w:rPr>
      <w:t>стратегија за 2020. годину са пројекцијама за 2021. и 2022. годину</w: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09857E" w14:textId="77777777" w:rsidR="00B56F57" w:rsidRPr="00BF7F6A" w:rsidRDefault="00B56F57" w:rsidP="00BD7EB6">
    <w:pPr>
      <w:pStyle w:val="Header"/>
      <w:jc w:val="center"/>
    </w:pPr>
    <w:r>
      <w:t>Фискална стратегија за 2019. годину са пројекцијама за 2020. и 2021. годину</w:t>
    </w:r>
  </w:p>
  <w:p w14:paraId="7553232A" w14:textId="77777777" w:rsidR="00B56F57" w:rsidRDefault="00B56F57">
    <w:pPr>
      <w:pStyle w:val="Heade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F714A" w14:textId="77777777" w:rsidR="00B56F57" w:rsidRDefault="00B56F57" w:rsidP="005158F5">
    <w:pPr>
      <w:pStyle w:val="Header"/>
      <w:jc w:val="center"/>
    </w:pPr>
    <w:r w:rsidRPr="006C57DB">
      <w:rPr>
        <w:lang w:val="sr-Cyrl-RS"/>
      </w:rPr>
      <w:t xml:space="preserve">Фискална </w:t>
    </w:r>
    <w:r>
      <w:rPr>
        <w:lang w:val="sr-Cyrl-RS"/>
      </w:rPr>
      <w:t>стратегија за 2020. годину са пројекцијама за 2021. и 2022</w:t>
    </w:r>
    <w:r w:rsidRPr="00361C29">
      <w:rPr>
        <w:lang w:val="sr-Cyrl-RS"/>
      </w:rPr>
      <w:t>. годину</w:t>
    </w:r>
  </w:p>
  <w:p w14:paraId="09B9E154" w14:textId="77777777" w:rsidR="00B56F57" w:rsidRDefault="00B56F57"/>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690BDC" w14:textId="77777777" w:rsidR="00B56F57" w:rsidRPr="00D15A77" w:rsidRDefault="00B56F57" w:rsidP="00C91F83">
    <w:pPr>
      <w:pStyle w:val="Header"/>
      <w:jc w:val="center"/>
      <w:rPr>
        <w:lang w:val="sr-Cyrl-RS"/>
      </w:rPr>
    </w:pPr>
    <w:r>
      <w:rPr>
        <w:lang w:val="sr-Cyrl-RS"/>
      </w:rPr>
      <w:t>Фискална стратегија за 20</w:t>
    </w:r>
    <w:r>
      <w:rPr>
        <w:lang w:val="sr-Latn-RS"/>
      </w:rPr>
      <w:t>23</w:t>
    </w:r>
    <w:r>
      <w:rPr>
        <w:lang w:val="sr-Cyrl-RS"/>
      </w:rPr>
      <w:t>. годину са пројекцијама за 202</w:t>
    </w:r>
    <w:r>
      <w:rPr>
        <w:lang w:val="sr-Latn-RS"/>
      </w:rPr>
      <w:t>4</w:t>
    </w:r>
    <w:r>
      <w:rPr>
        <w:lang w:val="sr-Cyrl-RS"/>
      </w:rPr>
      <w:t>. и 202</w:t>
    </w:r>
    <w:r>
      <w:rPr>
        <w:lang w:val="sr-Latn-RS"/>
      </w:rPr>
      <w:t>5</w:t>
    </w:r>
    <w:r>
      <w:rPr>
        <w:lang w:val="sr-Cyrl-RS"/>
      </w:rPr>
      <w:t>. годину</w: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9908D" w14:textId="77777777" w:rsidR="00B56F57" w:rsidRPr="00BF7F6A" w:rsidRDefault="00B56F57" w:rsidP="00BD7EB6">
    <w:pPr>
      <w:pStyle w:val="Header"/>
      <w:jc w:val="center"/>
      <w:rPr>
        <w:lang w:val="sr-Cyrl-RS"/>
      </w:rPr>
    </w:pPr>
    <w:r>
      <w:rPr>
        <w:lang w:val="sr-Cyrl-RS"/>
      </w:rPr>
      <w:t>Фискална стратегија за 2019. годину са пројекцијама за 2020. и 2021. годину</w:t>
    </w:r>
  </w:p>
  <w:p w14:paraId="173B56C1" w14:textId="77777777" w:rsidR="00B56F57" w:rsidRDefault="00B56F57">
    <w:pPr>
      <w:pStyle w:val="Header"/>
    </w:pPr>
  </w:p>
  <w:p w14:paraId="5A7BE262" w14:textId="77777777" w:rsidR="00B56F57" w:rsidRDefault="00B56F57"/>
  <w:p w14:paraId="5DA8B340" w14:textId="77777777" w:rsidR="00B56F57" w:rsidRDefault="00B56F57"/>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3F9486" w14:textId="77777777" w:rsidR="00B56F57" w:rsidRPr="00F061F2" w:rsidRDefault="00B56F57" w:rsidP="00C130D2">
    <w:pPr>
      <w:pStyle w:val="Header"/>
      <w:jc w:val="center"/>
    </w:pPr>
    <w:r w:rsidRPr="006C57DB">
      <w:rPr>
        <w:lang w:val="sr-Cyrl-RS"/>
      </w:rPr>
      <w:t xml:space="preserve">Фискална </w:t>
    </w:r>
    <w:r>
      <w:rPr>
        <w:lang w:val="sr-Cyrl-RS"/>
      </w:rPr>
      <w:t>стратегија за 2020. годину са пројекцијама за 2021. и 2022</w:t>
    </w:r>
    <w:r w:rsidRPr="00F061F2">
      <w:rPr>
        <w:lang w:val="sr-Cyrl-RS"/>
      </w:rPr>
      <w:t>. годину</w:t>
    </w:r>
  </w:p>
  <w:p w14:paraId="2431CF98" w14:textId="77777777" w:rsidR="00B56F57" w:rsidRDefault="00B56F57">
    <w:pPr>
      <w:pStyle w:val="Header"/>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58BA1" w14:textId="77777777" w:rsidR="00B56F57" w:rsidRPr="00BF7F6A" w:rsidRDefault="00B56F57" w:rsidP="00BD7EB6">
    <w:pPr>
      <w:pStyle w:val="Header"/>
      <w:jc w:val="center"/>
      <w:rPr>
        <w:lang w:val="sr-Cyrl-RS"/>
      </w:rPr>
    </w:pPr>
    <w:r>
      <w:rPr>
        <w:lang w:val="sr-Cyrl-RS"/>
      </w:rPr>
      <w:t>Фискална стратегија за 2019. годину са пројекцијама за 2020. и 2021. годину</w:t>
    </w:r>
  </w:p>
  <w:p w14:paraId="61FA6026" w14:textId="77777777" w:rsidR="00B56F57" w:rsidRDefault="00B56F5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4A2CE" w14:textId="77777777" w:rsidR="00B56F57" w:rsidRDefault="00B56F57" w:rsidP="008527D6">
    <w:pPr>
      <w:pStyle w:val="Header"/>
      <w:jc w:val="center"/>
    </w:pPr>
    <w:r w:rsidRPr="006C57DB">
      <w:rPr>
        <w:lang w:val="sr-Cyrl-RS"/>
      </w:rPr>
      <w:t xml:space="preserve">Фискална </w:t>
    </w:r>
    <w:r w:rsidRPr="000C433F">
      <w:rPr>
        <w:lang w:val="sr-Cyrl-RS"/>
      </w:rPr>
      <w:t>стратегија за 202</w:t>
    </w:r>
    <w:r>
      <w:rPr>
        <w:lang w:val="en-GB"/>
      </w:rPr>
      <w:t>3</w:t>
    </w:r>
    <w:r w:rsidRPr="000C433F">
      <w:rPr>
        <w:lang w:val="sr-Cyrl-RS"/>
      </w:rPr>
      <w:t>. годину са пројекцијама за 202</w:t>
    </w:r>
    <w:r>
      <w:rPr>
        <w:lang w:val="en-GB"/>
      </w:rPr>
      <w:t>4</w:t>
    </w:r>
    <w:r w:rsidRPr="000C433F">
      <w:rPr>
        <w:lang w:val="sr-Cyrl-RS"/>
      </w:rPr>
      <w:t>. и 202</w:t>
    </w:r>
    <w:r>
      <w:rPr>
        <w:lang w:val="en-GB"/>
      </w:rPr>
      <w:t>5</w:t>
    </w:r>
    <w:r w:rsidRPr="000C433F">
      <w:rPr>
        <w:lang w:val="sr-Cyrl-RS"/>
      </w:rPr>
      <w:t>. годину</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99A9EF" w14:textId="77777777" w:rsidR="00B56F57" w:rsidRPr="00521A99" w:rsidRDefault="00B56F57" w:rsidP="00521A99">
    <w:pPr>
      <w:pStyle w:val="Header"/>
      <w:jc w:val="center"/>
      <w:rPr>
        <w:lang w:val="sr-Cyrl-RS"/>
      </w:rPr>
    </w:pPr>
    <w:r w:rsidRPr="006C57DB">
      <w:rPr>
        <w:lang w:val="sr-Cyrl-RS"/>
      </w:rPr>
      <w:t xml:space="preserve">Фискална </w:t>
    </w:r>
    <w:r w:rsidRPr="000C433F">
      <w:rPr>
        <w:lang w:val="sr-Cyrl-RS"/>
      </w:rPr>
      <w:t>стратегија за 2020. годину са пројекцијама за 2021. и 2022. годину</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932BD" w14:textId="77777777" w:rsidR="00B56F57" w:rsidRPr="00BF7F6A" w:rsidRDefault="00B56F57" w:rsidP="000C433F">
    <w:pPr>
      <w:pStyle w:val="Header"/>
      <w:jc w:val="center"/>
      <w:rPr>
        <w:lang w:val="sr-Cyrl-RS"/>
      </w:rPr>
    </w:pPr>
    <w:r w:rsidRPr="006C57DB">
      <w:rPr>
        <w:lang w:val="sr-Cyrl-RS"/>
      </w:rPr>
      <w:t xml:space="preserve">Фискална </w:t>
    </w:r>
    <w:r w:rsidRPr="000C433F">
      <w:rPr>
        <w:lang w:val="sr-Cyrl-RS"/>
      </w:rPr>
      <w:t>стратегија за 202</w:t>
    </w:r>
    <w:r>
      <w:rPr>
        <w:lang w:val="en-GB"/>
      </w:rPr>
      <w:t>3</w:t>
    </w:r>
    <w:r w:rsidRPr="000C433F">
      <w:rPr>
        <w:lang w:val="sr-Cyrl-RS"/>
      </w:rPr>
      <w:t>. годину са пројекцијама за 202</w:t>
    </w:r>
    <w:r>
      <w:rPr>
        <w:lang w:val="en-GB"/>
      </w:rPr>
      <w:t>4</w:t>
    </w:r>
    <w:r w:rsidRPr="000C433F">
      <w:rPr>
        <w:lang w:val="sr-Cyrl-RS"/>
      </w:rPr>
      <w:t>. и 202</w:t>
    </w:r>
    <w:r>
      <w:rPr>
        <w:lang w:val="en-GB"/>
      </w:rPr>
      <w:t>5</w:t>
    </w:r>
    <w:r w:rsidRPr="000C433F">
      <w:rPr>
        <w:lang w:val="sr-Cyrl-RS"/>
      </w:rPr>
      <w:t>. годину</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E057CB" w14:textId="77777777" w:rsidR="00B56F57" w:rsidRPr="000C433F" w:rsidRDefault="00B56F57" w:rsidP="00B14FC0">
    <w:pPr>
      <w:pStyle w:val="Header"/>
      <w:jc w:val="center"/>
      <w:rPr>
        <w:lang w:val="sr-Cyrl-RS"/>
      </w:rPr>
    </w:pPr>
    <w:r w:rsidRPr="006C57DB">
      <w:rPr>
        <w:lang w:val="sr-Cyrl-RS"/>
      </w:rPr>
      <w:t xml:space="preserve">Фискална </w:t>
    </w:r>
    <w:r w:rsidRPr="000C433F">
      <w:rPr>
        <w:lang w:val="sr-Cyrl-RS"/>
      </w:rPr>
      <w:t>стратегија за 2020. годину са пројекцијама за 2021. и 2022. годину</w:t>
    </w:r>
  </w:p>
  <w:p w14:paraId="5A94BE6B" w14:textId="77777777" w:rsidR="00B56F57" w:rsidRDefault="00B56F57">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050281" w14:textId="77777777" w:rsidR="00B56F57" w:rsidRPr="0072482F" w:rsidRDefault="00B56F57" w:rsidP="008527D6">
    <w:pPr>
      <w:pStyle w:val="Header"/>
      <w:jc w:val="center"/>
      <w:rPr>
        <w:lang w:val="sr-Cyrl-RS"/>
      </w:rPr>
    </w:pPr>
    <w:r>
      <w:rPr>
        <w:lang w:val="sr-Cyrl-RS"/>
      </w:rPr>
      <w:t>Фискална стратегија за 202</w:t>
    </w:r>
    <w:r>
      <w:rPr>
        <w:lang w:val="en-GB"/>
      </w:rPr>
      <w:t>3</w:t>
    </w:r>
    <w:r>
      <w:rPr>
        <w:lang w:val="sr-Cyrl-RS"/>
      </w:rPr>
      <w:t>. годину са пројекцијама за 202</w:t>
    </w:r>
    <w:r>
      <w:t>4</w:t>
    </w:r>
    <w:r>
      <w:rPr>
        <w:lang w:val="sr-Cyrl-RS"/>
      </w:rPr>
      <w:t>. и 202</w:t>
    </w:r>
    <w:r>
      <w:t>5</w:t>
    </w:r>
    <w:r>
      <w:rPr>
        <w:lang w:val="sr-Cyrl-RS"/>
      </w:rPr>
      <w:t>. годину</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C328B3"/>
    <w:multiLevelType w:val="hybridMultilevel"/>
    <w:tmpl w:val="4B800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A7C45D5"/>
    <w:multiLevelType w:val="hybridMultilevel"/>
    <w:tmpl w:val="9756494C"/>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2" w15:restartNumberingAfterBreak="0">
    <w:nsid w:val="20FA5E91"/>
    <w:multiLevelType w:val="hybridMultilevel"/>
    <w:tmpl w:val="5DF4BD48"/>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311B23A4"/>
    <w:multiLevelType w:val="hybridMultilevel"/>
    <w:tmpl w:val="0F4E72E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3B5F6A1A"/>
    <w:multiLevelType w:val="hybridMultilevel"/>
    <w:tmpl w:val="6358C0B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F974621"/>
    <w:multiLevelType w:val="hybridMultilevel"/>
    <w:tmpl w:val="3D1E1176"/>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817CF4"/>
    <w:multiLevelType w:val="hybridMultilevel"/>
    <w:tmpl w:val="BBAC36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A85611"/>
    <w:multiLevelType w:val="multilevel"/>
    <w:tmpl w:val="18667D1A"/>
    <w:lvl w:ilvl="0">
      <w:start w:val="1"/>
      <w:numFmt w:val="decimal"/>
      <w:pStyle w:val="NumPar1"/>
      <w:lvlText w:val="%1."/>
      <w:lvlJc w:val="left"/>
      <w:pPr>
        <w:tabs>
          <w:tab w:val="num" w:pos="850"/>
        </w:tabs>
        <w:ind w:left="850" w:hanging="850"/>
      </w:pPr>
      <w:rPr>
        <w:rFonts w:cs="Times New Roman"/>
      </w:rPr>
    </w:lvl>
    <w:lvl w:ilvl="1">
      <w:start w:val="1"/>
      <w:numFmt w:val="decimal"/>
      <w:pStyle w:val="NumPar2"/>
      <w:lvlText w:val="%1.%2."/>
      <w:lvlJc w:val="left"/>
      <w:pPr>
        <w:tabs>
          <w:tab w:val="num" w:pos="850"/>
        </w:tabs>
        <w:ind w:left="850" w:hanging="850"/>
      </w:pPr>
      <w:rPr>
        <w:rFonts w:cs="Times New Roman"/>
      </w:rPr>
    </w:lvl>
    <w:lvl w:ilvl="2">
      <w:start w:val="1"/>
      <w:numFmt w:val="decimal"/>
      <w:pStyle w:val="NumPar3"/>
      <w:lvlText w:val="%1.%2.%3."/>
      <w:lvlJc w:val="left"/>
      <w:pPr>
        <w:tabs>
          <w:tab w:val="num" w:pos="850"/>
        </w:tabs>
        <w:ind w:left="850" w:hanging="850"/>
      </w:pPr>
      <w:rPr>
        <w:rFonts w:cs="Times New Roman"/>
      </w:rPr>
    </w:lvl>
    <w:lvl w:ilvl="3">
      <w:start w:val="1"/>
      <w:numFmt w:val="decimal"/>
      <w:pStyle w:val="NumPar4"/>
      <w:lvlText w:val="%1.%2.%3.%4."/>
      <w:lvlJc w:val="left"/>
      <w:pPr>
        <w:tabs>
          <w:tab w:val="num" w:pos="850"/>
        </w:tabs>
        <w:ind w:left="850" w:hanging="85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8" w15:restartNumberingAfterBreak="0">
    <w:nsid w:val="4D6972A3"/>
    <w:multiLevelType w:val="hybridMultilevel"/>
    <w:tmpl w:val="3750566E"/>
    <w:lvl w:ilvl="0" w:tplc="04090005">
      <w:start w:val="1"/>
      <w:numFmt w:val="bullet"/>
      <w:lvlText w:val=""/>
      <w:lvlJc w:val="left"/>
      <w:pPr>
        <w:ind w:left="1077" w:hanging="360"/>
      </w:pPr>
      <w:rPr>
        <w:rFonts w:ascii="Wingdings" w:hAnsi="Wingdings" w:hint="default"/>
      </w:rPr>
    </w:lvl>
    <w:lvl w:ilvl="1" w:tplc="04090003">
      <w:start w:val="1"/>
      <w:numFmt w:val="bullet"/>
      <w:lvlText w:val="o"/>
      <w:lvlJc w:val="left"/>
      <w:pPr>
        <w:ind w:left="1797" w:hanging="360"/>
      </w:pPr>
      <w:rPr>
        <w:rFonts w:ascii="Courier New" w:hAnsi="Courier New" w:cs="Courier New" w:hint="default"/>
      </w:rPr>
    </w:lvl>
    <w:lvl w:ilvl="2" w:tplc="04090005">
      <w:start w:val="1"/>
      <w:numFmt w:val="bullet"/>
      <w:lvlText w:val=""/>
      <w:lvlJc w:val="left"/>
      <w:pPr>
        <w:ind w:left="2517" w:hanging="360"/>
      </w:pPr>
      <w:rPr>
        <w:rFonts w:ascii="Wingdings" w:hAnsi="Wingdings" w:hint="default"/>
      </w:rPr>
    </w:lvl>
    <w:lvl w:ilvl="3" w:tplc="04090001">
      <w:start w:val="1"/>
      <w:numFmt w:val="bullet"/>
      <w:lvlText w:val=""/>
      <w:lvlJc w:val="left"/>
      <w:pPr>
        <w:ind w:left="3237" w:hanging="360"/>
      </w:pPr>
      <w:rPr>
        <w:rFonts w:ascii="Symbol" w:hAnsi="Symbol" w:hint="default"/>
      </w:rPr>
    </w:lvl>
    <w:lvl w:ilvl="4" w:tplc="04090003">
      <w:start w:val="1"/>
      <w:numFmt w:val="bullet"/>
      <w:lvlText w:val="o"/>
      <w:lvlJc w:val="left"/>
      <w:pPr>
        <w:ind w:left="3957" w:hanging="360"/>
      </w:pPr>
      <w:rPr>
        <w:rFonts w:ascii="Courier New" w:hAnsi="Courier New" w:cs="Courier New" w:hint="default"/>
      </w:rPr>
    </w:lvl>
    <w:lvl w:ilvl="5" w:tplc="04090005">
      <w:start w:val="1"/>
      <w:numFmt w:val="bullet"/>
      <w:lvlText w:val=""/>
      <w:lvlJc w:val="left"/>
      <w:pPr>
        <w:ind w:left="4677" w:hanging="360"/>
      </w:pPr>
      <w:rPr>
        <w:rFonts w:ascii="Wingdings" w:hAnsi="Wingdings" w:hint="default"/>
      </w:rPr>
    </w:lvl>
    <w:lvl w:ilvl="6" w:tplc="04090001">
      <w:start w:val="1"/>
      <w:numFmt w:val="bullet"/>
      <w:lvlText w:val=""/>
      <w:lvlJc w:val="left"/>
      <w:pPr>
        <w:ind w:left="5397" w:hanging="360"/>
      </w:pPr>
      <w:rPr>
        <w:rFonts w:ascii="Symbol" w:hAnsi="Symbol" w:hint="default"/>
      </w:rPr>
    </w:lvl>
    <w:lvl w:ilvl="7" w:tplc="04090003">
      <w:start w:val="1"/>
      <w:numFmt w:val="bullet"/>
      <w:lvlText w:val="o"/>
      <w:lvlJc w:val="left"/>
      <w:pPr>
        <w:ind w:left="6117" w:hanging="360"/>
      </w:pPr>
      <w:rPr>
        <w:rFonts w:ascii="Courier New" w:hAnsi="Courier New" w:cs="Courier New" w:hint="default"/>
      </w:rPr>
    </w:lvl>
    <w:lvl w:ilvl="8" w:tplc="04090005">
      <w:start w:val="1"/>
      <w:numFmt w:val="bullet"/>
      <w:lvlText w:val=""/>
      <w:lvlJc w:val="left"/>
      <w:pPr>
        <w:ind w:left="6837" w:hanging="360"/>
      </w:pPr>
      <w:rPr>
        <w:rFonts w:ascii="Wingdings" w:hAnsi="Wingdings" w:hint="default"/>
      </w:rPr>
    </w:lvl>
  </w:abstractNum>
  <w:abstractNum w:abstractNumId="9" w15:restartNumberingAfterBreak="0">
    <w:nsid w:val="4E321928"/>
    <w:multiLevelType w:val="hybridMultilevel"/>
    <w:tmpl w:val="7D3273FE"/>
    <w:lvl w:ilvl="0" w:tplc="04090005">
      <w:start w:val="1"/>
      <w:numFmt w:val="bullet"/>
      <w:lvlText w:val=""/>
      <w:lvlJc w:val="left"/>
      <w:pPr>
        <w:ind w:left="1797" w:hanging="360"/>
      </w:pPr>
      <w:rPr>
        <w:rFonts w:ascii="Wingdings" w:hAnsi="Wingdings" w:hint="default"/>
      </w:rPr>
    </w:lvl>
    <w:lvl w:ilvl="1" w:tplc="04090003">
      <w:start w:val="1"/>
      <w:numFmt w:val="bullet"/>
      <w:lvlText w:val="o"/>
      <w:lvlJc w:val="left"/>
      <w:pPr>
        <w:ind w:left="2517" w:hanging="360"/>
      </w:pPr>
      <w:rPr>
        <w:rFonts w:ascii="Courier New" w:hAnsi="Courier New" w:cs="Courier New" w:hint="default"/>
      </w:rPr>
    </w:lvl>
    <w:lvl w:ilvl="2" w:tplc="04090005">
      <w:start w:val="1"/>
      <w:numFmt w:val="bullet"/>
      <w:lvlText w:val=""/>
      <w:lvlJc w:val="left"/>
      <w:pPr>
        <w:ind w:left="3237" w:hanging="360"/>
      </w:pPr>
      <w:rPr>
        <w:rFonts w:ascii="Wingdings" w:hAnsi="Wingdings" w:hint="default"/>
      </w:rPr>
    </w:lvl>
    <w:lvl w:ilvl="3" w:tplc="04090001">
      <w:start w:val="1"/>
      <w:numFmt w:val="bullet"/>
      <w:lvlText w:val=""/>
      <w:lvlJc w:val="left"/>
      <w:pPr>
        <w:ind w:left="3957" w:hanging="360"/>
      </w:pPr>
      <w:rPr>
        <w:rFonts w:ascii="Symbol" w:hAnsi="Symbol" w:hint="default"/>
      </w:rPr>
    </w:lvl>
    <w:lvl w:ilvl="4" w:tplc="04090003">
      <w:start w:val="1"/>
      <w:numFmt w:val="bullet"/>
      <w:lvlText w:val="o"/>
      <w:lvlJc w:val="left"/>
      <w:pPr>
        <w:ind w:left="4677" w:hanging="360"/>
      </w:pPr>
      <w:rPr>
        <w:rFonts w:ascii="Courier New" w:hAnsi="Courier New" w:cs="Courier New" w:hint="default"/>
      </w:rPr>
    </w:lvl>
    <w:lvl w:ilvl="5" w:tplc="04090005">
      <w:start w:val="1"/>
      <w:numFmt w:val="bullet"/>
      <w:lvlText w:val=""/>
      <w:lvlJc w:val="left"/>
      <w:pPr>
        <w:ind w:left="5397" w:hanging="360"/>
      </w:pPr>
      <w:rPr>
        <w:rFonts w:ascii="Wingdings" w:hAnsi="Wingdings" w:hint="default"/>
      </w:rPr>
    </w:lvl>
    <w:lvl w:ilvl="6" w:tplc="04090001">
      <w:start w:val="1"/>
      <w:numFmt w:val="bullet"/>
      <w:lvlText w:val=""/>
      <w:lvlJc w:val="left"/>
      <w:pPr>
        <w:ind w:left="6117" w:hanging="360"/>
      </w:pPr>
      <w:rPr>
        <w:rFonts w:ascii="Symbol" w:hAnsi="Symbol" w:hint="default"/>
      </w:rPr>
    </w:lvl>
    <w:lvl w:ilvl="7" w:tplc="04090003">
      <w:start w:val="1"/>
      <w:numFmt w:val="bullet"/>
      <w:lvlText w:val="o"/>
      <w:lvlJc w:val="left"/>
      <w:pPr>
        <w:ind w:left="6837" w:hanging="360"/>
      </w:pPr>
      <w:rPr>
        <w:rFonts w:ascii="Courier New" w:hAnsi="Courier New" w:cs="Courier New" w:hint="default"/>
      </w:rPr>
    </w:lvl>
    <w:lvl w:ilvl="8" w:tplc="04090005">
      <w:start w:val="1"/>
      <w:numFmt w:val="bullet"/>
      <w:lvlText w:val=""/>
      <w:lvlJc w:val="left"/>
      <w:pPr>
        <w:ind w:left="7557" w:hanging="360"/>
      </w:pPr>
      <w:rPr>
        <w:rFonts w:ascii="Wingdings" w:hAnsi="Wingdings" w:hint="default"/>
      </w:rPr>
    </w:lvl>
  </w:abstractNum>
  <w:abstractNum w:abstractNumId="10" w15:restartNumberingAfterBreak="0">
    <w:nsid w:val="54592C15"/>
    <w:multiLevelType w:val="hybridMultilevel"/>
    <w:tmpl w:val="CC3CD6FE"/>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C003055"/>
    <w:multiLevelType w:val="hybridMultilevel"/>
    <w:tmpl w:val="DB8ACF72"/>
    <w:lvl w:ilvl="0" w:tplc="04090005">
      <w:start w:val="1"/>
      <w:numFmt w:val="bullet"/>
      <w:lvlText w:val=""/>
      <w:lvlJc w:val="left"/>
      <w:pPr>
        <w:ind w:left="720" w:hanging="360"/>
      </w:pPr>
      <w:rPr>
        <w:rFonts w:ascii="Wingdings" w:hAnsi="Wingdings" w:hint="default"/>
      </w:rPr>
    </w:lvl>
    <w:lvl w:ilvl="1" w:tplc="CE94C130">
      <w:start w:val="6"/>
      <w:numFmt w:val="bullet"/>
      <w:lvlText w:val="•"/>
      <w:lvlJc w:val="left"/>
      <w:pPr>
        <w:ind w:left="1440" w:hanging="36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AA75434"/>
    <w:multiLevelType w:val="hybridMultilevel"/>
    <w:tmpl w:val="1F682A80"/>
    <w:lvl w:ilvl="0" w:tplc="1DFCD06E">
      <w:start w:val="1"/>
      <w:numFmt w:val="bullet"/>
      <w:lvlText w:val=""/>
      <w:lvlJc w:val="left"/>
      <w:pPr>
        <w:ind w:left="720" w:hanging="360"/>
      </w:pPr>
      <w:rPr>
        <w:rFonts w:ascii="Wingdings" w:hAnsi="Wingdings" w:hint="default"/>
        <w:color w:val="44546A"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F667808"/>
    <w:multiLevelType w:val="hybridMultilevel"/>
    <w:tmpl w:val="38E0640C"/>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4430566"/>
    <w:multiLevelType w:val="hybridMultilevel"/>
    <w:tmpl w:val="8BBC2DA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44B4078"/>
    <w:multiLevelType w:val="hybridMultilevel"/>
    <w:tmpl w:val="E1122C1A"/>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4B74E8F"/>
    <w:multiLevelType w:val="hybridMultilevel"/>
    <w:tmpl w:val="335221A4"/>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78869C2"/>
    <w:multiLevelType w:val="hybridMultilevel"/>
    <w:tmpl w:val="F64093A4"/>
    <w:lvl w:ilvl="0" w:tplc="04090005">
      <w:start w:val="1"/>
      <w:numFmt w:val="bullet"/>
      <w:lvlText w:val=""/>
      <w:lvlJc w:val="left"/>
      <w:pPr>
        <w:ind w:left="720" w:hanging="360"/>
      </w:pPr>
      <w:rPr>
        <w:rFonts w:ascii="Wingdings" w:hAnsi="Wingdings" w:hint="default"/>
      </w:rPr>
    </w:lvl>
    <w:lvl w:ilvl="1" w:tplc="8828E634">
      <w:start w:val="6"/>
      <w:numFmt w:val="bullet"/>
      <w:lvlText w:val="•"/>
      <w:lvlJc w:val="left"/>
      <w:pPr>
        <w:ind w:left="1440" w:hanging="360"/>
      </w:pPr>
      <w:rPr>
        <w:rFonts w:ascii="Calibri" w:eastAsiaTheme="minorHAnsi" w:hAnsi="Calibri" w:cs="Calibri"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30719499">
    <w:abstractNumId w:val="3"/>
  </w:num>
  <w:num w:numId="2" w16cid:durableId="1223172197">
    <w:abstractNumId w:val="8"/>
  </w:num>
  <w:num w:numId="3" w16cid:durableId="1392802007">
    <w:abstractNumId w:val="9"/>
  </w:num>
  <w:num w:numId="4" w16cid:durableId="392654638">
    <w:abstractNumId w:val="14"/>
  </w:num>
  <w:num w:numId="5" w16cid:durableId="162212117">
    <w:abstractNumId w:val="6"/>
  </w:num>
  <w:num w:numId="6" w16cid:durableId="483620949">
    <w:abstractNumId w:val="17"/>
  </w:num>
  <w:num w:numId="7" w16cid:durableId="1913465250">
    <w:abstractNumId w:val="5"/>
  </w:num>
  <w:num w:numId="8" w16cid:durableId="605431475">
    <w:abstractNumId w:val="11"/>
  </w:num>
  <w:num w:numId="9" w16cid:durableId="1768227740">
    <w:abstractNumId w:val="16"/>
  </w:num>
  <w:num w:numId="10" w16cid:durableId="678774938">
    <w:abstractNumId w:val="10"/>
  </w:num>
  <w:num w:numId="11" w16cid:durableId="351885003">
    <w:abstractNumId w:val="13"/>
  </w:num>
  <w:num w:numId="12" w16cid:durableId="840511514">
    <w:abstractNumId w:val="15"/>
  </w:num>
  <w:num w:numId="13" w16cid:durableId="1052927934">
    <w:abstractNumId w:val="4"/>
  </w:num>
  <w:num w:numId="14" w16cid:durableId="1888027871">
    <w:abstractNumId w:val="12"/>
  </w:num>
  <w:num w:numId="15" w16cid:durableId="2120952638">
    <w:abstractNumId w:val="0"/>
  </w:num>
  <w:num w:numId="16" w16cid:durableId="1589466350">
    <w:abstractNumId w:val="1"/>
  </w:num>
  <w:num w:numId="17" w16cid:durableId="359935493">
    <w:abstractNumId w:val="2"/>
  </w:num>
  <w:num w:numId="18" w16cid:durableId="504320950">
    <w:abstractNumId w:val="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hideSpellingErrors/>
  <w:hideGrammaticalError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TQzMTS2sDAxNzYwM7RU0lEKTi0uzszPAykwrQUAdftuaCwAAAA="/>
  </w:docVars>
  <w:rsids>
    <w:rsidRoot w:val="00570694"/>
    <w:rsid w:val="00000738"/>
    <w:rsid w:val="000024E4"/>
    <w:rsid w:val="00005A98"/>
    <w:rsid w:val="00005B4B"/>
    <w:rsid w:val="000070D4"/>
    <w:rsid w:val="00007166"/>
    <w:rsid w:val="00007450"/>
    <w:rsid w:val="00007DCD"/>
    <w:rsid w:val="0001031F"/>
    <w:rsid w:val="0001068B"/>
    <w:rsid w:val="00010C73"/>
    <w:rsid w:val="00011441"/>
    <w:rsid w:val="00011F40"/>
    <w:rsid w:val="00012A00"/>
    <w:rsid w:val="000137D6"/>
    <w:rsid w:val="0001436A"/>
    <w:rsid w:val="0001456F"/>
    <w:rsid w:val="000146BD"/>
    <w:rsid w:val="0001479F"/>
    <w:rsid w:val="00014BF7"/>
    <w:rsid w:val="0001518F"/>
    <w:rsid w:val="00015AF3"/>
    <w:rsid w:val="00016599"/>
    <w:rsid w:val="000176BA"/>
    <w:rsid w:val="00017CE7"/>
    <w:rsid w:val="00017FEA"/>
    <w:rsid w:val="00020F32"/>
    <w:rsid w:val="0002394D"/>
    <w:rsid w:val="00023CAD"/>
    <w:rsid w:val="00024B73"/>
    <w:rsid w:val="00025B30"/>
    <w:rsid w:val="00025DEA"/>
    <w:rsid w:val="00026799"/>
    <w:rsid w:val="00030428"/>
    <w:rsid w:val="00030ED7"/>
    <w:rsid w:val="00031215"/>
    <w:rsid w:val="000312CC"/>
    <w:rsid w:val="0003151D"/>
    <w:rsid w:val="0003267D"/>
    <w:rsid w:val="00032ABE"/>
    <w:rsid w:val="00033236"/>
    <w:rsid w:val="0003520F"/>
    <w:rsid w:val="00036174"/>
    <w:rsid w:val="000373BC"/>
    <w:rsid w:val="000378CD"/>
    <w:rsid w:val="00040A56"/>
    <w:rsid w:val="00040D82"/>
    <w:rsid w:val="00040FBC"/>
    <w:rsid w:val="0004265A"/>
    <w:rsid w:val="00043D88"/>
    <w:rsid w:val="0004446C"/>
    <w:rsid w:val="00044F53"/>
    <w:rsid w:val="0004786A"/>
    <w:rsid w:val="00047F55"/>
    <w:rsid w:val="00050D40"/>
    <w:rsid w:val="00050E4C"/>
    <w:rsid w:val="00051446"/>
    <w:rsid w:val="00051E16"/>
    <w:rsid w:val="000520C7"/>
    <w:rsid w:val="0005265C"/>
    <w:rsid w:val="000526AB"/>
    <w:rsid w:val="00052880"/>
    <w:rsid w:val="00053791"/>
    <w:rsid w:val="00053E30"/>
    <w:rsid w:val="00053E87"/>
    <w:rsid w:val="00054089"/>
    <w:rsid w:val="000544FF"/>
    <w:rsid w:val="00054623"/>
    <w:rsid w:val="00054A7A"/>
    <w:rsid w:val="00055075"/>
    <w:rsid w:val="000554B1"/>
    <w:rsid w:val="00055FE2"/>
    <w:rsid w:val="00057424"/>
    <w:rsid w:val="000579BB"/>
    <w:rsid w:val="00061EA4"/>
    <w:rsid w:val="000623F6"/>
    <w:rsid w:val="000628F2"/>
    <w:rsid w:val="00063E59"/>
    <w:rsid w:val="0006488B"/>
    <w:rsid w:val="000662DC"/>
    <w:rsid w:val="000676C7"/>
    <w:rsid w:val="00067B90"/>
    <w:rsid w:val="000718C2"/>
    <w:rsid w:val="000727B2"/>
    <w:rsid w:val="00073179"/>
    <w:rsid w:val="00073336"/>
    <w:rsid w:val="000766DD"/>
    <w:rsid w:val="00076EF0"/>
    <w:rsid w:val="000771A0"/>
    <w:rsid w:val="000771A3"/>
    <w:rsid w:val="00077230"/>
    <w:rsid w:val="00077663"/>
    <w:rsid w:val="00077711"/>
    <w:rsid w:val="00080CB4"/>
    <w:rsid w:val="000814C2"/>
    <w:rsid w:val="00081C1E"/>
    <w:rsid w:val="00082B03"/>
    <w:rsid w:val="000836F4"/>
    <w:rsid w:val="00085D4A"/>
    <w:rsid w:val="00085ECE"/>
    <w:rsid w:val="00086B41"/>
    <w:rsid w:val="0008731A"/>
    <w:rsid w:val="00087CD9"/>
    <w:rsid w:val="00091211"/>
    <w:rsid w:val="000919A1"/>
    <w:rsid w:val="00092123"/>
    <w:rsid w:val="000931AB"/>
    <w:rsid w:val="00094ACF"/>
    <w:rsid w:val="00095B36"/>
    <w:rsid w:val="00095C15"/>
    <w:rsid w:val="000964C9"/>
    <w:rsid w:val="000966AF"/>
    <w:rsid w:val="000A00D2"/>
    <w:rsid w:val="000A125C"/>
    <w:rsid w:val="000A357F"/>
    <w:rsid w:val="000A3BA4"/>
    <w:rsid w:val="000A3DA9"/>
    <w:rsid w:val="000A46FE"/>
    <w:rsid w:val="000A55CF"/>
    <w:rsid w:val="000A5C49"/>
    <w:rsid w:val="000A72D6"/>
    <w:rsid w:val="000A772F"/>
    <w:rsid w:val="000A7AA9"/>
    <w:rsid w:val="000A7CCE"/>
    <w:rsid w:val="000B062E"/>
    <w:rsid w:val="000B24C5"/>
    <w:rsid w:val="000B282B"/>
    <w:rsid w:val="000B2BAB"/>
    <w:rsid w:val="000B3520"/>
    <w:rsid w:val="000B3E5D"/>
    <w:rsid w:val="000B43F5"/>
    <w:rsid w:val="000B44BA"/>
    <w:rsid w:val="000B4B5F"/>
    <w:rsid w:val="000C08A1"/>
    <w:rsid w:val="000C20F5"/>
    <w:rsid w:val="000C255B"/>
    <w:rsid w:val="000C2568"/>
    <w:rsid w:val="000C433F"/>
    <w:rsid w:val="000C4E9D"/>
    <w:rsid w:val="000C5A76"/>
    <w:rsid w:val="000C7AEF"/>
    <w:rsid w:val="000C7D6F"/>
    <w:rsid w:val="000D0A45"/>
    <w:rsid w:val="000D1073"/>
    <w:rsid w:val="000D2FC6"/>
    <w:rsid w:val="000D35C5"/>
    <w:rsid w:val="000D3B88"/>
    <w:rsid w:val="000D408C"/>
    <w:rsid w:val="000D477E"/>
    <w:rsid w:val="000D5A02"/>
    <w:rsid w:val="000D63DF"/>
    <w:rsid w:val="000D6511"/>
    <w:rsid w:val="000D6FF5"/>
    <w:rsid w:val="000E05E0"/>
    <w:rsid w:val="000E1901"/>
    <w:rsid w:val="000E1A99"/>
    <w:rsid w:val="000E2AEF"/>
    <w:rsid w:val="000E2C4E"/>
    <w:rsid w:val="000E3344"/>
    <w:rsid w:val="000E343C"/>
    <w:rsid w:val="000E376B"/>
    <w:rsid w:val="000E4558"/>
    <w:rsid w:val="000E5961"/>
    <w:rsid w:val="000E608D"/>
    <w:rsid w:val="000E61F4"/>
    <w:rsid w:val="000E651E"/>
    <w:rsid w:val="000E72F0"/>
    <w:rsid w:val="000F0F1A"/>
    <w:rsid w:val="000F1CF3"/>
    <w:rsid w:val="000F1EB4"/>
    <w:rsid w:val="000F33F8"/>
    <w:rsid w:val="000F3E46"/>
    <w:rsid w:val="000F4BFA"/>
    <w:rsid w:val="000F4E58"/>
    <w:rsid w:val="000F4F17"/>
    <w:rsid w:val="000F58B5"/>
    <w:rsid w:val="000F6048"/>
    <w:rsid w:val="00100B11"/>
    <w:rsid w:val="00101649"/>
    <w:rsid w:val="00105FA7"/>
    <w:rsid w:val="00107CFA"/>
    <w:rsid w:val="00107E08"/>
    <w:rsid w:val="00110235"/>
    <w:rsid w:val="00111810"/>
    <w:rsid w:val="00111833"/>
    <w:rsid w:val="00111DAF"/>
    <w:rsid w:val="0011303A"/>
    <w:rsid w:val="00113079"/>
    <w:rsid w:val="00114519"/>
    <w:rsid w:val="0011480F"/>
    <w:rsid w:val="001152C5"/>
    <w:rsid w:val="00116920"/>
    <w:rsid w:val="00117192"/>
    <w:rsid w:val="00117933"/>
    <w:rsid w:val="001200FD"/>
    <w:rsid w:val="00120DA0"/>
    <w:rsid w:val="00122265"/>
    <w:rsid w:val="0012307B"/>
    <w:rsid w:val="00123E26"/>
    <w:rsid w:val="001259A9"/>
    <w:rsid w:val="001275CF"/>
    <w:rsid w:val="0012767A"/>
    <w:rsid w:val="001315A6"/>
    <w:rsid w:val="00131C9F"/>
    <w:rsid w:val="00132FA9"/>
    <w:rsid w:val="00133AB2"/>
    <w:rsid w:val="00133CD9"/>
    <w:rsid w:val="00133D9B"/>
    <w:rsid w:val="001359FB"/>
    <w:rsid w:val="00135A8B"/>
    <w:rsid w:val="00135AAB"/>
    <w:rsid w:val="001367C0"/>
    <w:rsid w:val="00137CAB"/>
    <w:rsid w:val="00140BC2"/>
    <w:rsid w:val="00140BCF"/>
    <w:rsid w:val="00140F69"/>
    <w:rsid w:val="00141A18"/>
    <w:rsid w:val="00142BB2"/>
    <w:rsid w:val="0014307F"/>
    <w:rsid w:val="001441C8"/>
    <w:rsid w:val="00144472"/>
    <w:rsid w:val="00144545"/>
    <w:rsid w:val="00144917"/>
    <w:rsid w:val="00144C44"/>
    <w:rsid w:val="0014561B"/>
    <w:rsid w:val="00146101"/>
    <w:rsid w:val="00146506"/>
    <w:rsid w:val="001476C8"/>
    <w:rsid w:val="00147925"/>
    <w:rsid w:val="00147C55"/>
    <w:rsid w:val="0015014A"/>
    <w:rsid w:val="00150351"/>
    <w:rsid w:val="00150B26"/>
    <w:rsid w:val="00151DA1"/>
    <w:rsid w:val="001527EE"/>
    <w:rsid w:val="0015290B"/>
    <w:rsid w:val="00152FE9"/>
    <w:rsid w:val="00153636"/>
    <w:rsid w:val="0015484A"/>
    <w:rsid w:val="00154CBB"/>
    <w:rsid w:val="00155570"/>
    <w:rsid w:val="00156088"/>
    <w:rsid w:val="00156BFA"/>
    <w:rsid w:val="001604B9"/>
    <w:rsid w:val="00161001"/>
    <w:rsid w:val="00162A08"/>
    <w:rsid w:val="00163ABC"/>
    <w:rsid w:val="00164283"/>
    <w:rsid w:val="0016494D"/>
    <w:rsid w:val="001654B4"/>
    <w:rsid w:val="001658DB"/>
    <w:rsid w:val="00166017"/>
    <w:rsid w:val="00166653"/>
    <w:rsid w:val="0017035F"/>
    <w:rsid w:val="0017154C"/>
    <w:rsid w:val="00171E52"/>
    <w:rsid w:val="00172947"/>
    <w:rsid w:val="00173CF3"/>
    <w:rsid w:val="001748A7"/>
    <w:rsid w:val="00175A72"/>
    <w:rsid w:val="00176F75"/>
    <w:rsid w:val="001773CD"/>
    <w:rsid w:val="00180DF6"/>
    <w:rsid w:val="00182173"/>
    <w:rsid w:val="001829CE"/>
    <w:rsid w:val="00182A86"/>
    <w:rsid w:val="00183A2A"/>
    <w:rsid w:val="00183C60"/>
    <w:rsid w:val="00184007"/>
    <w:rsid w:val="00187838"/>
    <w:rsid w:val="001901A5"/>
    <w:rsid w:val="001901FC"/>
    <w:rsid w:val="00190616"/>
    <w:rsid w:val="00190661"/>
    <w:rsid w:val="0019112F"/>
    <w:rsid w:val="00191645"/>
    <w:rsid w:val="001940DA"/>
    <w:rsid w:val="00195054"/>
    <w:rsid w:val="00195D34"/>
    <w:rsid w:val="00195EED"/>
    <w:rsid w:val="0019659D"/>
    <w:rsid w:val="00196FF3"/>
    <w:rsid w:val="00197D5B"/>
    <w:rsid w:val="001A0255"/>
    <w:rsid w:val="001A0449"/>
    <w:rsid w:val="001A06AE"/>
    <w:rsid w:val="001A108B"/>
    <w:rsid w:val="001A25EA"/>
    <w:rsid w:val="001A2C4E"/>
    <w:rsid w:val="001A342B"/>
    <w:rsid w:val="001A35AD"/>
    <w:rsid w:val="001A4391"/>
    <w:rsid w:val="001A57BB"/>
    <w:rsid w:val="001A7C3B"/>
    <w:rsid w:val="001B0D1E"/>
    <w:rsid w:val="001B0E94"/>
    <w:rsid w:val="001B200E"/>
    <w:rsid w:val="001B2B9F"/>
    <w:rsid w:val="001B3294"/>
    <w:rsid w:val="001B39B1"/>
    <w:rsid w:val="001B3F5A"/>
    <w:rsid w:val="001B4899"/>
    <w:rsid w:val="001B5A30"/>
    <w:rsid w:val="001B5D92"/>
    <w:rsid w:val="001B6CF0"/>
    <w:rsid w:val="001B7B6D"/>
    <w:rsid w:val="001C31E8"/>
    <w:rsid w:val="001C37C3"/>
    <w:rsid w:val="001C3EB8"/>
    <w:rsid w:val="001C5986"/>
    <w:rsid w:val="001C5C26"/>
    <w:rsid w:val="001C5E46"/>
    <w:rsid w:val="001C624A"/>
    <w:rsid w:val="001C6D5F"/>
    <w:rsid w:val="001C7486"/>
    <w:rsid w:val="001C7944"/>
    <w:rsid w:val="001D12AA"/>
    <w:rsid w:val="001D1BC3"/>
    <w:rsid w:val="001D254C"/>
    <w:rsid w:val="001D2764"/>
    <w:rsid w:val="001D3241"/>
    <w:rsid w:val="001D3262"/>
    <w:rsid w:val="001D3316"/>
    <w:rsid w:val="001D3A04"/>
    <w:rsid w:val="001D528E"/>
    <w:rsid w:val="001D52A6"/>
    <w:rsid w:val="001D530B"/>
    <w:rsid w:val="001D5B47"/>
    <w:rsid w:val="001D5B59"/>
    <w:rsid w:val="001D6890"/>
    <w:rsid w:val="001D6BAB"/>
    <w:rsid w:val="001D6C6B"/>
    <w:rsid w:val="001D7587"/>
    <w:rsid w:val="001E0313"/>
    <w:rsid w:val="001E1EFD"/>
    <w:rsid w:val="001E3C08"/>
    <w:rsid w:val="001E43C2"/>
    <w:rsid w:val="001E499B"/>
    <w:rsid w:val="001E5B42"/>
    <w:rsid w:val="001E71AB"/>
    <w:rsid w:val="001F0A52"/>
    <w:rsid w:val="001F1F84"/>
    <w:rsid w:val="001F4750"/>
    <w:rsid w:val="001F4A1C"/>
    <w:rsid w:val="001F4FBB"/>
    <w:rsid w:val="001F52FB"/>
    <w:rsid w:val="001F5CF6"/>
    <w:rsid w:val="001F5D30"/>
    <w:rsid w:val="001F6AEA"/>
    <w:rsid w:val="001F72DE"/>
    <w:rsid w:val="001F796C"/>
    <w:rsid w:val="00201099"/>
    <w:rsid w:val="00201586"/>
    <w:rsid w:val="0020165D"/>
    <w:rsid w:val="002016D9"/>
    <w:rsid w:val="00201771"/>
    <w:rsid w:val="002027E9"/>
    <w:rsid w:val="00203391"/>
    <w:rsid w:val="0020373B"/>
    <w:rsid w:val="002048DF"/>
    <w:rsid w:val="00204F22"/>
    <w:rsid w:val="00205098"/>
    <w:rsid w:val="00205636"/>
    <w:rsid w:val="00206FBA"/>
    <w:rsid w:val="0020757D"/>
    <w:rsid w:val="0020784A"/>
    <w:rsid w:val="0021016A"/>
    <w:rsid w:val="00213C53"/>
    <w:rsid w:val="00214CFC"/>
    <w:rsid w:val="002152C6"/>
    <w:rsid w:val="0021538A"/>
    <w:rsid w:val="002165A3"/>
    <w:rsid w:val="002166F8"/>
    <w:rsid w:val="00220291"/>
    <w:rsid w:val="00220B7B"/>
    <w:rsid w:val="00222C42"/>
    <w:rsid w:val="00223E15"/>
    <w:rsid w:val="00224E76"/>
    <w:rsid w:val="0022573C"/>
    <w:rsid w:val="00225A4E"/>
    <w:rsid w:val="0022630A"/>
    <w:rsid w:val="0022672A"/>
    <w:rsid w:val="00227CB2"/>
    <w:rsid w:val="0023004A"/>
    <w:rsid w:val="00230F86"/>
    <w:rsid w:val="00231623"/>
    <w:rsid w:val="00231D59"/>
    <w:rsid w:val="0023268B"/>
    <w:rsid w:val="00232965"/>
    <w:rsid w:val="00236619"/>
    <w:rsid w:val="0023793B"/>
    <w:rsid w:val="0024018B"/>
    <w:rsid w:val="002406BD"/>
    <w:rsid w:val="002408F9"/>
    <w:rsid w:val="00240E2E"/>
    <w:rsid w:val="00242481"/>
    <w:rsid w:val="00242716"/>
    <w:rsid w:val="00242C1B"/>
    <w:rsid w:val="00244274"/>
    <w:rsid w:val="002478B5"/>
    <w:rsid w:val="00250469"/>
    <w:rsid w:val="002514DB"/>
    <w:rsid w:val="0025163B"/>
    <w:rsid w:val="00252092"/>
    <w:rsid w:val="002520BF"/>
    <w:rsid w:val="002520F2"/>
    <w:rsid w:val="00253BCE"/>
    <w:rsid w:val="00253CF6"/>
    <w:rsid w:val="00254447"/>
    <w:rsid w:val="002545C4"/>
    <w:rsid w:val="002556EE"/>
    <w:rsid w:val="00255D7F"/>
    <w:rsid w:val="002567C7"/>
    <w:rsid w:val="00256C5B"/>
    <w:rsid w:val="00260796"/>
    <w:rsid w:val="002607ED"/>
    <w:rsid w:val="002608D1"/>
    <w:rsid w:val="00260C97"/>
    <w:rsid w:val="00261423"/>
    <w:rsid w:val="0026168D"/>
    <w:rsid w:val="0026272F"/>
    <w:rsid w:val="002646A6"/>
    <w:rsid w:val="00264858"/>
    <w:rsid w:val="00265394"/>
    <w:rsid w:val="002654A4"/>
    <w:rsid w:val="00266355"/>
    <w:rsid w:val="00270566"/>
    <w:rsid w:val="00273106"/>
    <w:rsid w:val="00273E35"/>
    <w:rsid w:val="0027402D"/>
    <w:rsid w:val="002745EB"/>
    <w:rsid w:val="002754E6"/>
    <w:rsid w:val="00276744"/>
    <w:rsid w:val="00276FCA"/>
    <w:rsid w:val="00277E7D"/>
    <w:rsid w:val="00280B97"/>
    <w:rsid w:val="00282BAA"/>
    <w:rsid w:val="00285087"/>
    <w:rsid w:val="00285491"/>
    <w:rsid w:val="00285CFC"/>
    <w:rsid w:val="002864D9"/>
    <w:rsid w:val="00287721"/>
    <w:rsid w:val="00291A64"/>
    <w:rsid w:val="00291CA6"/>
    <w:rsid w:val="00291ED0"/>
    <w:rsid w:val="00292465"/>
    <w:rsid w:val="00292A4F"/>
    <w:rsid w:val="002931F2"/>
    <w:rsid w:val="00293770"/>
    <w:rsid w:val="002944BB"/>
    <w:rsid w:val="00297111"/>
    <w:rsid w:val="002976D7"/>
    <w:rsid w:val="002A0D22"/>
    <w:rsid w:val="002A11EE"/>
    <w:rsid w:val="002A2849"/>
    <w:rsid w:val="002A3DF9"/>
    <w:rsid w:val="002A4AC6"/>
    <w:rsid w:val="002A5107"/>
    <w:rsid w:val="002A5D8B"/>
    <w:rsid w:val="002A65F6"/>
    <w:rsid w:val="002A7D0E"/>
    <w:rsid w:val="002B0A81"/>
    <w:rsid w:val="002B0D7A"/>
    <w:rsid w:val="002B161B"/>
    <w:rsid w:val="002B1A52"/>
    <w:rsid w:val="002B373F"/>
    <w:rsid w:val="002B46CB"/>
    <w:rsid w:val="002B60EF"/>
    <w:rsid w:val="002B644D"/>
    <w:rsid w:val="002B7144"/>
    <w:rsid w:val="002C0021"/>
    <w:rsid w:val="002C13B8"/>
    <w:rsid w:val="002C1D90"/>
    <w:rsid w:val="002C1FBC"/>
    <w:rsid w:val="002C216B"/>
    <w:rsid w:val="002C3192"/>
    <w:rsid w:val="002C3568"/>
    <w:rsid w:val="002C4D04"/>
    <w:rsid w:val="002C5CC6"/>
    <w:rsid w:val="002C675F"/>
    <w:rsid w:val="002D0316"/>
    <w:rsid w:val="002D0A04"/>
    <w:rsid w:val="002D0E7B"/>
    <w:rsid w:val="002D1432"/>
    <w:rsid w:val="002D29FF"/>
    <w:rsid w:val="002D37F1"/>
    <w:rsid w:val="002D5C73"/>
    <w:rsid w:val="002D6257"/>
    <w:rsid w:val="002D6307"/>
    <w:rsid w:val="002D65A5"/>
    <w:rsid w:val="002D7900"/>
    <w:rsid w:val="002D7C40"/>
    <w:rsid w:val="002E1402"/>
    <w:rsid w:val="002E15A1"/>
    <w:rsid w:val="002E1612"/>
    <w:rsid w:val="002E197B"/>
    <w:rsid w:val="002E320D"/>
    <w:rsid w:val="002E3A44"/>
    <w:rsid w:val="002E4487"/>
    <w:rsid w:val="002E4662"/>
    <w:rsid w:val="002E4759"/>
    <w:rsid w:val="002E47F1"/>
    <w:rsid w:val="002E4A8C"/>
    <w:rsid w:val="002E4BCE"/>
    <w:rsid w:val="002E51AD"/>
    <w:rsid w:val="002E527B"/>
    <w:rsid w:val="002E52CA"/>
    <w:rsid w:val="002E58F2"/>
    <w:rsid w:val="002E5BAB"/>
    <w:rsid w:val="002E61D1"/>
    <w:rsid w:val="002E6657"/>
    <w:rsid w:val="002E6AEF"/>
    <w:rsid w:val="002E6EF0"/>
    <w:rsid w:val="002E7C10"/>
    <w:rsid w:val="002E7E1E"/>
    <w:rsid w:val="002F02EE"/>
    <w:rsid w:val="002F0472"/>
    <w:rsid w:val="002F2261"/>
    <w:rsid w:val="002F3901"/>
    <w:rsid w:val="002F3CE6"/>
    <w:rsid w:val="002F42FE"/>
    <w:rsid w:val="002F451B"/>
    <w:rsid w:val="002F558D"/>
    <w:rsid w:val="002F5833"/>
    <w:rsid w:val="002F5CFE"/>
    <w:rsid w:val="002F6B52"/>
    <w:rsid w:val="002F7235"/>
    <w:rsid w:val="002F7460"/>
    <w:rsid w:val="00300901"/>
    <w:rsid w:val="00302ADE"/>
    <w:rsid w:val="00302B46"/>
    <w:rsid w:val="00302E90"/>
    <w:rsid w:val="00303B83"/>
    <w:rsid w:val="00303C2E"/>
    <w:rsid w:val="00303D95"/>
    <w:rsid w:val="00304ECA"/>
    <w:rsid w:val="003050C6"/>
    <w:rsid w:val="00305241"/>
    <w:rsid w:val="003058D5"/>
    <w:rsid w:val="00306BE8"/>
    <w:rsid w:val="00307F73"/>
    <w:rsid w:val="00310B9F"/>
    <w:rsid w:val="00311ADB"/>
    <w:rsid w:val="00312646"/>
    <w:rsid w:val="003126F7"/>
    <w:rsid w:val="003128B5"/>
    <w:rsid w:val="00313A94"/>
    <w:rsid w:val="00314629"/>
    <w:rsid w:val="00314A83"/>
    <w:rsid w:val="00315856"/>
    <w:rsid w:val="00315D1D"/>
    <w:rsid w:val="00316892"/>
    <w:rsid w:val="00316FEE"/>
    <w:rsid w:val="003170C0"/>
    <w:rsid w:val="003171D3"/>
    <w:rsid w:val="003207C4"/>
    <w:rsid w:val="00320855"/>
    <w:rsid w:val="003213AE"/>
    <w:rsid w:val="003214DF"/>
    <w:rsid w:val="00321BDF"/>
    <w:rsid w:val="00323A26"/>
    <w:rsid w:val="00324DF0"/>
    <w:rsid w:val="00324EBE"/>
    <w:rsid w:val="00326508"/>
    <w:rsid w:val="00326551"/>
    <w:rsid w:val="00327FC8"/>
    <w:rsid w:val="00330B52"/>
    <w:rsid w:val="003313B5"/>
    <w:rsid w:val="00331854"/>
    <w:rsid w:val="00332E3E"/>
    <w:rsid w:val="0033359D"/>
    <w:rsid w:val="00333942"/>
    <w:rsid w:val="00333B2E"/>
    <w:rsid w:val="00335B68"/>
    <w:rsid w:val="00336934"/>
    <w:rsid w:val="00337862"/>
    <w:rsid w:val="00341069"/>
    <w:rsid w:val="00341D14"/>
    <w:rsid w:val="00342910"/>
    <w:rsid w:val="00342D1C"/>
    <w:rsid w:val="00343872"/>
    <w:rsid w:val="003438A0"/>
    <w:rsid w:val="00343A94"/>
    <w:rsid w:val="00344AF8"/>
    <w:rsid w:val="00345423"/>
    <w:rsid w:val="00346311"/>
    <w:rsid w:val="003472D1"/>
    <w:rsid w:val="00350002"/>
    <w:rsid w:val="00350B37"/>
    <w:rsid w:val="0035103D"/>
    <w:rsid w:val="003524B2"/>
    <w:rsid w:val="003528CF"/>
    <w:rsid w:val="00352961"/>
    <w:rsid w:val="00354453"/>
    <w:rsid w:val="00354DC3"/>
    <w:rsid w:val="00356647"/>
    <w:rsid w:val="003567E9"/>
    <w:rsid w:val="00357300"/>
    <w:rsid w:val="003609A6"/>
    <w:rsid w:val="00361C29"/>
    <w:rsid w:val="00361F64"/>
    <w:rsid w:val="0036237E"/>
    <w:rsid w:val="00362E17"/>
    <w:rsid w:val="00363ACB"/>
    <w:rsid w:val="00363FDA"/>
    <w:rsid w:val="00363FE4"/>
    <w:rsid w:val="00365A06"/>
    <w:rsid w:val="00365A0C"/>
    <w:rsid w:val="00367B4C"/>
    <w:rsid w:val="00370F51"/>
    <w:rsid w:val="00371E4D"/>
    <w:rsid w:val="00372639"/>
    <w:rsid w:val="0037429D"/>
    <w:rsid w:val="00374B60"/>
    <w:rsid w:val="003755DE"/>
    <w:rsid w:val="0037637C"/>
    <w:rsid w:val="003763EB"/>
    <w:rsid w:val="00376D86"/>
    <w:rsid w:val="00377BFC"/>
    <w:rsid w:val="003811C4"/>
    <w:rsid w:val="003825BA"/>
    <w:rsid w:val="0038330F"/>
    <w:rsid w:val="003848B5"/>
    <w:rsid w:val="00384EC9"/>
    <w:rsid w:val="003851DF"/>
    <w:rsid w:val="0038706A"/>
    <w:rsid w:val="003875C2"/>
    <w:rsid w:val="003901E7"/>
    <w:rsid w:val="0039057A"/>
    <w:rsid w:val="003906A5"/>
    <w:rsid w:val="0039113B"/>
    <w:rsid w:val="0039118D"/>
    <w:rsid w:val="0039350E"/>
    <w:rsid w:val="00393534"/>
    <w:rsid w:val="00395E09"/>
    <w:rsid w:val="00395F56"/>
    <w:rsid w:val="0039693A"/>
    <w:rsid w:val="00397D63"/>
    <w:rsid w:val="003A1553"/>
    <w:rsid w:val="003A1B75"/>
    <w:rsid w:val="003A3457"/>
    <w:rsid w:val="003A3F4B"/>
    <w:rsid w:val="003A3F7F"/>
    <w:rsid w:val="003A4087"/>
    <w:rsid w:val="003A4697"/>
    <w:rsid w:val="003A4F0F"/>
    <w:rsid w:val="003A4FB0"/>
    <w:rsid w:val="003A5A50"/>
    <w:rsid w:val="003A5BB2"/>
    <w:rsid w:val="003A75B2"/>
    <w:rsid w:val="003B0E3D"/>
    <w:rsid w:val="003B1963"/>
    <w:rsid w:val="003B2341"/>
    <w:rsid w:val="003B31C0"/>
    <w:rsid w:val="003B33D2"/>
    <w:rsid w:val="003B3426"/>
    <w:rsid w:val="003B3DC1"/>
    <w:rsid w:val="003B46C2"/>
    <w:rsid w:val="003B4A2C"/>
    <w:rsid w:val="003B4C3D"/>
    <w:rsid w:val="003B7D18"/>
    <w:rsid w:val="003C1760"/>
    <w:rsid w:val="003C1E44"/>
    <w:rsid w:val="003C2754"/>
    <w:rsid w:val="003C325A"/>
    <w:rsid w:val="003C3685"/>
    <w:rsid w:val="003C6192"/>
    <w:rsid w:val="003C66D7"/>
    <w:rsid w:val="003C6B14"/>
    <w:rsid w:val="003C7D26"/>
    <w:rsid w:val="003D0615"/>
    <w:rsid w:val="003D0AB3"/>
    <w:rsid w:val="003D2059"/>
    <w:rsid w:val="003D21F5"/>
    <w:rsid w:val="003D2901"/>
    <w:rsid w:val="003D3667"/>
    <w:rsid w:val="003D402A"/>
    <w:rsid w:val="003D4203"/>
    <w:rsid w:val="003D6EFD"/>
    <w:rsid w:val="003D7413"/>
    <w:rsid w:val="003E09E6"/>
    <w:rsid w:val="003E10D3"/>
    <w:rsid w:val="003E166B"/>
    <w:rsid w:val="003E2525"/>
    <w:rsid w:val="003E2EFC"/>
    <w:rsid w:val="003E7579"/>
    <w:rsid w:val="003E7703"/>
    <w:rsid w:val="003F04D6"/>
    <w:rsid w:val="003F128E"/>
    <w:rsid w:val="003F1AC5"/>
    <w:rsid w:val="003F1D6A"/>
    <w:rsid w:val="003F1F8C"/>
    <w:rsid w:val="003F3BF5"/>
    <w:rsid w:val="003F3C4D"/>
    <w:rsid w:val="003F3CA3"/>
    <w:rsid w:val="003F4E09"/>
    <w:rsid w:val="003F5542"/>
    <w:rsid w:val="003F5F46"/>
    <w:rsid w:val="003F7B20"/>
    <w:rsid w:val="00400E19"/>
    <w:rsid w:val="00402E3B"/>
    <w:rsid w:val="004044DC"/>
    <w:rsid w:val="0040477D"/>
    <w:rsid w:val="00404B0E"/>
    <w:rsid w:val="00405B9F"/>
    <w:rsid w:val="00406314"/>
    <w:rsid w:val="0040647C"/>
    <w:rsid w:val="004065FD"/>
    <w:rsid w:val="00407313"/>
    <w:rsid w:val="00410830"/>
    <w:rsid w:val="00411215"/>
    <w:rsid w:val="004121B6"/>
    <w:rsid w:val="004127CC"/>
    <w:rsid w:val="00412E79"/>
    <w:rsid w:val="004134F8"/>
    <w:rsid w:val="004138CA"/>
    <w:rsid w:val="00416B5D"/>
    <w:rsid w:val="004173FC"/>
    <w:rsid w:val="00417419"/>
    <w:rsid w:val="004200F6"/>
    <w:rsid w:val="004201B0"/>
    <w:rsid w:val="004209B8"/>
    <w:rsid w:val="00422B7E"/>
    <w:rsid w:val="00422D28"/>
    <w:rsid w:val="00423472"/>
    <w:rsid w:val="0042379E"/>
    <w:rsid w:val="004243B9"/>
    <w:rsid w:val="0042607B"/>
    <w:rsid w:val="00427276"/>
    <w:rsid w:val="004273B8"/>
    <w:rsid w:val="004275BE"/>
    <w:rsid w:val="00427829"/>
    <w:rsid w:val="00430AB5"/>
    <w:rsid w:val="00433D97"/>
    <w:rsid w:val="00434194"/>
    <w:rsid w:val="00434A28"/>
    <w:rsid w:val="00434D42"/>
    <w:rsid w:val="00435184"/>
    <w:rsid w:val="0043564D"/>
    <w:rsid w:val="00436726"/>
    <w:rsid w:val="00436A9B"/>
    <w:rsid w:val="00437576"/>
    <w:rsid w:val="004376E1"/>
    <w:rsid w:val="00437E7E"/>
    <w:rsid w:val="00440D31"/>
    <w:rsid w:val="00440F0C"/>
    <w:rsid w:val="00441BAD"/>
    <w:rsid w:val="00441C39"/>
    <w:rsid w:val="004437A3"/>
    <w:rsid w:val="00443C0C"/>
    <w:rsid w:val="00443E1E"/>
    <w:rsid w:val="00445557"/>
    <w:rsid w:val="00446736"/>
    <w:rsid w:val="00446FCF"/>
    <w:rsid w:val="00447320"/>
    <w:rsid w:val="004478A8"/>
    <w:rsid w:val="00447A83"/>
    <w:rsid w:val="00447C3A"/>
    <w:rsid w:val="0045088D"/>
    <w:rsid w:val="00451097"/>
    <w:rsid w:val="00451DCA"/>
    <w:rsid w:val="004523FE"/>
    <w:rsid w:val="0045264B"/>
    <w:rsid w:val="00453DB6"/>
    <w:rsid w:val="004543DA"/>
    <w:rsid w:val="0045496D"/>
    <w:rsid w:val="00454B55"/>
    <w:rsid w:val="00455783"/>
    <w:rsid w:val="0045597B"/>
    <w:rsid w:val="00455EB5"/>
    <w:rsid w:val="004562C1"/>
    <w:rsid w:val="0045670B"/>
    <w:rsid w:val="00457864"/>
    <w:rsid w:val="0046074A"/>
    <w:rsid w:val="00460E02"/>
    <w:rsid w:val="00460E5A"/>
    <w:rsid w:val="004614F8"/>
    <w:rsid w:val="00462CF3"/>
    <w:rsid w:val="00463868"/>
    <w:rsid w:val="0046394A"/>
    <w:rsid w:val="00464617"/>
    <w:rsid w:val="00465410"/>
    <w:rsid w:val="00465E4D"/>
    <w:rsid w:val="00465F14"/>
    <w:rsid w:val="00465FE6"/>
    <w:rsid w:val="004662E0"/>
    <w:rsid w:val="00467107"/>
    <w:rsid w:val="004671E9"/>
    <w:rsid w:val="0047251C"/>
    <w:rsid w:val="00472FF1"/>
    <w:rsid w:val="0047345F"/>
    <w:rsid w:val="00474B98"/>
    <w:rsid w:val="00474C78"/>
    <w:rsid w:val="00474C81"/>
    <w:rsid w:val="00476DFD"/>
    <w:rsid w:val="004773C3"/>
    <w:rsid w:val="00480402"/>
    <w:rsid w:val="00481258"/>
    <w:rsid w:val="00481D90"/>
    <w:rsid w:val="0048215F"/>
    <w:rsid w:val="00482D55"/>
    <w:rsid w:val="00483CA8"/>
    <w:rsid w:val="0048453A"/>
    <w:rsid w:val="00485369"/>
    <w:rsid w:val="00485382"/>
    <w:rsid w:val="00485CEA"/>
    <w:rsid w:val="00486102"/>
    <w:rsid w:val="00486812"/>
    <w:rsid w:val="00486A4A"/>
    <w:rsid w:val="00486C6D"/>
    <w:rsid w:val="00487177"/>
    <w:rsid w:val="00487392"/>
    <w:rsid w:val="004877B6"/>
    <w:rsid w:val="00487A72"/>
    <w:rsid w:val="00487F67"/>
    <w:rsid w:val="00490293"/>
    <w:rsid w:val="00490411"/>
    <w:rsid w:val="004905BA"/>
    <w:rsid w:val="00490D10"/>
    <w:rsid w:val="004920E0"/>
    <w:rsid w:val="00492511"/>
    <w:rsid w:val="004931BE"/>
    <w:rsid w:val="00493500"/>
    <w:rsid w:val="0049459A"/>
    <w:rsid w:val="00494D28"/>
    <w:rsid w:val="00495319"/>
    <w:rsid w:val="00495C4D"/>
    <w:rsid w:val="004966D7"/>
    <w:rsid w:val="00496856"/>
    <w:rsid w:val="00496AB9"/>
    <w:rsid w:val="00497252"/>
    <w:rsid w:val="00497F7C"/>
    <w:rsid w:val="004A0011"/>
    <w:rsid w:val="004A0713"/>
    <w:rsid w:val="004A0B95"/>
    <w:rsid w:val="004A3CBD"/>
    <w:rsid w:val="004A3F6C"/>
    <w:rsid w:val="004A615F"/>
    <w:rsid w:val="004A66E3"/>
    <w:rsid w:val="004A6826"/>
    <w:rsid w:val="004A715B"/>
    <w:rsid w:val="004A74E7"/>
    <w:rsid w:val="004B073E"/>
    <w:rsid w:val="004B1180"/>
    <w:rsid w:val="004B175D"/>
    <w:rsid w:val="004B192B"/>
    <w:rsid w:val="004B197B"/>
    <w:rsid w:val="004B1AEE"/>
    <w:rsid w:val="004B28B5"/>
    <w:rsid w:val="004B2AEA"/>
    <w:rsid w:val="004B3BC2"/>
    <w:rsid w:val="004B3FB4"/>
    <w:rsid w:val="004B49D5"/>
    <w:rsid w:val="004B56B4"/>
    <w:rsid w:val="004B69DB"/>
    <w:rsid w:val="004B7C27"/>
    <w:rsid w:val="004B7FB2"/>
    <w:rsid w:val="004C0ACF"/>
    <w:rsid w:val="004C206D"/>
    <w:rsid w:val="004C3E16"/>
    <w:rsid w:val="004C4667"/>
    <w:rsid w:val="004C58CF"/>
    <w:rsid w:val="004C77F5"/>
    <w:rsid w:val="004D0C9A"/>
    <w:rsid w:val="004D25B1"/>
    <w:rsid w:val="004D26BF"/>
    <w:rsid w:val="004D4748"/>
    <w:rsid w:val="004D4B24"/>
    <w:rsid w:val="004D51A8"/>
    <w:rsid w:val="004D52F8"/>
    <w:rsid w:val="004D5CF1"/>
    <w:rsid w:val="004D694B"/>
    <w:rsid w:val="004D72FF"/>
    <w:rsid w:val="004D75A3"/>
    <w:rsid w:val="004E030B"/>
    <w:rsid w:val="004E0E6B"/>
    <w:rsid w:val="004E0F92"/>
    <w:rsid w:val="004E1EC6"/>
    <w:rsid w:val="004E3106"/>
    <w:rsid w:val="004E3225"/>
    <w:rsid w:val="004E3705"/>
    <w:rsid w:val="004E3C3C"/>
    <w:rsid w:val="004E4676"/>
    <w:rsid w:val="004E46D6"/>
    <w:rsid w:val="004E4814"/>
    <w:rsid w:val="004E4EE4"/>
    <w:rsid w:val="004E58FD"/>
    <w:rsid w:val="004E661B"/>
    <w:rsid w:val="004E66CD"/>
    <w:rsid w:val="004E76C7"/>
    <w:rsid w:val="004E7959"/>
    <w:rsid w:val="004F073A"/>
    <w:rsid w:val="004F0E01"/>
    <w:rsid w:val="004F2238"/>
    <w:rsid w:val="004F3761"/>
    <w:rsid w:val="004F41C7"/>
    <w:rsid w:val="004F4B48"/>
    <w:rsid w:val="004F4E32"/>
    <w:rsid w:val="004F4F5A"/>
    <w:rsid w:val="004F5279"/>
    <w:rsid w:val="004F7089"/>
    <w:rsid w:val="004F72C4"/>
    <w:rsid w:val="0050096A"/>
    <w:rsid w:val="0050101D"/>
    <w:rsid w:val="00502DA2"/>
    <w:rsid w:val="00503015"/>
    <w:rsid w:val="00503173"/>
    <w:rsid w:val="00504364"/>
    <w:rsid w:val="00504B69"/>
    <w:rsid w:val="00504BBD"/>
    <w:rsid w:val="00506397"/>
    <w:rsid w:val="00507709"/>
    <w:rsid w:val="005106B7"/>
    <w:rsid w:val="00510D82"/>
    <w:rsid w:val="005111A6"/>
    <w:rsid w:val="00511A02"/>
    <w:rsid w:val="00511A74"/>
    <w:rsid w:val="0051301A"/>
    <w:rsid w:val="005158F5"/>
    <w:rsid w:val="0051621D"/>
    <w:rsid w:val="005162BA"/>
    <w:rsid w:val="00516843"/>
    <w:rsid w:val="0051790E"/>
    <w:rsid w:val="00517C76"/>
    <w:rsid w:val="00520856"/>
    <w:rsid w:val="00521A99"/>
    <w:rsid w:val="0052313D"/>
    <w:rsid w:val="00523867"/>
    <w:rsid w:val="005238EC"/>
    <w:rsid w:val="00523F2B"/>
    <w:rsid w:val="005242EC"/>
    <w:rsid w:val="00524F75"/>
    <w:rsid w:val="005255CB"/>
    <w:rsid w:val="00525761"/>
    <w:rsid w:val="00525A10"/>
    <w:rsid w:val="0053001A"/>
    <w:rsid w:val="005300AF"/>
    <w:rsid w:val="00530698"/>
    <w:rsid w:val="00530706"/>
    <w:rsid w:val="00530ACA"/>
    <w:rsid w:val="005311D2"/>
    <w:rsid w:val="00531681"/>
    <w:rsid w:val="005329B5"/>
    <w:rsid w:val="00533625"/>
    <w:rsid w:val="00533F12"/>
    <w:rsid w:val="005340DC"/>
    <w:rsid w:val="00534E19"/>
    <w:rsid w:val="00535017"/>
    <w:rsid w:val="00535489"/>
    <w:rsid w:val="0053608E"/>
    <w:rsid w:val="005368CB"/>
    <w:rsid w:val="00540213"/>
    <w:rsid w:val="005403FC"/>
    <w:rsid w:val="00542CA2"/>
    <w:rsid w:val="00542E6D"/>
    <w:rsid w:val="00543BEB"/>
    <w:rsid w:val="00544704"/>
    <w:rsid w:val="005459CF"/>
    <w:rsid w:val="005469A1"/>
    <w:rsid w:val="00550482"/>
    <w:rsid w:val="005516BC"/>
    <w:rsid w:val="005518F3"/>
    <w:rsid w:val="00551C37"/>
    <w:rsid w:val="0055482B"/>
    <w:rsid w:val="005556DC"/>
    <w:rsid w:val="0055757E"/>
    <w:rsid w:val="0055787A"/>
    <w:rsid w:val="00560132"/>
    <w:rsid w:val="00560817"/>
    <w:rsid w:val="00561164"/>
    <w:rsid w:val="00561D71"/>
    <w:rsid w:val="00562159"/>
    <w:rsid w:val="005621B8"/>
    <w:rsid w:val="005623C1"/>
    <w:rsid w:val="0056244A"/>
    <w:rsid w:val="00562681"/>
    <w:rsid w:val="00562F03"/>
    <w:rsid w:val="00565F27"/>
    <w:rsid w:val="0056605A"/>
    <w:rsid w:val="005671BE"/>
    <w:rsid w:val="0056783C"/>
    <w:rsid w:val="00567BB6"/>
    <w:rsid w:val="005701A2"/>
    <w:rsid w:val="0057022A"/>
    <w:rsid w:val="00570694"/>
    <w:rsid w:val="00570B3E"/>
    <w:rsid w:val="00571A05"/>
    <w:rsid w:val="005726C0"/>
    <w:rsid w:val="00573995"/>
    <w:rsid w:val="00574642"/>
    <w:rsid w:val="00574B64"/>
    <w:rsid w:val="0057670C"/>
    <w:rsid w:val="00577A3B"/>
    <w:rsid w:val="00580DE1"/>
    <w:rsid w:val="00581D29"/>
    <w:rsid w:val="00582122"/>
    <w:rsid w:val="00582D52"/>
    <w:rsid w:val="0058317B"/>
    <w:rsid w:val="005833E6"/>
    <w:rsid w:val="005845FD"/>
    <w:rsid w:val="00584EBD"/>
    <w:rsid w:val="0058502B"/>
    <w:rsid w:val="0058512D"/>
    <w:rsid w:val="00585281"/>
    <w:rsid w:val="00585AB5"/>
    <w:rsid w:val="00586765"/>
    <w:rsid w:val="00587B1C"/>
    <w:rsid w:val="00591A00"/>
    <w:rsid w:val="00592092"/>
    <w:rsid w:val="005933F9"/>
    <w:rsid w:val="00593E7B"/>
    <w:rsid w:val="00594BCB"/>
    <w:rsid w:val="00595E68"/>
    <w:rsid w:val="00595FF9"/>
    <w:rsid w:val="005965A5"/>
    <w:rsid w:val="005A0A68"/>
    <w:rsid w:val="005A0EB4"/>
    <w:rsid w:val="005A184B"/>
    <w:rsid w:val="005A20B3"/>
    <w:rsid w:val="005A24CD"/>
    <w:rsid w:val="005A3CA5"/>
    <w:rsid w:val="005A4A41"/>
    <w:rsid w:val="005A4AFC"/>
    <w:rsid w:val="005A5D3D"/>
    <w:rsid w:val="005A64A7"/>
    <w:rsid w:val="005B00AD"/>
    <w:rsid w:val="005B01D9"/>
    <w:rsid w:val="005B04E0"/>
    <w:rsid w:val="005B1B23"/>
    <w:rsid w:val="005B5934"/>
    <w:rsid w:val="005B5B2A"/>
    <w:rsid w:val="005B6B35"/>
    <w:rsid w:val="005B6DB4"/>
    <w:rsid w:val="005B7570"/>
    <w:rsid w:val="005B7B61"/>
    <w:rsid w:val="005C051A"/>
    <w:rsid w:val="005C0A05"/>
    <w:rsid w:val="005C10E6"/>
    <w:rsid w:val="005C17AD"/>
    <w:rsid w:val="005C1814"/>
    <w:rsid w:val="005C2D35"/>
    <w:rsid w:val="005C34A0"/>
    <w:rsid w:val="005C3A15"/>
    <w:rsid w:val="005C421C"/>
    <w:rsid w:val="005C475C"/>
    <w:rsid w:val="005C67D4"/>
    <w:rsid w:val="005C6DCF"/>
    <w:rsid w:val="005D0D9E"/>
    <w:rsid w:val="005D135B"/>
    <w:rsid w:val="005D1410"/>
    <w:rsid w:val="005D1F22"/>
    <w:rsid w:val="005D3372"/>
    <w:rsid w:val="005D3E3F"/>
    <w:rsid w:val="005D4150"/>
    <w:rsid w:val="005D42AC"/>
    <w:rsid w:val="005D471C"/>
    <w:rsid w:val="005D635E"/>
    <w:rsid w:val="005D70C3"/>
    <w:rsid w:val="005D7980"/>
    <w:rsid w:val="005E01E3"/>
    <w:rsid w:val="005E0E99"/>
    <w:rsid w:val="005E1AB4"/>
    <w:rsid w:val="005E209A"/>
    <w:rsid w:val="005E3C9F"/>
    <w:rsid w:val="005E46AC"/>
    <w:rsid w:val="005E54B2"/>
    <w:rsid w:val="005E5FBA"/>
    <w:rsid w:val="005E663F"/>
    <w:rsid w:val="005F3096"/>
    <w:rsid w:val="005F572E"/>
    <w:rsid w:val="005F5F71"/>
    <w:rsid w:val="005F5FB2"/>
    <w:rsid w:val="005F6FCC"/>
    <w:rsid w:val="005F74AF"/>
    <w:rsid w:val="0060082B"/>
    <w:rsid w:val="00601314"/>
    <w:rsid w:val="00601E97"/>
    <w:rsid w:val="00602707"/>
    <w:rsid w:val="006047AC"/>
    <w:rsid w:val="00606F2B"/>
    <w:rsid w:val="00607233"/>
    <w:rsid w:val="00607829"/>
    <w:rsid w:val="00611243"/>
    <w:rsid w:val="00611407"/>
    <w:rsid w:val="006115E3"/>
    <w:rsid w:val="0061294E"/>
    <w:rsid w:val="00612ABB"/>
    <w:rsid w:val="00614D23"/>
    <w:rsid w:val="006152A4"/>
    <w:rsid w:val="006159C6"/>
    <w:rsid w:val="006163D6"/>
    <w:rsid w:val="006211AD"/>
    <w:rsid w:val="0062189A"/>
    <w:rsid w:val="006223AC"/>
    <w:rsid w:val="00622743"/>
    <w:rsid w:val="006238CA"/>
    <w:rsid w:val="006239CC"/>
    <w:rsid w:val="006239F9"/>
    <w:rsid w:val="00623D63"/>
    <w:rsid w:val="00623E62"/>
    <w:rsid w:val="00624634"/>
    <w:rsid w:val="0062573C"/>
    <w:rsid w:val="0062653B"/>
    <w:rsid w:val="00626E7B"/>
    <w:rsid w:val="00630A81"/>
    <w:rsid w:val="006323F3"/>
    <w:rsid w:val="00632DDC"/>
    <w:rsid w:val="00633E59"/>
    <w:rsid w:val="00635D55"/>
    <w:rsid w:val="00635FB8"/>
    <w:rsid w:val="00637897"/>
    <w:rsid w:val="0064006B"/>
    <w:rsid w:val="00640813"/>
    <w:rsid w:val="00640C2E"/>
    <w:rsid w:val="00641D83"/>
    <w:rsid w:val="00642143"/>
    <w:rsid w:val="00642D38"/>
    <w:rsid w:val="00642DA6"/>
    <w:rsid w:val="00643204"/>
    <w:rsid w:val="0064418F"/>
    <w:rsid w:val="00644B03"/>
    <w:rsid w:val="006451A0"/>
    <w:rsid w:val="006459B9"/>
    <w:rsid w:val="006459CC"/>
    <w:rsid w:val="00645A77"/>
    <w:rsid w:val="00646358"/>
    <w:rsid w:val="00646BC4"/>
    <w:rsid w:val="00647469"/>
    <w:rsid w:val="00647661"/>
    <w:rsid w:val="0065080C"/>
    <w:rsid w:val="006539A1"/>
    <w:rsid w:val="00653A8B"/>
    <w:rsid w:val="00653CBF"/>
    <w:rsid w:val="00653D81"/>
    <w:rsid w:val="00654C94"/>
    <w:rsid w:val="00654D69"/>
    <w:rsid w:val="00655402"/>
    <w:rsid w:val="0065552D"/>
    <w:rsid w:val="00655667"/>
    <w:rsid w:val="00656716"/>
    <w:rsid w:val="00657F55"/>
    <w:rsid w:val="00661CA0"/>
    <w:rsid w:val="00662A2F"/>
    <w:rsid w:val="00663DA8"/>
    <w:rsid w:val="00663DB0"/>
    <w:rsid w:val="0066425F"/>
    <w:rsid w:val="00664623"/>
    <w:rsid w:val="0066483F"/>
    <w:rsid w:val="00664EEB"/>
    <w:rsid w:val="006652B3"/>
    <w:rsid w:val="00665AE5"/>
    <w:rsid w:val="00665C9F"/>
    <w:rsid w:val="00667DE7"/>
    <w:rsid w:val="00670AA4"/>
    <w:rsid w:val="00671A44"/>
    <w:rsid w:val="00671BBD"/>
    <w:rsid w:val="00671CEB"/>
    <w:rsid w:val="00671DF9"/>
    <w:rsid w:val="00671F5D"/>
    <w:rsid w:val="0067261A"/>
    <w:rsid w:val="006731F0"/>
    <w:rsid w:val="00676EF0"/>
    <w:rsid w:val="00681648"/>
    <w:rsid w:val="006827A9"/>
    <w:rsid w:val="00683313"/>
    <w:rsid w:val="0068345D"/>
    <w:rsid w:val="00684083"/>
    <w:rsid w:val="00684329"/>
    <w:rsid w:val="006845F5"/>
    <w:rsid w:val="0068496E"/>
    <w:rsid w:val="006854A8"/>
    <w:rsid w:val="006858DE"/>
    <w:rsid w:val="00687377"/>
    <w:rsid w:val="006873BE"/>
    <w:rsid w:val="0069037E"/>
    <w:rsid w:val="00690953"/>
    <w:rsid w:val="00691521"/>
    <w:rsid w:val="00692290"/>
    <w:rsid w:val="00692557"/>
    <w:rsid w:val="00693B83"/>
    <w:rsid w:val="00693CD4"/>
    <w:rsid w:val="00694B47"/>
    <w:rsid w:val="006950DE"/>
    <w:rsid w:val="00695460"/>
    <w:rsid w:val="006959FA"/>
    <w:rsid w:val="00695D98"/>
    <w:rsid w:val="00696B61"/>
    <w:rsid w:val="0069782B"/>
    <w:rsid w:val="00697C00"/>
    <w:rsid w:val="006A090A"/>
    <w:rsid w:val="006A0D22"/>
    <w:rsid w:val="006A0FAB"/>
    <w:rsid w:val="006A12BC"/>
    <w:rsid w:val="006A2834"/>
    <w:rsid w:val="006A3282"/>
    <w:rsid w:val="006A3DC2"/>
    <w:rsid w:val="006A3E66"/>
    <w:rsid w:val="006A4FE4"/>
    <w:rsid w:val="006A5680"/>
    <w:rsid w:val="006A5824"/>
    <w:rsid w:val="006A6230"/>
    <w:rsid w:val="006A6AE5"/>
    <w:rsid w:val="006A7574"/>
    <w:rsid w:val="006B0391"/>
    <w:rsid w:val="006B09DC"/>
    <w:rsid w:val="006B1CF8"/>
    <w:rsid w:val="006B230B"/>
    <w:rsid w:val="006B4AB1"/>
    <w:rsid w:val="006B5D72"/>
    <w:rsid w:val="006B6229"/>
    <w:rsid w:val="006B68DD"/>
    <w:rsid w:val="006B7258"/>
    <w:rsid w:val="006C0018"/>
    <w:rsid w:val="006C0D02"/>
    <w:rsid w:val="006C1036"/>
    <w:rsid w:val="006C1A3D"/>
    <w:rsid w:val="006C1A59"/>
    <w:rsid w:val="006C3A7E"/>
    <w:rsid w:val="006C45A5"/>
    <w:rsid w:val="006C47DD"/>
    <w:rsid w:val="006C48AD"/>
    <w:rsid w:val="006C57DB"/>
    <w:rsid w:val="006C6F5F"/>
    <w:rsid w:val="006D045B"/>
    <w:rsid w:val="006D2F2E"/>
    <w:rsid w:val="006D322D"/>
    <w:rsid w:val="006D361A"/>
    <w:rsid w:val="006D3788"/>
    <w:rsid w:val="006D3FE2"/>
    <w:rsid w:val="006D4A78"/>
    <w:rsid w:val="006D4B54"/>
    <w:rsid w:val="006D5C20"/>
    <w:rsid w:val="006D7F9D"/>
    <w:rsid w:val="006E037B"/>
    <w:rsid w:val="006E22C0"/>
    <w:rsid w:val="006E2422"/>
    <w:rsid w:val="006E3102"/>
    <w:rsid w:val="006E3720"/>
    <w:rsid w:val="006E3D4E"/>
    <w:rsid w:val="006E480E"/>
    <w:rsid w:val="006E4FB8"/>
    <w:rsid w:val="006E5C68"/>
    <w:rsid w:val="006E5F7A"/>
    <w:rsid w:val="006F0448"/>
    <w:rsid w:val="006F0487"/>
    <w:rsid w:val="006F09FD"/>
    <w:rsid w:val="006F0A45"/>
    <w:rsid w:val="006F0C50"/>
    <w:rsid w:val="006F331C"/>
    <w:rsid w:val="006F363F"/>
    <w:rsid w:val="00701330"/>
    <w:rsid w:val="007017B2"/>
    <w:rsid w:val="00701A80"/>
    <w:rsid w:val="00702E9C"/>
    <w:rsid w:val="00702FDB"/>
    <w:rsid w:val="00706142"/>
    <w:rsid w:val="00706309"/>
    <w:rsid w:val="00706CBD"/>
    <w:rsid w:val="0070727F"/>
    <w:rsid w:val="007077DE"/>
    <w:rsid w:val="007103B3"/>
    <w:rsid w:val="00710858"/>
    <w:rsid w:val="00711E47"/>
    <w:rsid w:val="0071314A"/>
    <w:rsid w:val="007136A7"/>
    <w:rsid w:val="00713FFE"/>
    <w:rsid w:val="0071446C"/>
    <w:rsid w:val="007154E3"/>
    <w:rsid w:val="00717295"/>
    <w:rsid w:val="00717FCD"/>
    <w:rsid w:val="0072011A"/>
    <w:rsid w:val="00720593"/>
    <w:rsid w:val="0072065C"/>
    <w:rsid w:val="00721BBE"/>
    <w:rsid w:val="007221D9"/>
    <w:rsid w:val="00724228"/>
    <w:rsid w:val="00724A41"/>
    <w:rsid w:val="00724BF6"/>
    <w:rsid w:val="00724CE5"/>
    <w:rsid w:val="00725470"/>
    <w:rsid w:val="00725FF8"/>
    <w:rsid w:val="007270EC"/>
    <w:rsid w:val="00727646"/>
    <w:rsid w:val="00730036"/>
    <w:rsid w:val="007301C2"/>
    <w:rsid w:val="00730FF2"/>
    <w:rsid w:val="00731670"/>
    <w:rsid w:val="00731BA1"/>
    <w:rsid w:val="00731D79"/>
    <w:rsid w:val="007327FF"/>
    <w:rsid w:val="00732E56"/>
    <w:rsid w:val="00732E8C"/>
    <w:rsid w:val="00734C30"/>
    <w:rsid w:val="00735A07"/>
    <w:rsid w:val="00737168"/>
    <w:rsid w:val="00737E1F"/>
    <w:rsid w:val="00740460"/>
    <w:rsid w:val="0074062C"/>
    <w:rsid w:val="00740854"/>
    <w:rsid w:val="00742999"/>
    <w:rsid w:val="00742B39"/>
    <w:rsid w:val="00743774"/>
    <w:rsid w:val="007437EA"/>
    <w:rsid w:val="00744077"/>
    <w:rsid w:val="007451D1"/>
    <w:rsid w:val="00745F06"/>
    <w:rsid w:val="007465D2"/>
    <w:rsid w:val="00746699"/>
    <w:rsid w:val="0074685C"/>
    <w:rsid w:val="00747061"/>
    <w:rsid w:val="007470C3"/>
    <w:rsid w:val="007474AD"/>
    <w:rsid w:val="007474FE"/>
    <w:rsid w:val="007521EA"/>
    <w:rsid w:val="007568A5"/>
    <w:rsid w:val="00757680"/>
    <w:rsid w:val="007603D5"/>
    <w:rsid w:val="0076040A"/>
    <w:rsid w:val="007607C7"/>
    <w:rsid w:val="00760A36"/>
    <w:rsid w:val="007611EF"/>
    <w:rsid w:val="007619D0"/>
    <w:rsid w:val="00762304"/>
    <w:rsid w:val="0076301D"/>
    <w:rsid w:val="007635E3"/>
    <w:rsid w:val="0076376F"/>
    <w:rsid w:val="00765266"/>
    <w:rsid w:val="00765F8D"/>
    <w:rsid w:val="00766984"/>
    <w:rsid w:val="00766A90"/>
    <w:rsid w:val="00767483"/>
    <w:rsid w:val="00767491"/>
    <w:rsid w:val="00767598"/>
    <w:rsid w:val="00773406"/>
    <w:rsid w:val="00773C84"/>
    <w:rsid w:val="007744FC"/>
    <w:rsid w:val="00774F69"/>
    <w:rsid w:val="00776442"/>
    <w:rsid w:val="00776AA7"/>
    <w:rsid w:val="00776E13"/>
    <w:rsid w:val="00777619"/>
    <w:rsid w:val="00783759"/>
    <w:rsid w:val="00783F09"/>
    <w:rsid w:val="0078423E"/>
    <w:rsid w:val="00784307"/>
    <w:rsid w:val="00784D33"/>
    <w:rsid w:val="0078544E"/>
    <w:rsid w:val="00785BB0"/>
    <w:rsid w:val="00785ED4"/>
    <w:rsid w:val="00786E90"/>
    <w:rsid w:val="0078739F"/>
    <w:rsid w:val="007873F7"/>
    <w:rsid w:val="00791B25"/>
    <w:rsid w:val="00791D58"/>
    <w:rsid w:val="00792EA4"/>
    <w:rsid w:val="00792F54"/>
    <w:rsid w:val="00793EB9"/>
    <w:rsid w:val="00795506"/>
    <w:rsid w:val="007A0432"/>
    <w:rsid w:val="007A09DE"/>
    <w:rsid w:val="007A1C93"/>
    <w:rsid w:val="007A273A"/>
    <w:rsid w:val="007A2CD8"/>
    <w:rsid w:val="007A323B"/>
    <w:rsid w:val="007A379E"/>
    <w:rsid w:val="007A3B29"/>
    <w:rsid w:val="007A3DAD"/>
    <w:rsid w:val="007A3DE8"/>
    <w:rsid w:val="007A46F8"/>
    <w:rsid w:val="007A4CE6"/>
    <w:rsid w:val="007A4CEB"/>
    <w:rsid w:val="007A529E"/>
    <w:rsid w:val="007A5583"/>
    <w:rsid w:val="007A583B"/>
    <w:rsid w:val="007A5B91"/>
    <w:rsid w:val="007A62CE"/>
    <w:rsid w:val="007A6302"/>
    <w:rsid w:val="007A67B0"/>
    <w:rsid w:val="007A68D3"/>
    <w:rsid w:val="007A6FFE"/>
    <w:rsid w:val="007A737C"/>
    <w:rsid w:val="007A77AC"/>
    <w:rsid w:val="007A7960"/>
    <w:rsid w:val="007B1BB4"/>
    <w:rsid w:val="007B54B7"/>
    <w:rsid w:val="007B5F3B"/>
    <w:rsid w:val="007B6265"/>
    <w:rsid w:val="007B65C0"/>
    <w:rsid w:val="007B6E26"/>
    <w:rsid w:val="007B6EAB"/>
    <w:rsid w:val="007B7D06"/>
    <w:rsid w:val="007C066B"/>
    <w:rsid w:val="007C1DF7"/>
    <w:rsid w:val="007C3499"/>
    <w:rsid w:val="007C73FF"/>
    <w:rsid w:val="007D0989"/>
    <w:rsid w:val="007D2189"/>
    <w:rsid w:val="007D2BE3"/>
    <w:rsid w:val="007D2CAE"/>
    <w:rsid w:val="007D3E9D"/>
    <w:rsid w:val="007D4AE5"/>
    <w:rsid w:val="007D4CA5"/>
    <w:rsid w:val="007D5EE6"/>
    <w:rsid w:val="007D6891"/>
    <w:rsid w:val="007D6C1B"/>
    <w:rsid w:val="007D6E53"/>
    <w:rsid w:val="007D6F8E"/>
    <w:rsid w:val="007D7182"/>
    <w:rsid w:val="007D723C"/>
    <w:rsid w:val="007E0255"/>
    <w:rsid w:val="007E0A53"/>
    <w:rsid w:val="007E131A"/>
    <w:rsid w:val="007E1689"/>
    <w:rsid w:val="007E1AAF"/>
    <w:rsid w:val="007E1ACF"/>
    <w:rsid w:val="007E34FF"/>
    <w:rsid w:val="007E384A"/>
    <w:rsid w:val="007E42E9"/>
    <w:rsid w:val="007E6465"/>
    <w:rsid w:val="007E66F5"/>
    <w:rsid w:val="007E6A5F"/>
    <w:rsid w:val="007E6EA3"/>
    <w:rsid w:val="007E701F"/>
    <w:rsid w:val="007E753D"/>
    <w:rsid w:val="007E770D"/>
    <w:rsid w:val="007F031C"/>
    <w:rsid w:val="007F1E4F"/>
    <w:rsid w:val="007F2AE5"/>
    <w:rsid w:val="007F6DAC"/>
    <w:rsid w:val="007F785E"/>
    <w:rsid w:val="007F7B66"/>
    <w:rsid w:val="008003FB"/>
    <w:rsid w:val="008023DB"/>
    <w:rsid w:val="0080289C"/>
    <w:rsid w:val="00802C14"/>
    <w:rsid w:val="008041DE"/>
    <w:rsid w:val="00804269"/>
    <w:rsid w:val="00805949"/>
    <w:rsid w:val="008066BE"/>
    <w:rsid w:val="008069CF"/>
    <w:rsid w:val="00807B2F"/>
    <w:rsid w:val="00807FC3"/>
    <w:rsid w:val="008110F6"/>
    <w:rsid w:val="00811807"/>
    <w:rsid w:val="00812637"/>
    <w:rsid w:val="00812BAA"/>
    <w:rsid w:val="00812EE2"/>
    <w:rsid w:val="00813312"/>
    <w:rsid w:val="008133E9"/>
    <w:rsid w:val="008139CB"/>
    <w:rsid w:val="00813A2C"/>
    <w:rsid w:val="00815831"/>
    <w:rsid w:val="00815C8F"/>
    <w:rsid w:val="00815CC2"/>
    <w:rsid w:val="00821663"/>
    <w:rsid w:val="008217BC"/>
    <w:rsid w:val="008218E5"/>
    <w:rsid w:val="008221D2"/>
    <w:rsid w:val="00822BB3"/>
    <w:rsid w:val="00822F4C"/>
    <w:rsid w:val="008237F3"/>
    <w:rsid w:val="0082585E"/>
    <w:rsid w:val="008260FE"/>
    <w:rsid w:val="00826638"/>
    <w:rsid w:val="00826B52"/>
    <w:rsid w:val="00827961"/>
    <w:rsid w:val="0083046B"/>
    <w:rsid w:val="00830EFF"/>
    <w:rsid w:val="00831927"/>
    <w:rsid w:val="00832A91"/>
    <w:rsid w:val="008333A1"/>
    <w:rsid w:val="00833E90"/>
    <w:rsid w:val="008347B0"/>
    <w:rsid w:val="008351E2"/>
    <w:rsid w:val="008354FF"/>
    <w:rsid w:val="00835C79"/>
    <w:rsid w:val="00836657"/>
    <w:rsid w:val="008366FA"/>
    <w:rsid w:val="00836DC9"/>
    <w:rsid w:val="00837020"/>
    <w:rsid w:val="008370F9"/>
    <w:rsid w:val="00837C44"/>
    <w:rsid w:val="0084022E"/>
    <w:rsid w:val="00840D0E"/>
    <w:rsid w:val="00840D9B"/>
    <w:rsid w:val="0084203C"/>
    <w:rsid w:val="008420D4"/>
    <w:rsid w:val="00842EE5"/>
    <w:rsid w:val="00842F07"/>
    <w:rsid w:val="008443FC"/>
    <w:rsid w:val="0084671D"/>
    <w:rsid w:val="0084792D"/>
    <w:rsid w:val="00847F35"/>
    <w:rsid w:val="008519F8"/>
    <w:rsid w:val="00852421"/>
    <w:rsid w:val="00852767"/>
    <w:rsid w:val="008527D6"/>
    <w:rsid w:val="00852B88"/>
    <w:rsid w:val="00852FA3"/>
    <w:rsid w:val="00853EDC"/>
    <w:rsid w:val="008542E1"/>
    <w:rsid w:val="0085433B"/>
    <w:rsid w:val="00854A37"/>
    <w:rsid w:val="00854F1F"/>
    <w:rsid w:val="008558CE"/>
    <w:rsid w:val="00855D6C"/>
    <w:rsid w:val="00855EC9"/>
    <w:rsid w:val="0085631E"/>
    <w:rsid w:val="00856998"/>
    <w:rsid w:val="00856EF6"/>
    <w:rsid w:val="00860124"/>
    <w:rsid w:val="00860144"/>
    <w:rsid w:val="00860FBE"/>
    <w:rsid w:val="00862B04"/>
    <w:rsid w:val="00863E55"/>
    <w:rsid w:val="00867B49"/>
    <w:rsid w:val="00867C77"/>
    <w:rsid w:val="00871445"/>
    <w:rsid w:val="00871703"/>
    <w:rsid w:val="00872EFD"/>
    <w:rsid w:val="00873228"/>
    <w:rsid w:val="00874A3E"/>
    <w:rsid w:val="00875AD1"/>
    <w:rsid w:val="00876CF0"/>
    <w:rsid w:val="00876E75"/>
    <w:rsid w:val="0087767C"/>
    <w:rsid w:val="008816A0"/>
    <w:rsid w:val="008819B4"/>
    <w:rsid w:val="00882040"/>
    <w:rsid w:val="0088396E"/>
    <w:rsid w:val="0088477E"/>
    <w:rsid w:val="008848FE"/>
    <w:rsid w:val="00884956"/>
    <w:rsid w:val="0088756B"/>
    <w:rsid w:val="00887C06"/>
    <w:rsid w:val="00887F8A"/>
    <w:rsid w:val="008914B1"/>
    <w:rsid w:val="00891B6C"/>
    <w:rsid w:val="008946CE"/>
    <w:rsid w:val="008947B2"/>
    <w:rsid w:val="00895137"/>
    <w:rsid w:val="00895C1B"/>
    <w:rsid w:val="00895CD6"/>
    <w:rsid w:val="00895F64"/>
    <w:rsid w:val="008966FE"/>
    <w:rsid w:val="00896B97"/>
    <w:rsid w:val="008979D4"/>
    <w:rsid w:val="008A1568"/>
    <w:rsid w:val="008A20AD"/>
    <w:rsid w:val="008A2849"/>
    <w:rsid w:val="008A48AA"/>
    <w:rsid w:val="008A58C5"/>
    <w:rsid w:val="008A5B9A"/>
    <w:rsid w:val="008A6F70"/>
    <w:rsid w:val="008B0271"/>
    <w:rsid w:val="008B1221"/>
    <w:rsid w:val="008B1F84"/>
    <w:rsid w:val="008B2E6D"/>
    <w:rsid w:val="008B3904"/>
    <w:rsid w:val="008B3B5E"/>
    <w:rsid w:val="008B4CB5"/>
    <w:rsid w:val="008B605A"/>
    <w:rsid w:val="008B6487"/>
    <w:rsid w:val="008B7387"/>
    <w:rsid w:val="008B7BCC"/>
    <w:rsid w:val="008B7C88"/>
    <w:rsid w:val="008C2B7F"/>
    <w:rsid w:val="008C2C80"/>
    <w:rsid w:val="008C36EA"/>
    <w:rsid w:val="008C5626"/>
    <w:rsid w:val="008C57F6"/>
    <w:rsid w:val="008C5CF2"/>
    <w:rsid w:val="008C6D92"/>
    <w:rsid w:val="008C74AD"/>
    <w:rsid w:val="008C7A01"/>
    <w:rsid w:val="008C7C0C"/>
    <w:rsid w:val="008D0230"/>
    <w:rsid w:val="008D05F1"/>
    <w:rsid w:val="008D1425"/>
    <w:rsid w:val="008D1D33"/>
    <w:rsid w:val="008D2DC7"/>
    <w:rsid w:val="008D3291"/>
    <w:rsid w:val="008D38D5"/>
    <w:rsid w:val="008D3DBC"/>
    <w:rsid w:val="008D436F"/>
    <w:rsid w:val="008D55A9"/>
    <w:rsid w:val="008D6ABE"/>
    <w:rsid w:val="008D6C4D"/>
    <w:rsid w:val="008D7495"/>
    <w:rsid w:val="008D7A2E"/>
    <w:rsid w:val="008E0382"/>
    <w:rsid w:val="008E0CD7"/>
    <w:rsid w:val="008E1883"/>
    <w:rsid w:val="008E2003"/>
    <w:rsid w:val="008E219D"/>
    <w:rsid w:val="008E22B5"/>
    <w:rsid w:val="008E2FD8"/>
    <w:rsid w:val="008E368C"/>
    <w:rsid w:val="008E4992"/>
    <w:rsid w:val="008E563E"/>
    <w:rsid w:val="008E6192"/>
    <w:rsid w:val="008E61D1"/>
    <w:rsid w:val="008E65D2"/>
    <w:rsid w:val="008E6687"/>
    <w:rsid w:val="008E6892"/>
    <w:rsid w:val="008E7638"/>
    <w:rsid w:val="008E79FE"/>
    <w:rsid w:val="008E7C20"/>
    <w:rsid w:val="008F0290"/>
    <w:rsid w:val="008F072D"/>
    <w:rsid w:val="008F1546"/>
    <w:rsid w:val="008F16B8"/>
    <w:rsid w:val="008F3399"/>
    <w:rsid w:val="008F33BB"/>
    <w:rsid w:val="008F34BD"/>
    <w:rsid w:val="008F3628"/>
    <w:rsid w:val="008F3DD7"/>
    <w:rsid w:val="008F57E9"/>
    <w:rsid w:val="008F713F"/>
    <w:rsid w:val="008F72D8"/>
    <w:rsid w:val="008F73A2"/>
    <w:rsid w:val="008F78CD"/>
    <w:rsid w:val="008F7E2A"/>
    <w:rsid w:val="009001BF"/>
    <w:rsid w:val="00900799"/>
    <w:rsid w:val="00900D05"/>
    <w:rsid w:val="00902091"/>
    <w:rsid w:val="00904AAE"/>
    <w:rsid w:val="00904B17"/>
    <w:rsid w:val="009054D5"/>
    <w:rsid w:val="00906895"/>
    <w:rsid w:val="00907E3F"/>
    <w:rsid w:val="00910058"/>
    <w:rsid w:val="00910525"/>
    <w:rsid w:val="009114FB"/>
    <w:rsid w:val="0091179A"/>
    <w:rsid w:val="00912C72"/>
    <w:rsid w:val="00912D11"/>
    <w:rsid w:val="009131FD"/>
    <w:rsid w:val="00913AAF"/>
    <w:rsid w:val="00913D4E"/>
    <w:rsid w:val="0091487A"/>
    <w:rsid w:val="009162E2"/>
    <w:rsid w:val="00916A0F"/>
    <w:rsid w:val="009201A2"/>
    <w:rsid w:val="00920496"/>
    <w:rsid w:val="00920524"/>
    <w:rsid w:val="00920720"/>
    <w:rsid w:val="00921E8D"/>
    <w:rsid w:val="00922B97"/>
    <w:rsid w:val="00923503"/>
    <w:rsid w:val="009241A2"/>
    <w:rsid w:val="00924878"/>
    <w:rsid w:val="00925821"/>
    <w:rsid w:val="00926217"/>
    <w:rsid w:val="0092764D"/>
    <w:rsid w:val="00927CB1"/>
    <w:rsid w:val="00927D23"/>
    <w:rsid w:val="0093003A"/>
    <w:rsid w:val="0093197D"/>
    <w:rsid w:val="00931E50"/>
    <w:rsid w:val="00932185"/>
    <w:rsid w:val="00932E21"/>
    <w:rsid w:val="00933B8E"/>
    <w:rsid w:val="009360D0"/>
    <w:rsid w:val="00936480"/>
    <w:rsid w:val="009365E3"/>
    <w:rsid w:val="009377F8"/>
    <w:rsid w:val="00940807"/>
    <w:rsid w:val="0094136A"/>
    <w:rsid w:val="00943C8F"/>
    <w:rsid w:val="00944DC6"/>
    <w:rsid w:val="009453BD"/>
    <w:rsid w:val="00945653"/>
    <w:rsid w:val="00945CF8"/>
    <w:rsid w:val="009469E5"/>
    <w:rsid w:val="0094755B"/>
    <w:rsid w:val="00947AD8"/>
    <w:rsid w:val="009504B3"/>
    <w:rsid w:val="009505B3"/>
    <w:rsid w:val="00952193"/>
    <w:rsid w:val="00952A15"/>
    <w:rsid w:val="00952B58"/>
    <w:rsid w:val="0095323F"/>
    <w:rsid w:val="00953528"/>
    <w:rsid w:val="009540E2"/>
    <w:rsid w:val="00954105"/>
    <w:rsid w:val="00954D55"/>
    <w:rsid w:val="0095673A"/>
    <w:rsid w:val="00956BB3"/>
    <w:rsid w:val="00956C60"/>
    <w:rsid w:val="00956D43"/>
    <w:rsid w:val="009602A3"/>
    <w:rsid w:val="00960ADC"/>
    <w:rsid w:val="009617DC"/>
    <w:rsid w:val="00963021"/>
    <w:rsid w:val="0096352B"/>
    <w:rsid w:val="00964F8A"/>
    <w:rsid w:val="00966211"/>
    <w:rsid w:val="00967BDF"/>
    <w:rsid w:val="009706A1"/>
    <w:rsid w:val="00970CA4"/>
    <w:rsid w:val="00970CE7"/>
    <w:rsid w:val="0097203A"/>
    <w:rsid w:val="00972218"/>
    <w:rsid w:val="00972B18"/>
    <w:rsid w:val="00972D75"/>
    <w:rsid w:val="00972DF4"/>
    <w:rsid w:val="00973929"/>
    <w:rsid w:val="00973CA1"/>
    <w:rsid w:val="00973E12"/>
    <w:rsid w:val="00976057"/>
    <w:rsid w:val="00976097"/>
    <w:rsid w:val="009803F8"/>
    <w:rsid w:val="00981195"/>
    <w:rsid w:val="009812BD"/>
    <w:rsid w:val="00982156"/>
    <w:rsid w:val="0098403A"/>
    <w:rsid w:val="0098426E"/>
    <w:rsid w:val="00984686"/>
    <w:rsid w:val="00985E62"/>
    <w:rsid w:val="00986E5E"/>
    <w:rsid w:val="009877EB"/>
    <w:rsid w:val="00987AEE"/>
    <w:rsid w:val="00987DE9"/>
    <w:rsid w:val="00990EF6"/>
    <w:rsid w:val="009910DA"/>
    <w:rsid w:val="00992B5F"/>
    <w:rsid w:val="0099348C"/>
    <w:rsid w:val="00993B30"/>
    <w:rsid w:val="009946BC"/>
    <w:rsid w:val="00994909"/>
    <w:rsid w:val="00994ADD"/>
    <w:rsid w:val="00995B7D"/>
    <w:rsid w:val="009962BC"/>
    <w:rsid w:val="00996939"/>
    <w:rsid w:val="00997720"/>
    <w:rsid w:val="00997D8D"/>
    <w:rsid w:val="009A0267"/>
    <w:rsid w:val="009A090E"/>
    <w:rsid w:val="009A0A99"/>
    <w:rsid w:val="009A192D"/>
    <w:rsid w:val="009A1B2D"/>
    <w:rsid w:val="009A1FF2"/>
    <w:rsid w:val="009A206D"/>
    <w:rsid w:val="009A23CE"/>
    <w:rsid w:val="009A3B60"/>
    <w:rsid w:val="009A3F7A"/>
    <w:rsid w:val="009A40C3"/>
    <w:rsid w:val="009A4AA4"/>
    <w:rsid w:val="009A65C8"/>
    <w:rsid w:val="009A6C9A"/>
    <w:rsid w:val="009A6F5E"/>
    <w:rsid w:val="009B051B"/>
    <w:rsid w:val="009B1086"/>
    <w:rsid w:val="009B1BE0"/>
    <w:rsid w:val="009B1EA0"/>
    <w:rsid w:val="009B204E"/>
    <w:rsid w:val="009B22D2"/>
    <w:rsid w:val="009B39AA"/>
    <w:rsid w:val="009B45EF"/>
    <w:rsid w:val="009B483C"/>
    <w:rsid w:val="009B49C0"/>
    <w:rsid w:val="009B647D"/>
    <w:rsid w:val="009C1683"/>
    <w:rsid w:val="009C1F5E"/>
    <w:rsid w:val="009C2D22"/>
    <w:rsid w:val="009C40DA"/>
    <w:rsid w:val="009C486B"/>
    <w:rsid w:val="009C77E9"/>
    <w:rsid w:val="009C7C9B"/>
    <w:rsid w:val="009D147F"/>
    <w:rsid w:val="009D3478"/>
    <w:rsid w:val="009D3A37"/>
    <w:rsid w:val="009D3C98"/>
    <w:rsid w:val="009D3F76"/>
    <w:rsid w:val="009D41B7"/>
    <w:rsid w:val="009D465B"/>
    <w:rsid w:val="009D4D6D"/>
    <w:rsid w:val="009D52B2"/>
    <w:rsid w:val="009D547D"/>
    <w:rsid w:val="009D5693"/>
    <w:rsid w:val="009D5857"/>
    <w:rsid w:val="009D593B"/>
    <w:rsid w:val="009E22A8"/>
    <w:rsid w:val="009E35F4"/>
    <w:rsid w:val="009E3D35"/>
    <w:rsid w:val="009E44FD"/>
    <w:rsid w:val="009E4B86"/>
    <w:rsid w:val="009E51A6"/>
    <w:rsid w:val="009E5850"/>
    <w:rsid w:val="009E600C"/>
    <w:rsid w:val="009E7041"/>
    <w:rsid w:val="009E7246"/>
    <w:rsid w:val="009E7254"/>
    <w:rsid w:val="009E765D"/>
    <w:rsid w:val="009E7D75"/>
    <w:rsid w:val="009E7F1D"/>
    <w:rsid w:val="009E7F52"/>
    <w:rsid w:val="009F13C7"/>
    <w:rsid w:val="009F1610"/>
    <w:rsid w:val="009F1BA1"/>
    <w:rsid w:val="009F206A"/>
    <w:rsid w:val="009F3697"/>
    <w:rsid w:val="009F3B0F"/>
    <w:rsid w:val="009F4652"/>
    <w:rsid w:val="009F4789"/>
    <w:rsid w:val="009F48B0"/>
    <w:rsid w:val="009F4E44"/>
    <w:rsid w:val="009F5EDD"/>
    <w:rsid w:val="009F6514"/>
    <w:rsid w:val="00A008E1"/>
    <w:rsid w:val="00A015AB"/>
    <w:rsid w:val="00A01BD8"/>
    <w:rsid w:val="00A02687"/>
    <w:rsid w:val="00A02EFC"/>
    <w:rsid w:val="00A03BD3"/>
    <w:rsid w:val="00A050D4"/>
    <w:rsid w:val="00A05517"/>
    <w:rsid w:val="00A05730"/>
    <w:rsid w:val="00A06FA2"/>
    <w:rsid w:val="00A07B49"/>
    <w:rsid w:val="00A12984"/>
    <w:rsid w:val="00A13517"/>
    <w:rsid w:val="00A14E12"/>
    <w:rsid w:val="00A153B6"/>
    <w:rsid w:val="00A1564C"/>
    <w:rsid w:val="00A15D80"/>
    <w:rsid w:val="00A16649"/>
    <w:rsid w:val="00A17140"/>
    <w:rsid w:val="00A17907"/>
    <w:rsid w:val="00A20456"/>
    <w:rsid w:val="00A21E4E"/>
    <w:rsid w:val="00A224F8"/>
    <w:rsid w:val="00A236FE"/>
    <w:rsid w:val="00A241C0"/>
    <w:rsid w:val="00A24DCE"/>
    <w:rsid w:val="00A251B9"/>
    <w:rsid w:val="00A25F3C"/>
    <w:rsid w:val="00A263AF"/>
    <w:rsid w:val="00A26403"/>
    <w:rsid w:val="00A26E4D"/>
    <w:rsid w:val="00A270A5"/>
    <w:rsid w:val="00A2781D"/>
    <w:rsid w:val="00A31540"/>
    <w:rsid w:val="00A320E3"/>
    <w:rsid w:val="00A33525"/>
    <w:rsid w:val="00A33573"/>
    <w:rsid w:val="00A33807"/>
    <w:rsid w:val="00A34710"/>
    <w:rsid w:val="00A34AB0"/>
    <w:rsid w:val="00A3611E"/>
    <w:rsid w:val="00A378A8"/>
    <w:rsid w:val="00A37BCE"/>
    <w:rsid w:val="00A37C16"/>
    <w:rsid w:val="00A40744"/>
    <w:rsid w:val="00A40811"/>
    <w:rsid w:val="00A42249"/>
    <w:rsid w:val="00A42944"/>
    <w:rsid w:val="00A45365"/>
    <w:rsid w:val="00A473B0"/>
    <w:rsid w:val="00A50A5E"/>
    <w:rsid w:val="00A51122"/>
    <w:rsid w:val="00A5233F"/>
    <w:rsid w:val="00A52661"/>
    <w:rsid w:val="00A526EE"/>
    <w:rsid w:val="00A52BF9"/>
    <w:rsid w:val="00A52C17"/>
    <w:rsid w:val="00A53E5E"/>
    <w:rsid w:val="00A5591C"/>
    <w:rsid w:val="00A57372"/>
    <w:rsid w:val="00A60628"/>
    <w:rsid w:val="00A60DEC"/>
    <w:rsid w:val="00A61232"/>
    <w:rsid w:val="00A619D1"/>
    <w:rsid w:val="00A635CC"/>
    <w:rsid w:val="00A63FD1"/>
    <w:rsid w:val="00A6479F"/>
    <w:rsid w:val="00A64BCA"/>
    <w:rsid w:val="00A64EDF"/>
    <w:rsid w:val="00A65D7B"/>
    <w:rsid w:val="00A66FEC"/>
    <w:rsid w:val="00A676A2"/>
    <w:rsid w:val="00A67938"/>
    <w:rsid w:val="00A67B04"/>
    <w:rsid w:val="00A70B7A"/>
    <w:rsid w:val="00A70E96"/>
    <w:rsid w:val="00A70EA3"/>
    <w:rsid w:val="00A70F3C"/>
    <w:rsid w:val="00A72FBB"/>
    <w:rsid w:val="00A77B61"/>
    <w:rsid w:val="00A81BE5"/>
    <w:rsid w:val="00A8223D"/>
    <w:rsid w:val="00A85589"/>
    <w:rsid w:val="00A8574E"/>
    <w:rsid w:val="00A86002"/>
    <w:rsid w:val="00A87248"/>
    <w:rsid w:val="00A87A10"/>
    <w:rsid w:val="00A87FC1"/>
    <w:rsid w:val="00A928E6"/>
    <w:rsid w:val="00A930E5"/>
    <w:rsid w:val="00A940CE"/>
    <w:rsid w:val="00A963A9"/>
    <w:rsid w:val="00A96B13"/>
    <w:rsid w:val="00A9779E"/>
    <w:rsid w:val="00AA01E6"/>
    <w:rsid w:val="00AA09DD"/>
    <w:rsid w:val="00AA0D20"/>
    <w:rsid w:val="00AA1305"/>
    <w:rsid w:val="00AA16B3"/>
    <w:rsid w:val="00AA20D5"/>
    <w:rsid w:val="00AA2483"/>
    <w:rsid w:val="00AA2A85"/>
    <w:rsid w:val="00AA31B1"/>
    <w:rsid w:val="00AA41EA"/>
    <w:rsid w:val="00AA497B"/>
    <w:rsid w:val="00AA49D0"/>
    <w:rsid w:val="00AA4A6E"/>
    <w:rsid w:val="00AA6AA2"/>
    <w:rsid w:val="00AA6CD0"/>
    <w:rsid w:val="00AA78BD"/>
    <w:rsid w:val="00AB0E2B"/>
    <w:rsid w:val="00AB121A"/>
    <w:rsid w:val="00AB1EFC"/>
    <w:rsid w:val="00AB22E0"/>
    <w:rsid w:val="00AB398B"/>
    <w:rsid w:val="00AB40B6"/>
    <w:rsid w:val="00AB437C"/>
    <w:rsid w:val="00AB56C1"/>
    <w:rsid w:val="00AB5D49"/>
    <w:rsid w:val="00AB67D0"/>
    <w:rsid w:val="00AB6DB4"/>
    <w:rsid w:val="00AC0C4C"/>
    <w:rsid w:val="00AC0CDE"/>
    <w:rsid w:val="00AC0D52"/>
    <w:rsid w:val="00AC132D"/>
    <w:rsid w:val="00AC146A"/>
    <w:rsid w:val="00AC1733"/>
    <w:rsid w:val="00AC2E73"/>
    <w:rsid w:val="00AC368C"/>
    <w:rsid w:val="00AC55D2"/>
    <w:rsid w:val="00AC64E3"/>
    <w:rsid w:val="00AC7510"/>
    <w:rsid w:val="00AC7BB7"/>
    <w:rsid w:val="00AD039C"/>
    <w:rsid w:val="00AD1F20"/>
    <w:rsid w:val="00AD3773"/>
    <w:rsid w:val="00AD3F52"/>
    <w:rsid w:val="00AD4C8C"/>
    <w:rsid w:val="00AD4CDC"/>
    <w:rsid w:val="00AD66EF"/>
    <w:rsid w:val="00AD67C7"/>
    <w:rsid w:val="00AD6DF6"/>
    <w:rsid w:val="00AD7E5B"/>
    <w:rsid w:val="00AE096F"/>
    <w:rsid w:val="00AE1420"/>
    <w:rsid w:val="00AE15F8"/>
    <w:rsid w:val="00AE21CB"/>
    <w:rsid w:val="00AE36BD"/>
    <w:rsid w:val="00AE40EB"/>
    <w:rsid w:val="00AE54A9"/>
    <w:rsid w:val="00AE606D"/>
    <w:rsid w:val="00AE7163"/>
    <w:rsid w:val="00AE73D8"/>
    <w:rsid w:val="00AE74B3"/>
    <w:rsid w:val="00AE7A6B"/>
    <w:rsid w:val="00AE7CB3"/>
    <w:rsid w:val="00AF04C2"/>
    <w:rsid w:val="00AF0C6F"/>
    <w:rsid w:val="00AF1122"/>
    <w:rsid w:val="00AF1BC1"/>
    <w:rsid w:val="00AF1FC9"/>
    <w:rsid w:val="00AF2359"/>
    <w:rsid w:val="00AF2675"/>
    <w:rsid w:val="00AF308D"/>
    <w:rsid w:val="00AF4F3C"/>
    <w:rsid w:val="00AF5081"/>
    <w:rsid w:val="00AF678F"/>
    <w:rsid w:val="00AF78EE"/>
    <w:rsid w:val="00B0046D"/>
    <w:rsid w:val="00B0099C"/>
    <w:rsid w:val="00B00EDC"/>
    <w:rsid w:val="00B01111"/>
    <w:rsid w:val="00B011E6"/>
    <w:rsid w:val="00B02B0F"/>
    <w:rsid w:val="00B02C5F"/>
    <w:rsid w:val="00B0570D"/>
    <w:rsid w:val="00B0714F"/>
    <w:rsid w:val="00B0755E"/>
    <w:rsid w:val="00B077CC"/>
    <w:rsid w:val="00B10C05"/>
    <w:rsid w:val="00B11BCB"/>
    <w:rsid w:val="00B11D45"/>
    <w:rsid w:val="00B124AB"/>
    <w:rsid w:val="00B13181"/>
    <w:rsid w:val="00B1439F"/>
    <w:rsid w:val="00B1479C"/>
    <w:rsid w:val="00B14FC0"/>
    <w:rsid w:val="00B1524D"/>
    <w:rsid w:val="00B152F3"/>
    <w:rsid w:val="00B15566"/>
    <w:rsid w:val="00B1706D"/>
    <w:rsid w:val="00B170A3"/>
    <w:rsid w:val="00B21399"/>
    <w:rsid w:val="00B23906"/>
    <w:rsid w:val="00B2422D"/>
    <w:rsid w:val="00B24E69"/>
    <w:rsid w:val="00B25928"/>
    <w:rsid w:val="00B27036"/>
    <w:rsid w:val="00B2727E"/>
    <w:rsid w:val="00B278FE"/>
    <w:rsid w:val="00B2799F"/>
    <w:rsid w:val="00B279C9"/>
    <w:rsid w:val="00B27DF3"/>
    <w:rsid w:val="00B27E30"/>
    <w:rsid w:val="00B300AD"/>
    <w:rsid w:val="00B30199"/>
    <w:rsid w:val="00B30851"/>
    <w:rsid w:val="00B32115"/>
    <w:rsid w:val="00B33189"/>
    <w:rsid w:val="00B331AE"/>
    <w:rsid w:val="00B33A92"/>
    <w:rsid w:val="00B349BB"/>
    <w:rsid w:val="00B3546C"/>
    <w:rsid w:val="00B35610"/>
    <w:rsid w:val="00B36623"/>
    <w:rsid w:val="00B37C46"/>
    <w:rsid w:val="00B37FDB"/>
    <w:rsid w:val="00B4009D"/>
    <w:rsid w:val="00B4026E"/>
    <w:rsid w:val="00B40628"/>
    <w:rsid w:val="00B40EFB"/>
    <w:rsid w:val="00B4201B"/>
    <w:rsid w:val="00B42AD2"/>
    <w:rsid w:val="00B435B3"/>
    <w:rsid w:val="00B43A2E"/>
    <w:rsid w:val="00B442C0"/>
    <w:rsid w:val="00B44908"/>
    <w:rsid w:val="00B45B3E"/>
    <w:rsid w:val="00B45E32"/>
    <w:rsid w:val="00B46CA9"/>
    <w:rsid w:val="00B470F9"/>
    <w:rsid w:val="00B51E6D"/>
    <w:rsid w:val="00B51F2D"/>
    <w:rsid w:val="00B529E6"/>
    <w:rsid w:val="00B52C64"/>
    <w:rsid w:val="00B535CB"/>
    <w:rsid w:val="00B53CDE"/>
    <w:rsid w:val="00B5476F"/>
    <w:rsid w:val="00B5481C"/>
    <w:rsid w:val="00B54C6C"/>
    <w:rsid w:val="00B56F57"/>
    <w:rsid w:val="00B57A13"/>
    <w:rsid w:val="00B6053B"/>
    <w:rsid w:val="00B60CC1"/>
    <w:rsid w:val="00B632B1"/>
    <w:rsid w:val="00B64F63"/>
    <w:rsid w:val="00B6529E"/>
    <w:rsid w:val="00B653E2"/>
    <w:rsid w:val="00B65F4B"/>
    <w:rsid w:val="00B66238"/>
    <w:rsid w:val="00B66C4B"/>
    <w:rsid w:val="00B67081"/>
    <w:rsid w:val="00B67B22"/>
    <w:rsid w:val="00B71C13"/>
    <w:rsid w:val="00B72AEE"/>
    <w:rsid w:val="00B7310E"/>
    <w:rsid w:val="00B73348"/>
    <w:rsid w:val="00B73646"/>
    <w:rsid w:val="00B73D17"/>
    <w:rsid w:val="00B7401C"/>
    <w:rsid w:val="00B74952"/>
    <w:rsid w:val="00B756F5"/>
    <w:rsid w:val="00B77299"/>
    <w:rsid w:val="00B77CBA"/>
    <w:rsid w:val="00B80A5E"/>
    <w:rsid w:val="00B80E26"/>
    <w:rsid w:val="00B80F13"/>
    <w:rsid w:val="00B81A62"/>
    <w:rsid w:val="00B81DC6"/>
    <w:rsid w:val="00B82DD3"/>
    <w:rsid w:val="00B83321"/>
    <w:rsid w:val="00B84377"/>
    <w:rsid w:val="00B846C6"/>
    <w:rsid w:val="00B8484B"/>
    <w:rsid w:val="00B8517C"/>
    <w:rsid w:val="00B85C6C"/>
    <w:rsid w:val="00B85F20"/>
    <w:rsid w:val="00B9124A"/>
    <w:rsid w:val="00B93132"/>
    <w:rsid w:val="00B93D6A"/>
    <w:rsid w:val="00B9480A"/>
    <w:rsid w:val="00B94BFF"/>
    <w:rsid w:val="00B956C4"/>
    <w:rsid w:val="00B95B0A"/>
    <w:rsid w:val="00B96271"/>
    <w:rsid w:val="00B97167"/>
    <w:rsid w:val="00BA0A39"/>
    <w:rsid w:val="00BA17A6"/>
    <w:rsid w:val="00BA2D2B"/>
    <w:rsid w:val="00BA36F0"/>
    <w:rsid w:val="00BA3D6D"/>
    <w:rsid w:val="00BA4876"/>
    <w:rsid w:val="00BA51E3"/>
    <w:rsid w:val="00BA5C3A"/>
    <w:rsid w:val="00BA5C82"/>
    <w:rsid w:val="00BA5FB6"/>
    <w:rsid w:val="00BA64E6"/>
    <w:rsid w:val="00BA6EB3"/>
    <w:rsid w:val="00BA7E4B"/>
    <w:rsid w:val="00BB1858"/>
    <w:rsid w:val="00BB1E30"/>
    <w:rsid w:val="00BB224C"/>
    <w:rsid w:val="00BB2349"/>
    <w:rsid w:val="00BB2735"/>
    <w:rsid w:val="00BB2F03"/>
    <w:rsid w:val="00BB4494"/>
    <w:rsid w:val="00BB4715"/>
    <w:rsid w:val="00BB590E"/>
    <w:rsid w:val="00BB64CB"/>
    <w:rsid w:val="00BB65B2"/>
    <w:rsid w:val="00BB6B70"/>
    <w:rsid w:val="00BB6CCF"/>
    <w:rsid w:val="00BB777A"/>
    <w:rsid w:val="00BB7A04"/>
    <w:rsid w:val="00BC09A4"/>
    <w:rsid w:val="00BC1466"/>
    <w:rsid w:val="00BC1484"/>
    <w:rsid w:val="00BC1CFA"/>
    <w:rsid w:val="00BC240C"/>
    <w:rsid w:val="00BC2B30"/>
    <w:rsid w:val="00BC3094"/>
    <w:rsid w:val="00BC321E"/>
    <w:rsid w:val="00BC3903"/>
    <w:rsid w:val="00BC4B2A"/>
    <w:rsid w:val="00BC5031"/>
    <w:rsid w:val="00BC62C2"/>
    <w:rsid w:val="00BC6743"/>
    <w:rsid w:val="00BC799A"/>
    <w:rsid w:val="00BD0754"/>
    <w:rsid w:val="00BD2004"/>
    <w:rsid w:val="00BD265C"/>
    <w:rsid w:val="00BD3524"/>
    <w:rsid w:val="00BD39DE"/>
    <w:rsid w:val="00BD40A4"/>
    <w:rsid w:val="00BD45D8"/>
    <w:rsid w:val="00BD46B9"/>
    <w:rsid w:val="00BD47AD"/>
    <w:rsid w:val="00BD4D7E"/>
    <w:rsid w:val="00BD5BBC"/>
    <w:rsid w:val="00BD5E18"/>
    <w:rsid w:val="00BD5E95"/>
    <w:rsid w:val="00BD7244"/>
    <w:rsid w:val="00BD7452"/>
    <w:rsid w:val="00BD7EB6"/>
    <w:rsid w:val="00BE055C"/>
    <w:rsid w:val="00BE0D5F"/>
    <w:rsid w:val="00BE1556"/>
    <w:rsid w:val="00BE2995"/>
    <w:rsid w:val="00BE35B4"/>
    <w:rsid w:val="00BE35CA"/>
    <w:rsid w:val="00BE3C8A"/>
    <w:rsid w:val="00BE451C"/>
    <w:rsid w:val="00BE49BE"/>
    <w:rsid w:val="00BE75BF"/>
    <w:rsid w:val="00BF0517"/>
    <w:rsid w:val="00BF1118"/>
    <w:rsid w:val="00BF1392"/>
    <w:rsid w:val="00BF2027"/>
    <w:rsid w:val="00BF2053"/>
    <w:rsid w:val="00BF218E"/>
    <w:rsid w:val="00BF2E2E"/>
    <w:rsid w:val="00BF3B45"/>
    <w:rsid w:val="00BF42E7"/>
    <w:rsid w:val="00BF51D5"/>
    <w:rsid w:val="00BF6F8B"/>
    <w:rsid w:val="00BF6FDD"/>
    <w:rsid w:val="00BF7F6A"/>
    <w:rsid w:val="00C0023B"/>
    <w:rsid w:val="00C00783"/>
    <w:rsid w:val="00C008C1"/>
    <w:rsid w:val="00C01844"/>
    <w:rsid w:val="00C0288F"/>
    <w:rsid w:val="00C029A2"/>
    <w:rsid w:val="00C02BA3"/>
    <w:rsid w:val="00C02FAA"/>
    <w:rsid w:val="00C030A9"/>
    <w:rsid w:val="00C03134"/>
    <w:rsid w:val="00C034AB"/>
    <w:rsid w:val="00C047C1"/>
    <w:rsid w:val="00C04A4A"/>
    <w:rsid w:val="00C0540C"/>
    <w:rsid w:val="00C0619C"/>
    <w:rsid w:val="00C0668A"/>
    <w:rsid w:val="00C066A9"/>
    <w:rsid w:val="00C07D7A"/>
    <w:rsid w:val="00C10FA7"/>
    <w:rsid w:val="00C11337"/>
    <w:rsid w:val="00C11DD0"/>
    <w:rsid w:val="00C13014"/>
    <w:rsid w:val="00C130D2"/>
    <w:rsid w:val="00C137CE"/>
    <w:rsid w:val="00C13936"/>
    <w:rsid w:val="00C14421"/>
    <w:rsid w:val="00C17198"/>
    <w:rsid w:val="00C17567"/>
    <w:rsid w:val="00C17601"/>
    <w:rsid w:val="00C201E0"/>
    <w:rsid w:val="00C2087D"/>
    <w:rsid w:val="00C20C6B"/>
    <w:rsid w:val="00C237FC"/>
    <w:rsid w:val="00C23DE3"/>
    <w:rsid w:val="00C23F5B"/>
    <w:rsid w:val="00C247C3"/>
    <w:rsid w:val="00C24A3E"/>
    <w:rsid w:val="00C25505"/>
    <w:rsid w:val="00C26107"/>
    <w:rsid w:val="00C2662C"/>
    <w:rsid w:val="00C26685"/>
    <w:rsid w:val="00C26AD1"/>
    <w:rsid w:val="00C26DE3"/>
    <w:rsid w:val="00C2704A"/>
    <w:rsid w:val="00C31201"/>
    <w:rsid w:val="00C31377"/>
    <w:rsid w:val="00C32098"/>
    <w:rsid w:val="00C32435"/>
    <w:rsid w:val="00C32463"/>
    <w:rsid w:val="00C32486"/>
    <w:rsid w:val="00C32AA6"/>
    <w:rsid w:val="00C32CA0"/>
    <w:rsid w:val="00C336AD"/>
    <w:rsid w:val="00C33A91"/>
    <w:rsid w:val="00C33F97"/>
    <w:rsid w:val="00C42357"/>
    <w:rsid w:val="00C429A1"/>
    <w:rsid w:val="00C42D47"/>
    <w:rsid w:val="00C42FBD"/>
    <w:rsid w:val="00C43860"/>
    <w:rsid w:val="00C43D75"/>
    <w:rsid w:val="00C43FA1"/>
    <w:rsid w:val="00C444BE"/>
    <w:rsid w:val="00C44C7D"/>
    <w:rsid w:val="00C45BBF"/>
    <w:rsid w:val="00C46A53"/>
    <w:rsid w:val="00C47897"/>
    <w:rsid w:val="00C5008A"/>
    <w:rsid w:val="00C50FB0"/>
    <w:rsid w:val="00C52A43"/>
    <w:rsid w:val="00C52C45"/>
    <w:rsid w:val="00C54307"/>
    <w:rsid w:val="00C55095"/>
    <w:rsid w:val="00C55154"/>
    <w:rsid w:val="00C55CE3"/>
    <w:rsid w:val="00C56AD0"/>
    <w:rsid w:val="00C57AFE"/>
    <w:rsid w:val="00C57D99"/>
    <w:rsid w:val="00C601A3"/>
    <w:rsid w:val="00C6059C"/>
    <w:rsid w:val="00C60BFB"/>
    <w:rsid w:val="00C60D74"/>
    <w:rsid w:val="00C60E5A"/>
    <w:rsid w:val="00C6115D"/>
    <w:rsid w:val="00C6140D"/>
    <w:rsid w:val="00C622FA"/>
    <w:rsid w:val="00C62BAB"/>
    <w:rsid w:val="00C640A5"/>
    <w:rsid w:val="00C64A61"/>
    <w:rsid w:val="00C64ED7"/>
    <w:rsid w:val="00C66BA8"/>
    <w:rsid w:val="00C66F1F"/>
    <w:rsid w:val="00C674F2"/>
    <w:rsid w:val="00C712E3"/>
    <w:rsid w:val="00C72230"/>
    <w:rsid w:val="00C73719"/>
    <w:rsid w:val="00C738D2"/>
    <w:rsid w:val="00C73DDF"/>
    <w:rsid w:val="00C73DEE"/>
    <w:rsid w:val="00C749E7"/>
    <w:rsid w:val="00C74C70"/>
    <w:rsid w:val="00C74EFE"/>
    <w:rsid w:val="00C759CE"/>
    <w:rsid w:val="00C75B41"/>
    <w:rsid w:val="00C75D50"/>
    <w:rsid w:val="00C75F7E"/>
    <w:rsid w:val="00C76469"/>
    <w:rsid w:val="00C76578"/>
    <w:rsid w:val="00C7694A"/>
    <w:rsid w:val="00C76EA5"/>
    <w:rsid w:val="00C76EEB"/>
    <w:rsid w:val="00C7758C"/>
    <w:rsid w:val="00C77659"/>
    <w:rsid w:val="00C7797A"/>
    <w:rsid w:val="00C77F6D"/>
    <w:rsid w:val="00C8212E"/>
    <w:rsid w:val="00C82842"/>
    <w:rsid w:val="00C82CD2"/>
    <w:rsid w:val="00C82D9F"/>
    <w:rsid w:val="00C85FD2"/>
    <w:rsid w:val="00C86F14"/>
    <w:rsid w:val="00C911A1"/>
    <w:rsid w:val="00C91F83"/>
    <w:rsid w:val="00C92056"/>
    <w:rsid w:val="00C949DD"/>
    <w:rsid w:val="00C95098"/>
    <w:rsid w:val="00C952A7"/>
    <w:rsid w:val="00C95509"/>
    <w:rsid w:val="00C96220"/>
    <w:rsid w:val="00C96935"/>
    <w:rsid w:val="00C9706C"/>
    <w:rsid w:val="00C97381"/>
    <w:rsid w:val="00C97445"/>
    <w:rsid w:val="00CA022E"/>
    <w:rsid w:val="00CA2C93"/>
    <w:rsid w:val="00CA4461"/>
    <w:rsid w:val="00CA50BB"/>
    <w:rsid w:val="00CA56FB"/>
    <w:rsid w:val="00CA57D4"/>
    <w:rsid w:val="00CA5E4B"/>
    <w:rsid w:val="00CA7442"/>
    <w:rsid w:val="00CB0452"/>
    <w:rsid w:val="00CB04CB"/>
    <w:rsid w:val="00CB04E0"/>
    <w:rsid w:val="00CB0D3F"/>
    <w:rsid w:val="00CB513F"/>
    <w:rsid w:val="00CB61B6"/>
    <w:rsid w:val="00CB75DF"/>
    <w:rsid w:val="00CB7D08"/>
    <w:rsid w:val="00CC08C9"/>
    <w:rsid w:val="00CC09B6"/>
    <w:rsid w:val="00CC108C"/>
    <w:rsid w:val="00CC11FD"/>
    <w:rsid w:val="00CC1323"/>
    <w:rsid w:val="00CC28F2"/>
    <w:rsid w:val="00CC2B43"/>
    <w:rsid w:val="00CC2DCA"/>
    <w:rsid w:val="00CC3655"/>
    <w:rsid w:val="00CC3B2C"/>
    <w:rsid w:val="00CC3B31"/>
    <w:rsid w:val="00CC4725"/>
    <w:rsid w:val="00CC4796"/>
    <w:rsid w:val="00CC55E7"/>
    <w:rsid w:val="00CC70D6"/>
    <w:rsid w:val="00CD0020"/>
    <w:rsid w:val="00CD0079"/>
    <w:rsid w:val="00CD148A"/>
    <w:rsid w:val="00CD1E0A"/>
    <w:rsid w:val="00CD2A79"/>
    <w:rsid w:val="00CD2DB6"/>
    <w:rsid w:val="00CD2E2C"/>
    <w:rsid w:val="00CD2FBD"/>
    <w:rsid w:val="00CD3257"/>
    <w:rsid w:val="00CD3D07"/>
    <w:rsid w:val="00CD42B7"/>
    <w:rsid w:val="00CD4F5E"/>
    <w:rsid w:val="00CD6077"/>
    <w:rsid w:val="00CD625C"/>
    <w:rsid w:val="00CD6AD4"/>
    <w:rsid w:val="00CD6E68"/>
    <w:rsid w:val="00CD7341"/>
    <w:rsid w:val="00CE02A2"/>
    <w:rsid w:val="00CE0486"/>
    <w:rsid w:val="00CE1168"/>
    <w:rsid w:val="00CE1358"/>
    <w:rsid w:val="00CE2DC7"/>
    <w:rsid w:val="00CE3564"/>
    <w:rsid w:val="00CE3659"/>
    <w:rsid w:val="00CE368A"/>
    <w:rsid w:val="00CE52F1"/>
    <w:rsid w:val="00CE5657"/>
    <w:rsid w:val="00CE5D70"/>
    <w:rsid w:val="00CE5E55"/>
    <w:rsid w:val="00CE63BA"/>
    <w:rsid w:val="00CE729E"/>
    <w:rsid w:val="00CE7C14"/>
    <w:rsid w:val="00CF1542"/>
    <w:rsid w:val="00CF1AF1"/>
    <w:rsid w:val="00CF1B28"/>
    <w:rsid w:val="00CF2D04"/>
    <w:rsid w:val="00CF2EFE"/>
    <w:rsid w:val="00CF32B2"/>
    <w:rsid w:val="00CF3A3A"/>
    <w:rsid w:val="00CF3FE4"/>
    <w:rsid w:val="00CF4693"/>
    <w:rsid w:val="00CF4839"/>
    <w:rsid w:val="00CF5F95"/>
    <w:rsid w:val="00CF7226"/>
    <w:rsid w:val="00D0150C"/>
    <w:rsid w:val="00D01AB2"/>
    <w:rsid w:val="00D01F64"/>
    <w:rsid w:val="00D021EF"/>
    <w:rsid w:val="00D0369C"/>
    <w:rsid w:val="00D0416A"/>
    <w:rsid w:val="00D04799"/>
    <w:rsid w:val="00D0587E"/>
    <w:rsid w:val="00D05C6A"/>
    <w:rsid w:val="00D060F0"/>
    <w:rsid w:val="00D06333"/>
    <w:rsid w:val="00D06D24"/>
    <w:rsid w:val="00D10FE2"/>
    <w:rsid w:val="00D11DC6"/>
    <w:rsid w:val="00D17055"/>
    <w:rsid w:val="00D202B1"/>
    <w:rsid w:val="00D209DE"/>
    <w:rsid w:val="00D20C27"/>
    <w:rsid w:val="00D228E5"/>
    <w:rsid w:val="00D22C87"/>
    <w:rsid w:val="00D23514"/>
    <w:rsid w:val="00D239FA"/>
    <w:rsid w:val="00D23AD9"/>
    <w:rsid w:val="00D23BBE"/>
    <w:rsid w:val="00D24882"/>
    <w:rsid w:val="00D24C9F"/>
    <w:rsid w:val="00D24F09"/>
    <w:rsid w:val="00D263DF"/>
    <w:rsid w:val="00D267ED"/>
    <w:rsid w:val="00D268D0"/>
    <w:rsid w:val="00D26ACF"/>
    <w:rsid w:val="00D3250D"/>
    <w:rsid w:val="00D334DC"/>
    <w:rsid w:val="00D33E5B"/>
    <w:rsid w:val="00D344A4"/>
    <w:rsid w:val="00D3554D"/>
    <w:rsid w:val="00D35692"/>
    <w:rsid w:val="00D36187"/>
    <w:rsid w:val="00D37C77"/>
    <w:rsid w:val="00D41142"/>
    <w:rsid w:val="00D41FCA"/>
    <w:rsid w:val="00D42008"/>
    <w:rsid w:val="00D42131"/>
    <w:rsid w:val="00D43E25"/>
    <w:rsid w:val="00D441CD"/>
    <w:rsid w:val="00D467D5"/>
    <w:rsid w:val="00D46B2B"/>
    <w:rsid w:val="00D50147"/>
    <w:rsid w:val="00D505DF"/>
    <w:rsid w:val="00D50E63"/>
    <w:rsid w:val="00D514CF"/>
    <w:rsid w:val="00D51D3D"/>
    <w:rsid w:val="00D520B2"/>
    <w:rsid w:val="00D525D5"/>
    <w:rsid w:val="00D527AC"/>
    <w:rsid w:val="00D5356D"/>
    <w:rsid w:val="00D53ACB"/>
    <w:rsid w:val="00D547CA"/>
    <w:rsid w:val="00D54EE4"/>
    <w:rsid w:val="00D55391"/>
    <w:rsid w:val="00D558B2"/>
    <w:rsid w:val="00D55D44"/>
    <w:rsid w:val="00D56871"/>
    <w:rsid w:val="00D577F2"/>
    <w:rsid w:val="00D57C14"/>
    <w:rsid w:val="00D60787"/>
    <w:rsid w:val="00D6165B"/>
    <w:rsid w:val="00D61867"/>
    <w:rsid w:val="00D61C0C"/>
    <w:rsid w:val="00D642C4"/>
    <w:rsid w:val="00D64586"/>
    <w:rsid w:val="00D65162"/>
    <w:rsid w:val="00D651FB"/>
    <w:rsid w:val="00D66705"/>
    <w:rsid w:val="00D66E1B"/>
    <w:rsid w:val="00D67037"/>
    <w:rsid w:val="00D670D2"/>
    <w:rsid w:val="00D67102"/>
    <w:rsid w:val="00D67794"/>
    <w:rsid w:val="00D67A02"/>
    <w:rsid w:val="00D71653"/>
    <w:rsid w:val="00D727F5"/>
    <w:rsid w:val="00D72D84"/>
    <w:rsid w:val="00D72FFB"/>
    <w:rsid w:val="00D734E6"/>
    <w:rsid w:val="00D73D3A"/>
    <w:rsid w:val="00D750A8"/>
    <w:rsid w:val="00D751D5"/>
    <w:rsid w:val="00D7592C"/>
    <w:rsid w:val="00D76357"/>
    <w:rsid w:val="00D80BE9"/>
    <w:rsid w:val="00D81397"/>
    <w:rsid w:val="00D81866"/>
    <w:rsid w:val="00D81B9B"/>
    <w:rsid w:val="00D820AD"/>
    <w:rsid w:val="00D82375"/>
    <w:rsid w:val="00D82D2A"/>
    <w:rsid w:val="00D83AD5"/>
    <w:rsid w:val="00D843C2"/>
    <w:rsid w:val="00D852EC"/>
    <w:rsid w:val="00D854AD"/>
    <w:rsid w:val="00D862DE"/>
    <w:rsid w:val="00D86352"/>
    <w:rsid w:val="00D8706A"/>
    <w:rsid w:val="00D87123"/>
    <w:rsid w:val="00D906C8"/>
    <w:rsid w:val="00D91A27"/>
    <w:rsid w:val="00D9391F"/>
    <w:rsid w:val="00D93B01"/>
    <w:rsid w:val="00D93BF4"/>
    <w:rsid w:val="00D93F19"/>
    <w:rsid w:val="00D9550A"/>
    <w:rsid w:val="00D9743C"/>
    <w:rsid w:val="00DA02AB"/>
    <w:rsid w:val="00DA2E40"/>
    <w:rsid w:val="00DA31B7"/>
    <w:rsid w:val="00DA383F"/>
    <w:rsid w:val="00DA3CD4"/>
    <w:rsid w:val="00DA51C2"/>
    <w:rsid w:val="00DA6459"/>
    <w:rsid w:val="00DA6AEB"/>
    <w:rsid w:val="00DB0157"/>
    <w:rsid w:val="00DB0B29"/>
    <w:rsid w:val="00DB116D"/>
    <w:rsid w:val="00DB1200"/>
    <w:rsid w:val="00DB17B8"/>
    <w:rsid w:val="00DB1952"/>
    <w:rsid w:val="00DB229D"/>
    <w:rsid w:val="00DB2CF1"/>
    <w:rsid w:val="00DB2E00"/>
    <w:rsid w:val="00DB33E6"/>
    <w:rsid w:val="00DB3D79"/>
    <w:rsid w:val="00DB4B7A"/>
    <w:rsid w:val="00DB5AF3"/>
    <w:rsid w:val="00DB60FD"/>
    <w:rsid w:val="00DB77D7"/>
    <w:rsid w:val="00DC365B"/>
    <w:rsid w:val="00DC4BA2"/>
    <w:rsid w:val="00DC4FF0"/>
    <w:rsid w:val="00DC5118"/>
    <w:rsid w:val="00DC566C"/>
    <w:rsid w:val="00DC597F"/>
    <w:rsid w:val="00DC7950"/>
    <w:rsid w:val="00DD09A9"/>
    <w:rsid w:val="00DD1199"/>
    <w:rsid w:val="00DD1DA0"/>
    <w:rsid w:val="00DD235F"/>
    <w:rsid w:val="00DD37C8"/>
    <w:rsid w:val="00DD507F"/>
    <w:rsid w:val="00DD5C06"/>
    <w:rsid w:val="00DD6317"/>
    <w:rsid w:val="00DD74EA"/>
    <w:rsid w:val="00DE0202"/>
    <w:rsid w:val="00DE058F"/>
    <w:rsid w:val="00DE1CB6"/>
    <w:rsid w:val="00DE1D1F"/>
    <w:rsid w:val="00DE2856"/>
    <w:rsid w:val="00DE3BF8"/>
    <w:rsid w:val="00DE5999"/>
    <w:rsid w:val="00DE5A4C"/>
    <w:rsid w:val="00DE698E"/>
    <w:rsid w:val="00DE6D95"/>
    <w:rsid w:val="00DE7487"/>
    <w:rsid w:val="00DE7A6C"/>
    <w:rsid w:val="00DF1264"/>
    <w:rsid w:val="00DF15A3"/>
    <w:rsid w:val="00DF1FDA"/>
    <w:rsid w:val="00DF232B"/>
    <w:rsid w:val="00DF3579"/>
    <w:rsid w:val="00DF3AEC"/>
    <w:rsid w:val="00DF484C"/>
    <w:rsid w:val="00DF60D3"/>
    <w:rsid w:val="00DF792A"/>
    <w:rsid w:val="00E000CF"/>
    <w:rsid w:val="00E00D36"/>
    <w:rsid w:val="00E014C9"/>
    <w:rsid w:val="00E01654"/>
    <w:rsid w:val="00E028C9"/>
    <w:rsid w:val="00E02BB9"/>
    <w:rsid w:val="00E04D61"/>
    <w:rsid w:val="00E04E29"/>
    <w:rsid w:val="00E051E5"/>
    <w:rsid w:val="00E07895"/>
    <w:rsid w:val="00E07FF8"/>
    <w:rsid w:val="00E108BA"/>
    <w:rsid w:val="00E10ABB"/>
    <w:rsid w:val="00E11391"/>
    <w:rsid w:val="00E11B34"/>
    <w:rsid w:val="00E124CF"/>
    <w:rsid w:val="00E12690"/>
    <w:rsid w:val="00E13781"/>
    <w:rsid w:val="00E13C52"/>
    <w:rsid w:val="00E148D3"/>
    <w:rsid w:val="00E1507C"/>
    <w:rsid w:val="00E1509E"/>
    <w:rsid w:val="00E16D9F"/>
    <w:rsid w:val="00E17809"/>
    <w:rsid w:val="00E21672"/>
    <w:rsid w:val="00E21806"/>
    <w:rsid w:val="00E22479"/>
    <w:rsid w:val="00E22C5F"/>
    <w:rsid w:val="00E23BD1"/>
    <w:rsid w:val="00E23D3E"/>
    <w:rsid w:val="00E24A82"/>
    <w:rsid w:val="00E255B2"/>
    <w:rsid w:val="00E26389"/>
    <w:rsid w:val="00E2768F"/>
    <w:rsid w:val="00E276B2"/>
    <w:rsid w:val="00E2787D"/>
    <w:rsid w:val="00E30000"/>
    <w:rsid w:val="00E30197"/>
    <w:rsid w:val="00E3073F"/>
    <w:rsid w:val="00E30C61"/>
    <w:rsid w:val="00E3151F"/>
    <w:rsid w:val="00E319BF"/>
    <w:rsid w:val="00E31C39"/>
    <w:rsid w:val="00E32159"/>
    <w:rsid w:val="00E32B74"/>
    <w:rsid w:val="00E32DDD"/>
    <w:rsid w:val="00E33066"/>
    <w:rsid w:val="00E3353B"/>
    <w:rsid w:val="00E33648"/>
    <w:rsid w:val="00E336BD"/>
    <w:rsid w:val="00E33ACA"/>
    <w:rsid w:val="00E348E6"/>
    <w:rsid w:val="00E34EEC"/>
    <w:rsid w:val="00E35775"/>
    <w:rsid w:val="00E362BF"/>
    <w:rsid w:val="00E41734"/>
    <w:rsid w:val="00E41D6A"/>
    <w:rsid w:val="00E428AA"/>
    <w:rsid w:val="00E4350D"/>
    <w:rsid w:val="00E4396B"/>
    <w:rsid w:val="00E44599"/>
    <w:rsid w:val="00E452E8"/>
    <w:rsid w:val="00E457DE"/>
    <w:rsid w:val="00E4595A"/>
    <w:rsid w:val="00E4657F"/>
    <w:rsid w:val="00E47398"/>
    <w:rsid w:val="00E47606"/>
    <w:rsid w:val="00E516CD"/>
    <w:rsid w:val="00E519D4"/>
    <w:rsid w:val="00E51C06"/>
    <w:rsid w:val="00E51C12"/>
    <w:rsid w:val="00E51E4C"/>
    <w:rsid w:val="00E52AF2"/>
    <w:rsid w:val="00E52F21"/>
    <w:rsid w:val="00E5330A"/>
    <w:rsid w:val="00E53AD7"/>
    <w:rsid w:val="00E53B6C"/>
    <w:rsid w:val="00E54821"/>
    <w:rsid w:val="00E54BF3"/>
    <w:rsid w:val="00E55A7C"/>
    <w:rsid w:val="00E56B4F"/>
    <w:rsid w:val="00E60CC1"/>
    <w:rsid w:val="00E62766"/>
    <w:rsid w:val="00E62D8D"/>
    <w:rsid w:val="00E631AF"/>
    <w:rsid w:val="00E643E2"/>
    <w:rsid w:val="00E64DA8"/>
    <w:rsid w:val="00E654B9"/>
    <w:rsid w:val="00E6728A"/>
    <w:rsid w:val="00E707D1"/>
    <w:rsid w:val="00E71FBC"/>
    <w:rsid w:val="00E72919"/>
    <w:rsid w:val="00E72936"/>
    <w:rsid w:val="00E72CA7"/>
    <w:rsid w:val="00E72D5F"/>
    <w:rsid w:val="00E73114"/>
    <w:rsid w:val="00E73771"/>
    <w:rsid w:val="00E73805"/>
    <w:rsid w:val="00E74834"/>
    <w:rsid w:val="00E7543E"/>
    <w:rsid w:val="00E75F0B"/>
    <w:rsid w:val="00E7608A"/>
    <w:rsid w:val="00E76426"/>
    <w:rsid w:val="00E76D57"/>
    <w:rsid w:val="00E803CD"/>
    <w:rsid w:val="00E8093F"/>
    <w:rsid w:val="00E81F81"/>
    <w:rsid w:val="00E8387D"/>
    <w:rsid w:val="00E84443"/>
    <w:rsid w:val="00E84B40"/>
    <w:rsid w:val="00E85631"/>
    <w:rsid w:val="00E8602E"/>
    <w:rsid w:val="00E86608"/>
    <w:rsid w:val="00E86D14"/>
    <w:rsid w:val="00E87329"/>
    <w:rsid w:val="00E87C10"/>
    <w:rsid w:val="00E90149"/>
    <w:rsid w:val="00E909ED"/>
    <w:rsid w:val="00E91C21"/>
    <w:rsid w:val="00E92CC8"/>
    <w:rsid w:val="00E933E7"/>
    <w:rsid w:val="00E94CBF"/>
    <w:rsid w:val="00E94D44"/>
    <w:rsid w:val="00E96528"/>
    <w:rsid w:val="00E979D3"/>
    <w:rsid w:val="00EA01D7"/>
    <w:rsid w:val="00EA0D40"/>
    <w:rsid w:val="00EA3D8C"/>
    <w:rsid w:val="00EA4D3C"/>
    <w:rsid w:val="00EA4DDC"/>
    <w:rsid w:val="00EA5643"/>
    <w:rsid w:val="00EB0283"/>
    <w:rsid w:val="00EB0EE8"/>
    <w:rsid w:val="00EB2095"/>
    <w:rsid w:val="00EB248B"/>
    <w:rsid w:val="00EB2EDF"/>
    <w:rsid w:val="00EB38C7"/>
    <w:rsid w:val="00EB41E3"/>
    <w:rsid w:val="00EB570A"/>
    <w:rsid w:val="00EB687C"/>
    <w:rsid w:val="00EB69FF"/>
    <w:rsid w:val="00EB7922"/>
    <w:rsid w:val="00EC2645"/>
    <w:rsid w:val="00EC2C1F"/>
    <w:rsid w:val="00EC31D7"/>
    <w:rsid w:val="00EC4017"/>
    <w:rsid w:val="00EC6D62"/>
    <w:rsid w:val="00EC773A"/>
    <w:rsid w:val="00EC79AA"/>
    <w:rsid w:val="00ED2F0A"/>
    <w:rsid w:val="00ED375E"/>
    <w:rsid w:val="00ED375F"/>
    <w:rsid w:val="00ED3B05"/>
    <w:rsid w:val="00ED4F56"/>
    <w:rsid w:val="00ED5804"/>
    <w:rsid w:val="00ED6702"/>
    <w:rsid w:val="00ED77D1"/>
    <w:rsid w:val="00ED7D2D"/>
    <w:rsid w:val="00EE04EB"/>
    <w:rsid w:val="00EE0E40"/>
    <w:rsid w:val="00EE0F03"/>
    <w:rsid w:val="00EE1C2C"/>
    <w:rsid w:val="00EE2866"/>
    <w:rsid w:val="00EE3634"/>
    <w:rsid w:val="00EE3744"/>
    <w:rsid w:val="00EE38ED"/>
    <w:rsid w:val="00EE3DDF"/>
    <w:rsid w:val="00EE495C"/>
    <w:rsid w:val="00EE501A"/>
    <w:rsid w:val="00EE56DE"/>
    <w:rsid w:val="00EE6744"/>
    <w:rsid w:val="00EE6C26"/>
    <w:rsid w:val="00EE71E1"/>
    <w:rsid w:val="00EE7FB0"/>
    <w:rsid w:val="00EF0AAB"/>
    <w:rsid w:val="00EF0ECC"/>
    <w:rsid w:val="00EF1C87"/>
    <w:rsid w:val="00EF1E95"/>
    <w:rsid w:val="00EF221B"/>
    <w:rsid w:val="00EF4564"/>
    <w:rsid w:val="00EF4A13"/>
    <w:rsid w:val="00EF4AB0"/>
    <w:rsid w:val="00EF4D52"/>
    <w:rsid w:val="00EF5E2D"/>
    <w:rsid w:val="00EF60A0"/>
    <w:rsid w:val="00EF61DC"/>
    <w:rsid w:val="00EF71A6"/>
    <w:rsid w:val="00F00D3B"/>
    <w:rsid w:val="00F010DE"/>
    <w:rsid w:val="00F018EC"/>
    <w:rsid w:val="00F01D65"/>
    <w:rsid w:val="00F01D73"/>
    <w:rsid w:val="00F0394A"/>
    <w:rsid w:val="00F03C70"/>
    <w:rsid w:val="00F041B4"/>
    <w:rsid w:val="00F04347"/>
    <w:rsid w:val="00F04469"/>
    <w:rsid w:val="00F0453E"/>
    <w:rsid w:val="00F066E1"/>
    <w:rsid w:val="00F0714C"/>
    <w:rsid w:val="00F07EA2"/>
    <w:rsid w:val="00F11336"/>
    <w:rsid w:val="00F11524"/>
    <w:rsid w:val="00F11600"/>
    <w:rsid w:val="00F1181B"/>
    <w:rsid w:val="00F12252"/>
    <w:rsid w:val="00F128EE"/>
    <w:rsid w:val="00F12E24"/>
    <w:rsid w:val="00F14084"/>
    <w:rsid w:val="00F169CC"/>
    <w:rsid w:val="00F204BD"/>
    <w:rsid w:val="00F20588"/>
    <w:rsid w:val="00F25290"/>
    <w:rsid w:val="00F25390"/>
    <w:rsid w:val="00F2558D"/>
    <w:rsid w:val="00F25CBE"/>
    <w:rsid w:val="00F2633C"/>
    <w:rsid w:val="00F26567"/>
    <w:rsid w:val="00F26D56"/>
    <w:rsid w:val="00F272DD"/>
    <w:rsid w:val="00F2755C"/>
    <w:rsid w:val="00F30775"/>
    <w:rsid w:val="00F315B9"/>
    <w:rsid w:val="00F31747"/>
    <w:rsid w:val="00F31F94"/>
    <w:rsid w:val="00F321C4"/>
    <w:rsid w:val="00F3355D"/>
    <w:rsid w:val="00F3364A"/>
    <w:rsid w:val="00F337C4"/>
    <w:rsid w:val="00F34A4E"/>
    <w:rsid w:val="00F355AE"/>
    <w:rsid w:val="00F35602"/>
    <w:rsid w:val="00F35B57"/>
    <w:rsid w:val="00F37874"/>
    <w:rsid w:val="00F41E5C"/>
    <w:rsid w:val="00F42091"/>
    <w:rsid w:val="00F43C62"/>
    <w:rsid w:val="00F43E07"/>
    <w:rsid w:val="00F44A95"/>
    <w:rsid w:val="00F44DE0"/>
    <w:rsid w:val="00F44EDB"/>
    <w:rsid w:val="00F45B3B"/>
    <w:rsid w:val="00F53B85"/>
    <w:rsid w:val="00F54B92"/>
    <w:rsid w:val="00F55D35"/>
    <w:rsid w:val="00F564A2"/>
    <w:rsid w:val="00F56C18"/>
    <w:rsid w:val="00F56DD2"/>
    <w:rsid w:val="00F57649"/>
    <w:rsid w:val="00F57BF1"/>
    <w:rsid w:val="00F57FC3"/>
    <w:rsid w:val="00F61E02"/>
    <w:rsid w:val="00F643AF"/>
    <w:rsid w:val="00F6479E"/>
    <w:rsid w:val="00F6575E"/>
    <w:rsid w:val="00F66419"/>
    <w:rsid w:val="00F725A2"/>
    <w:rsid w:val="00F72984"/>
    <w:rsid w:val="00F729B4"/>
    <w:rsid w:val="00F7377B"/>
    <w:rsid w:val="00F73789"/>
    <w:rsid w:val="00F73B9F"/>
    <w:rsid w:val="00F74091"/>
    <w:rsid w:val="00F757A5"/>
    <w:rsid w:val="00F762CA"/>
    <w:rsid w:val="00F76559"/>
    <w:rsid w:val="00F81495"/>
    <w:rsid w:val="00F81C6A"/>
    <w:rsid w:val="00F826DA"/>
    <w:rsid w:val="00F82BA9"/>
    <w:rsid w:val="00F84C7D"/>
    <w:rsid w:val="00F859CB"/>
    <w:rsid w:val="00F86A8B"/>
    <w:rsid w:val="00F86B87"/>
    <w:rsid w:val="00F87025"/>
    <w:rsid w:val="00F9039D"/>
    <w:rsid w:val="00F92649"/>
    <w:rsid w:val="00F92A0F"/>
    <w:rsid w:val="00F94C4A"/>
    <w:rsid w:val="00F962DA"/>
    <w:rsid w:val="00F967BE"/>
    <w:rsid w:val="00F9683A"/>
    <w:rsid w:val="00F96DF2"/>
    <w:rsid w:val="00F96E64"/>
    <w:rsid w:val="00F9711F"/>
    <w:rsid w:val="00F97319"/>
    <w:rsid w:val="00F97457"/>
    <w:rsid w:val="00FA0995"/>
    <w:rsid w:val="00FA1F2E"/>
    <w:rsid w:val="00FA2005"/>
    <w:rsid w:val="00FA47F2"/>
    <w:rsid w:val="00FA616C"/>
    <w:rsid w:val="00FA6506"/>
    <w:rsid w:val="00FA6649"/>
    <w:rsid w:val="00FA6BD0"/>
    <w:rsid w:val="00FA6C2A"/>
    <w:rsid w:val="00FA74AA"/>
    <w:rsid w:val="00FB0103"/>
    <w:rsid w:val="00FB0595"/>
    <w:rsid w:val="00FB0E61"/>
    <w:rsid w:val="00FB1119"/>
    <w:rsid w:val="00FB1ACD"/>
    <w:rsid w:val="00FB2B42"/>
    <w:rsid w:val="00FB348B"/>
    <w:rsid w:val="00FB3615"/>
    <w:rsid w:val="00FB384A"/>
    <w:rsid w:val="00FB42E1"/>
    <w:rsid w:val="00FB47C0"/>
    <w:rsid w:val="00FB5FEF"/>
    <w:rsid w:val="00FB61AD"/>
    <w:rsid w:val="00FB6489"/>
    <w:rsid w:val="00FB6B61"/>
    <w:rsid w:val="00FB713A"/>
    <w:rsid w:val="00FB7907"/>
    <w:rsid w:val="00FB7FB1"/>
    <w:rsid w:val="00FC0A8C"/>
    <w:rsid w:val="00FC0BE0"/>
    <w:rsid w:val="00FC1057"/>
    <w:rsid w:val="00FC1C01"/>
    <w:rsid w:val="00FC240E"/>
    <w:rsid w:val="00FC2B71"/>
    <w:rsid w:val="00FC2EB6"/>
    <w:rsid w:val="00FC35A0"/>
    <w:rsid w:val="00FC421E"/>
    <w:rsid w:val="00FC54A1"/>
    <w:rsid w:val="00FC57F2"/>
    <w:rsid w:val="00FC60FA"/>
    <w:rsid w:val="00FC65BE"/>
    <w:rsid w:val="00FC692C"/>
    <w:rsid w:val="00FD0A8B"/>
    <w:rsid w:val="00FD0B2E"/>
    <w:rsid w:val="00FD102F"/>
    <w:rsid w:val="00FD171C"/>
    <w:rsid w:val="00FD1750"/>
    <w:rsid w:val="00FD1F33"/>
    <w:rsid w:val="00FD22BC"/>
    <w:rsid w:val="00FD3206"/>
    <w:rsid w:val="00FD372B"/>
    <w:rsid w:val="00FD39E7"/>
    <w:rsid w:val="00FD3AB9"/>
    <w:rsid w:val="00FD4376"/>
    <w:rsid w:val="00FD5678"/>
    <w:rsid w:val="00FD5735"/>
    <w:rsid w:val="00FD64D6"/>
    <w:rsid w:val="00FD6750"/>
    <w:rsid w:val="00FD6986"/>
    <w:rsid w:val="00FD782E"/>
    <w:rsid w:val="00FE01AE"/>
    <w:rsid w:val="00FE04CB"/>
    <w:rsid w:val="00FE07A7"/>
    <w:rsid w:val="00FE09EB"/>
    <w:rsid w:val="00FE1A26"/>
    <w:rsid w:val="00FE1B77"/>
    <w:rsid w:val="00FE28C0"/>
    <w:rsid w:val="00FE2D04"/>
    <w:rsid w:val="00FE32E5"/>
    <w:rsid w:val="00FE4613"/>
    <w:rsid w:val="00FE47B2"/>
    <w:rsid w:val="00FE4DDC"/>
    <w:rsid w:val="00FE551E"/>
    <w:rsid w:val="00FE5A39"/>
    <w:rsid w:val="00FE6ADE"/>
    <w:rsid w:val="00FE6CC1"/>
    <w:rsid w:val="00FE723B"/>
    <w:rsid w:val="00FE774A"/>
    <w:rsid w:val="00FF040B"/>
    <w:rsid w:val="00FF0B4F"/>
    <w:rsid w:val="00FF12FC"/>
    <w:rsid w:val="00FF2460"/>
    <w:rsid w:val="00FF289A"/>
    <w:rsid w:val="00FF3B7E"/>
    <w:rsid w:val="00FF4ACF"/>
    <w:rsid w:val="00FF5668"/>
    <w:rsid w:val="00FF634E"/>
    <w:rsid w:val="00FF6648"/>
    <w:rsid w:val="00FF68AE"/>
    <w:rsid w:val="00FF7082"/>
    <w:rsid w:val="00FF7E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8B0CF1"/>
  <w15:docId w15:val="{1816C4AC-141A-440B-9215-866A81459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046D"/>
    <w:pPr>
      <w:jc w:val="both"/>
    </w:pPr>
    <w:rPr>
      <w:color w:val="44546A" w:themeColor="text2"/>
      <w:sz w:val="20"/>
    </w:rPr>
  </w:style>
  <w:style w:type="paragraph" w:styleId="Heading1">
    <w:name w:val="heading 1"/>
    <w:basedOn w:val="Normal"/>
    <w:next w:val="Normal"/>
    <w:link w:val="Heading1Char"/>
    <w:uiPriority w:val="9"/>
    <w:qFormat/>
    <w:rsid w:val="00AF235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Podnaslov 2"/>
    <w:basedOn w:val="Normal"/>
    <w:next w:val="Normal"/>
    <w:link w:val="Heading2Char"/>
    <w:uiPriority w:val="9"/>
    <w:unhideWhenUsed/>
    <w:qFormat/>
    <w:rsid w:val="00AF235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570694"/>
    <w:pPr>
      <w:autoSpaceDE w:val="0"/>
      <w:autoSpaceDN w:val="0"/>
      <w:adjustRightInd w:val="0"/>
      <w:spacing w:after="0" w:line="240" w:lineRule="auto"/>
    </w:pPr>
    <w:rPr>
      <w:rFonts w:ascii="Cambria" w:hAnsi="Cambria" w:cs="Cambria"/>
      <w:color w:val="000000"/>
      <w:sz w:val="24"/>
      <w:szCs w:val="24"/>
    </w:rPr>
  </w:style>
  <w:style w:type="paragraph" w:styleId="Header">
    <w:name w:val="header"/>
    <w:basedOn w:val="Normal"/>
    <w:link w:val="HeaderChar"/>
    <w:uiPriority w:val="99"/>
    <w:unhideWhenUsed/>
    <w:rsid w:val="00BF7F6A"/>
    <w:pPr>
      <w:tabs>
        <w:tab w:val="center" w:pos="4680"/>
        <w:tab w:val="right" w:pos="9360"/>
      </w:tabs>
      <w:spacing w:after="0" w:line="240" w:lineRule="auto"/>
    </w:pPr>
  </w:style>
  <w:style w:type="character" w:customStyle="1" w:styleId="HeaderChar">
    <w:name w:val="Header Char"/>
    <w:basedOn w:val="DefaultParagraphFont"/>
    <w:link w:val="Header"/>
    <w:uiPriority w:val="99"/>
    <w:rsid w:val="00BF7F6A"/>
  </w:style>
  <w:style w:type="paragraph" w:styleId="Footer">
    <w:name w:val="footer"/>
    <w:basedOn w:val="Normal"/>
    <w:link w:val="FooterChar"/>
    <w:uiPriority w:val="99"/>
    <w:unhideWhenUsed/>
    <w:rsid w:val="00BF7F6A"/>
    <w:pPr>
      <w:tabs>
        <w:tab w:val="center" w:pos="4680"/>
        <w:tab w:val="right" w:pos="9360"/>
      </w:tabs>
      <w:spacing w:after="0" w:line="240" w:lineRule="auto"/>
    </w:pPr>
  </w:style>
  <w:style w:type="character" w:customStyle="1" w:styleId="FooterChar">
    <w:name w:val="Footer Char"/>
    <w:basedOn w:val="DefaultParagraphFont"/>
    <w:link w:val="Footer"/>
    <w:uiPriority w:val="99"/>
    <w:rsid w:val="00BF7F6A"/>
  </w:style>
  <w:style w:type="character" w:customStyle="1" w:styleId="Heading1Char">
    <w:name w:val="Heading 1 Char"/>
    <w:basedOn w:val="DefaultParagraphFont"/>
    <w:link w:val="Heading1"/>
    <w:uiPriority w:val="9"/>
    <w:rsid w:val="00AF2359"/>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AF2359"/>
    <w:pPr>
      <w:outlineLvl w:val="9"/>
    </w:pPr>
  </w:style>
  <w:style w:type="paragraph" w:styleId="TOC1">
    <w:name w:val="toc 1"/>
    <w:basedOn w:val="Normal"/>
    <w:next w:val="Normal"/>
    <w:autoRedefine/>
    <w:uiPriority w:val="39"/>
    <w:unhideWhenUsed/>
    <w:rsid w:val="005311D2"/>
    <w:pPr>
      <w:tabs>
        <w:tab w:val="left" w:pos="270"/>
        <w:tab w:val="right" w:leader="dot" w:pos="9350"/>
      </w:tabs>
      <w:spacing w:after="100"/>
      <w:ind w:firstLine="180"/>
    </w:pPr>
    <w:rPr>
      <w:rFonts w:cstheme="minorHAnsi"/>
      <w:b/>
      <w:bCs/>
      <w:noProof/>
      <w:szCs w:val="20"/>
      <w:lang w:val="sr-Cyrl-RS"/>
    </w:rPr>
  </w:style>
  <w:style w:type="character" w:styleId="Hyperlink">
    <w:name w:val="Hyperlink"/>
    <w:basedOn w:val="DefaultParagraphFont"/>
    <w:uiPriority w:val="99"/>
    <w:unhideWhenUsed/>
    <w:rsid w:val="00AF2359"/>
    <w:rPr>
      <w:color w:val="0563C1" w:themeColor="hyperlink"/>
      <w:u w:val="single"/>
    </w:rPr>
  </w:style>
  <w:style w:type="character" w:customStyle="1" w:styleId="Heading2Char">
    <w:name w:val="Heading 2 Char"/>
    <w:aliases w:val="Podnaslov 2 Char"/>
    <w:basedOn w:val="DefaultParagraphFont"/>
    <w:link w:val="Heading2"/>
    <w:uiPriority w:val="9"/>
    <w:rsid w:val="00AF2359"/>
    <w:rPr>
      <w:rFonts w:asciiTheme="majorHAnsi" w:eastAsiaTheme="majorEastAsia" w:hAnsiTheme="majorHAnsi" w:cstheme="majorBidi"/>
      <w:color w:val="2F5496" w:themeColor="accent1" w:themeShade="BF"/>
      <w:sz w:val="26"/>
      <w:szCs w:val="26"/>
    </w:rPr>
  </w:style>
  <w:style w:type="table" w:styleId="TableGrid">
    <w:name w:val="Table Grid"/>
    <w:basedOn w:val="TableNormal"/>
    <w:uiPriority w:val="39"/>
    <w:rsid w:val="00AF78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rsid w:val="0072065C"/>
    <w:pPr>
      <w:tabs>
        <w:tab w:val="right" w:leader="dot" w:pos="9350"/>
      </w:tabs>
      <w:spacing w:after="100"/>
      <w:ind w:left="220"/>
    </w:pPr>
    <w:rPr>
      <w:rFonts w:eastAsia="MS PGothic" w:cstheme="minorHAnsi"/>
      <w:b/>
      <w:noProof/>
      <w:lang w:val="sr-Cyrl-RS" w:eastAsia="ja-JP"/>
    </w:rPr>
  </w:style>
  <w:style w:type="paragraph" w:styleId="FootnoteText">
    <w:name w:val="footnote text"/>
    <w:aliases w:val="Footnote Text Char Char Char,Footnote Text Char Char,single space,footnote text,fn,FOOTNOTES,ADB,Footnote Text Char Char Char Char Char,Footnote Text Char Char1,ft,Texto nota pie Car,ft Car,ft Car Car,Texto nota pie2,ft1,f,A,fn1"/>
    <w:basedOn w:val="Normal"/>
    <w:link w:val="FootnoteTextChar"/>
    <w:uiPriority w:val="99"/>
    <w:unhideWhenUsed/>
    <w:qFormat/>
    <w:rsid w:val="005556DC"/>
    <w:pPr>
      <w:spacing w:after="0" w:line="240" w:lineRule="auto"/>
    </w:pPr>
    <w:rPr>
      <w:szCs w:val="20"/>
    </w:rPr>
  </w:style>
  <w:style w:type="character" w:customStyle="1" w:styleId="FootnoteTextChar">
    <w:name w:val="Footnote Text Char"/>
    <w:aliases w:val="Footnote Text Char Char Char Char,Footnote Text Char Char Char1,single space Char,footnote text Char,fn Char,FOOTNOTES Char,ADB Char,Footnote Text Char Char Char Char Char Char,Footnote Text Char Char1 Char,ft Char,ft Car Char,f Char"/>
    <w:basedOn w:val="DefaultParagraphFont"/>
    <w:link w:val="FootnoteText"/>
    <w:uiPriority w:val="99"/>
    <w:qFormat/>
    <w:rsid w:val="005556DC"/>
    <w:rPr>
      <w:sz w:val="20"/>
      <w:szCs w:val="20"/>
    </w:rPr>
  </w:style>
  <w:style w:type="character" w:styleId="FootnoteReference">
    <w:name w:val="footnote reference"/>
    <w:aliases w:val="ftref,Normal + Font:9 Point,Superscript 3 Point Times,SUPERS,EN Footnote Reference,number,Char Char,BVI fnr,Footnote symbol,Footnote reference number,note TESI,ftref Char,BVI fnr Char,BVI fnr Car Char,Char Char Car Char,16 Point Char"/>
    <w:basedOn w:val="DefaultParagraphFont"/>
    <w:link w:val="NumPar1"/>
    <w:uiPriority w:val="99"/>
    <w:unhideWhenUsed/>
    <w:qFormat/>
    <w:rsid w:val="005556DC"/>
    <w:rPr>
      <w:vertAlign w:val="superscript"/>
    </w:rPr>
  </w:style>
  <w:style w:type="character" w:customStyle="1" w:styleId="Hyperlink1">
    <w:name w:val="Hyperlink1"/>
    <w:basedOn w:val="DefaultParagraphFont"/>
    <w:uiPriority w:val="99"/>
    <w:unhideWhenUsed/>
    <w:rsid w:val="005556DC"/>
    <w:rPr>
      <w:color w:val="0563C1"/>
      <w:u w:val="single"/>
    </w:rPr>
  </w:style>
  <w:style w:type="paragraph" w:styleId="Caption">
    <w:name w:val="caption"/>
    <w:basedOn w:val="Normal"/>
    <w:next w:val="Normal"/>
    <w:uiPriority w:val="35"/>
    <w:unhideWhenUsed/>
    <w:qFormat/>
    <w:rsid w:val="004B197B"/>
    <w:pPr>
      <w:jc w:val="center"/>
    </w:pPr>
    <w:rPr>
      <w:b/>
      <w:iCs/>
      <w:color w:val="002060"/>
      <w:szCs w:val="18"/>
    </w:rPr>
  </w:style>
  <w:style w:type="table" w:customStyle="1" w:styleId="GridTable5Dark-Accent51">
    <w:name w:val="Grid Table 5 Dark - Accent 51"/>
    <w:basedOn w:val="TableNormal"/>
    <w:uiPriority w:val="50"/>
    <w:rsid w:val="0043518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
    <w:name w:val="Light Shading - Accent 333"/>
    <w:basedOn w:val="TableNormal"/>
    <w:next w:val="LightShading-Accent3"/>
    <w:uiPriority w:val="60"/>
    <w:rsid w:val="00CB0452"/>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3">
    <w:name w:val="Light Shading Accent 3"/>
    <w:basedOn w:val="TableNormal"/>
    <w:uiPriority w:val="60"/>
    <w:semiHidden/>
    <w:unhideWhenUsed/>
    <w:rsid w:val="00CB0452"/>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styleId="CommentReference">
    <w:name w:val="annotation reference"/>
    <w:basedOn w:val="DefaultParagraphFont"/>
    <w:uiPriority w:val="99"/>
    <w:semiHidden/>
    <w:unhideWhenUsed/>
    <w:rsid w:val="00CB0452"/>
    <w:rPr>
      <w:sz w:val="16"/>
      <w:szCs w:val="16"/>
    </w:rPr>
  </w:style>
  <w:style w:type="paragraph" w:styleId="CommentText">
    <w:name w:val="annotation text"/>
    <w:basedOn w:val="Normal"/>
    <w:link w:val="CommentTextChar"/>
    <w:uiPriority w:val="99"/>
    <w:unhideWhenUsed/>
    <w:rsid w:val="00CB0452"/>
    <w:pPr>
      <w:spacing w:line="240" w:lineRule="auto"/>
    </w:pPr>
    <w:rPr>
      <w:szCs w:val="20"/>
    </w:rPr>
  </w:style>
  <w:style w:type="character" w:customStyle="1" w:styleId="CommentTextChar">
    <w:name w:val="Comment Text Char"/>
    <w:basedOn w:val="DefaultParagraphFont"/>
    <w:link w:val="CommentText"/>
    <w:uiPriority w:val="99"/>
    <w:rsid w:val="00CB0452"/>
    <w:rPr>
      <w:sz w:val="20"/>
      <w:szCs w:val="20"/>
    </w:rPr>
  </w:style>
  <w:style w:type="paragraph" w:styleId="CommentSubject">
    <w:name w:val="annotation subject"/>
    <w:basedOn w:val="CommentText"/>
    <w:next w:val="CommentText"/>
    <w:link w:val="CommentSubjectChar"/>
    <w:uiPriority w:val="99"/>
    <w:semiHidden/>
    <w:unhideWhenUsed/>
    <w:rsid w:val="00CB0452"/>
    <w:rPr>
      <w:b/>
      <w:bCs/>
    </w:rPr>
  </w:style>
  <w:style w:type="character" w:customStyle="1" w:styleId="CommentSubjectChar">
    <w:name w:val="Comment Subject Char"/>
    <w:basedOn w:val="CommentTextChar"/>
    <w:link w:val="CommentSubject"/>
    <w:uiPriority w:val="99"/>
    <w:semiHidden/>
    <w:rsid w:val="00CB0452"/>
    <w:rPr>
      <w:b/>
      <w:bCs/>
      <w:sz w:val="20"/>
      <w:szCs w:val="20"/>
    </w:rPr>
  </w:style>
  <w:style w:type="paragraph" w:styleId="BalloonText">
    <w:name w:val="Balloon Text"/>
    <w:basedOn w:val="Normal"/>
    <w:link w:val="BalloonTextChar"/>
    <w:uiPriority w:val="99"/>
    <w:semiHidden/>
    <w:unhideWhenUsed/>
    <w:rsid w:val="00CB045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B0452"/>
    <w:rPr>
      <w:rFonts w:ascii="Segoe UI" w:hAnsi="Segoe UI" w:cs="Segoe UI"/>
      <w:sz w:val="18"/>
      <w:szCs w:val="18"/>
    </w:rPr>
  </w:style>
  <w:style w:type="table" w:customStyle="1" w:styleId="TableGrid2">
    <w:name w:val="Table Grid2"/>
    <w:basedOn w:val="TableNormal"/>
    <w:next w:val="TableGrid"/>
    <w:uiPriority w:val="39"/>
    <w:rsid w:val="008E6892"/>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paragraph" w:styleId="ListParagraph">
    <w:name w:val="List Paragraph"/>
    <w:basedOn w:val="Normal"/>
    <w:link w:val="ListParagraphChar"/>
    <w:uiPriority w:val="34"/>
    <w:qFormat/>
    <w:rsid w:val="0001456F"/>
    <w:pPr>
      <w:ind w:left="720"/>
      <w:contextualSpacing/>
    </w:pPr>
  </w:style>
  <w:style w:type="character" w:customStyle="1" w:styleId="UnresolvedMention1">
    <w:name w:val="Unresolved Mention1"/>
    <w:basedOn w:val="DefaultParagraphFont"/>
    <w:uiPriority w:val="99"/>
    <w:semiHidden/>
    <w:unhideWhenUsed/>
    <w:rsid w:val="002C1D90"/>
    <w:rPr>
      <w:color w:val="605E5C"/>
      <w:shd w:val="clear" w:color="auto" w:fill="E1DFDD"/>
    </w:rPr>
  </w:style>
  <w:style w:type="table" w:customStyle="1" w:styleId="LightShading-Accent335">
    <w:name w:val="Light Shading - Accent 335"/>
    <w:basedOn w:val="TableNormal"/>
    <w:next w:val="LightShading-Accent3"/>
    <w:uiPriority w:val="60"/>
    <w:rsid w:val="009877EB"/>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
    <w:name w:val="No List1"/>
    <w:next w:val="NoList"/>
    <w:uiPriority w:val="99"/>
    <w:semiHidden/>
    <w:unhideWhenUsed/>
    <w:rsid w:val="00BA4876"/>
  </w:style>
  <w:style w:type="table" w:customStyle="1" w:styleId="TableGrid1">
    <w:name w:val="Table Grid1"/>
    <w:basedOn w:val="TableNormal"/>
    <w:next w:val="TableGrid"/>
    <w:uiPriority w:val="59"/>
    <w:rsid w:val="00BA48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0">
    <w:name w:val="Grid Table 5 Dark - Accent 51"/>
    <w:basedOn w:val="TableNormal"/>
    <w:next w:val="GridTable5Dark-Accent51"/>
    <w:uiPriority w:val="50"/>
    <w:rsid w:val="00BA487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
    <w:name w:val="Light Shading - Accent 3331"/>
    <w:basedOn w:val="TableNormal"/>
    <w:next w:val="LightShading-Accent3"/>
    <w:uiPriority w:val="60"/>
    <w:rsid w:val="00BA4876"/>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
    <w:name w:val="Light Shading - Accent 31"/>
    <w:basedOn w:val="TableNormal"/>
    <w:next w:val="LightShading-Accent3"/>
    <w:uiPriority w:val="60"/>
    <w:semiHidden/>
    <w:unhideWhenUsed/>
    <w:rsid w:val="00BA4876"/>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
    <w:name w:val="Table Grid21"/>
    <w:basedOn w:val="TableNormal"/>
    <w:next w:val="TableGrid"/>
    <w:uiPriority w:val="39"/>
    <w:rsid w:val="00BA4876"/>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
    <w:name w:val="Light Shading - Accent 121"/>
    <w:basedOn w:val="TableNormal"/>
    <w:uiPriority w:val="60"/>
    <w:rsid w:val="00BA4876"/>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
    <w:name w:val="Light Shading - Accent 12"/>
    <w:basedOn w:val="TableNormal"/>
    <w:uiPriority w:val="60"/>
    <w:rsid w:val="00BA4876"/>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paragraph" w:styleId="NoSpacing">
    <w:name w:val="No Spacing"/>
    <w:aliases w:val="Uvodna rečenica"/>
    <w:uiPriority w:val="1"/>
    <w:qFormat/>
    <w:rsid w:val="00BA4876"/>
    <w:pPr>
      <w:spacing w:after="0" w:line="240" w:lineRule="auto"/>
      <w:jc w:val="both"/>
    </w:pPr>
    <w:rPr>
      <w:b/>
      <w:color w:val="2F5496" w:themeColor="accent1" w:themeShade="BF"/>
      <w:sz w:val="20"/>
    </w:rPr>
  </w:style>
  <w:style w:type="table" w:customStyle="1" w:styleId="LightShading-Accent3351">
    <w:name w:val="Light Shading - Accent 3351"/>
    <w:basedOn w:val="TableNormal"/>
    <w:next w:val="LightShading-Accent3"/>
    <w:uiPriority w:val="60"/>
    <w:rsid w:val="00BA4876"/>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
    <w:name w:val="Light Shading - Accent 1221"/>
    <w:basedOn w:val="TableNormal"/>
    <w:uiPriority w:val="60"/>
    <w:rsid w:val="00BA4876"/>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paragraph" w:styleId="NormalWeb">
    <w:name w:val="Normal (Web)"/>
    <w:basedOn w:val="Normal"/>
    <w:uiPriority w:val="99"/>
    <w:semiHidden/>
    <w:unhideWhenUsed/>
    <w:rsid w:val="00BA48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istParagraphChar">
    <w:name w:val="List Paragraph Char"/>
    <w:link w:val="ListParagraph"/>
    <w:uiPriority w:val="34"/>
    <w:locked/>
    <w:rsid w:val="00BA4876"/>
  </w:style>
  <w:style w:type="table" w:customStyle="1" w:styleId="LightShading-Accent1211">
    <w:name w:val="Light Shading - Accent 1211"/>
    <w:basedOn w:val="TableNormal"/>
    <w:uiPriority w:val="60"/>
    <w:rsid w:val="00BA4876"/>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
    <w:name w:val="List Table 6 Colorful - Accent 61"/>
    <w:basedOn w:val="TableNormal"/>
    <w:uiPriority w:val="51"/>
    <w:rsid w:val="00BA4876"/>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Hyperlink2">
    <w:name w:val="Hyperlink2"/>
    <w:basedOn w:val="DefaultParagraphFont"/>
    <w:uiPriority w:val="99"/>
    <w:rsid w:val="00BA4876"/>
    <w:rPr>
      <w:color w:val="0563C1"/>
      <w:u w:val="single"/>
    </w:rPr>
  </w:style>
  <w:style w:type="table" w:customStyle="1" w:styleId="ListTable1Light-Accent61">
    <w:name w:val="List Table 1 Light - Accent 61"/>
    <w:basedOn w:val="TableNormal"/>
    <w:uiPriority w:val="46"/>
    <w:rsid w:val="00BA4876"/>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
    <w:name w:val="Light Shading - Accent 336"/>
    <w:basedOn w:val="TableNormal"/>
    <w:uiPriority w:val="60"/>
    <w:rsid w:val="00BA4876"/>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character" w:customStyle="1" w:styleId="UnresolvedMention2">
    <w:name w:val="Unresolved Mention2"/>
    <w:basedOn w:val="DefaultParagraphFont"/>
    <w:uiPriority w:val="99"/>
    <w:semiHidden/>
    <w:unhideWhenUsed/>
    <w:rsid w:val="00BA4876"/>
    <w:rPr>
      <w:color w:val="605E5C"/>
      <w:shd w:val="clear" w:color="auto" w:fill="E1DFDD"/>
    </w:rPr>
  </w:style>
  <w:style w:type="table" w:customStyle="1" w:styleId="LightShading-Accent337">
    <w:name w:val="Light Shading - Accent 337"/>
    <w:basedOn w:val="TableNormal"/>
    <w:uiPriority w:val="60"/>
    <w:rsid w:val="001E3C08"/>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
    <w:name w:val="Light Shading - Accent 338"/>
    <w:basedOn w:val="TableNormal"/>
    <w:uiPriority w:val="60"/>
    <w:rsid w:val="001E3C08"/>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character" w:customStyle="1" w:styleId="UnresolvedMention3">
    <w:name w:val="Unresolved Mention3"/>
    <w:basedOn w:val="DefaultParagraphFont"/>
    <w:uiPriority w:val="99"/>
    <w:semiHidden/>
    <w:unhideWhenUsed/>
    <w:rsid w:val="001E3C08"/>
    <w:rPr>
      <w:color w:val="605E5C"/>
      <w:shd w:val="clear" w:color="auto" w:fill="E1DFDD"/>
    </w:rPr>
  </w:style>
  <w:style w:type="table" w:customStyle="1" w:styleId="LightShading-Accent3371">
    <w:name w:val="Light Shading - Accent 3371"/>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2">
    <w:name w:val="No List2"/>
    <w:next w:val="NoList"/>
    <w:uiPriority w:val="99"/>
    <w:semiHidden/>
    <w:unhideWhenUsed/>
    <w:rsid w:val="005C34A0"/>
  </w:style>
  <w:style w:type="table" w:customStyle="1" w:styleId="TableGrid3">
    <w:name w:val="Table Grid3"/>
    <w:basedOn w:val="TableNormal"/>
    <w:next w:val="TableGrid"/>
    <w:uiPriority w:val="3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2">
    <w:name w:val="Grid Table 5 Dark - Accent 52"/>
    <w:basedOn w:val="TableNormal"/>
    <w:next w:val="GridTable5Dark-Accent51"/>
    <w:uiPriority w:val="50"/>
    <w:rsid w:val="005C34A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2">
    <w:name w:val="Light Shading - Accent 3332"/>
    <w:basedOn w:val="TableNormal"/>
    <w:next w:val="LightShading-Accent3"/>
    <w:uiPriority w:val="60"/>
    <w:rsid w:val="005C34A0"/>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2">
    <w:name w:val="Light Shading - Accent 32"/>
    <w:basedOn w:val="TableNormal"/>
    <w:next w:val="LightShading-Accent3"/>
    <w:uiPriority w:val="60"/>
    <w:semiHidden/>
    <w:unhideWhenUsed/>
    <w:rsid w:val="005C34A0"/>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2">
    <w:name w:val="Table Grid22"/>
    <w:basedOn w:val="TableNormal"/>
    <w:next w:val="TableGrid"/>
    <w:uiPriority w:val="39"/>
    <w:rsid w:val="005C34A0"/>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2">
    <w:name w:val="Light Shading - Accent 3352"/>
    <w:basedOn w:val="TableNormal"/>
    <w:next w:val="LightShading-Accent3"/>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1">
    <w:name w:val="No List11"/>
    <w:next w:val="NoList"/>
    <w:uiPriority w:val="99"/>
    <w:semiHidden/>
    <w:unhideWhenUsed/>
    <w:rsid w:val="005C34A0"/>
  </w:style>
  <w:style w:type="table" w:customStyle="1" w:styleId="TableGrid11">
    <w:name w:val="Table Grid11"/>
    <w:basedOn w:val="TableNormal"/>
    <w:next w:val="TableGrid"/>
    <w:uiPriority w:val="5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1">
    <w:name w:val="Grid Table 5 Dark - Accent 511"/>
    <w:basedOn w:val="TableNormal"/>
    <w:next w:val="GridTable5Dark-Accent51"/>
    <w:uiPriority w:val="50"/>
    <w:rsid w:val="005C34A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1">
    <w:name w:val="Light Shading - Accent 33311"/>
    <w:basedOn w:val="TableNormal"/>
    <w:next w:val="LightShading-Accent3"/>
    <w:uiPriority w:val="60"/>
    <w:rsid w:val="005C34A0"/>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1">
    <w:name w:val="Light Shading - Accent 311"/>
    <w:basedOn w:val="TableNormal"/>
    <w:next w:val="LightShading-Accent3"/>
    <w:uiPriority w:val="60"/>
    <w:semiHidden/>
    <w:unhideWhenUsed/>
    <w:rsid w:val="005C34A0"/>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1">
    <w:name w:val="Table Grid211"/>
    <w:basedOn w:val="TableNormal"/>
    <w:next w:val="TableGrid"/>
    <w:uiPriority w:val="39"/>
    <w:rsid w:val="005C34A0"/>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2">
    <w:name w:val="Light Shading - Accent 1212"/>
    <w:basedOn w:val="TableNormal"/>
    <w:uiPriority w:val="60"/>
    <w:rsid w:val="005C34A0"/>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
    <w:name w:val="Light Shading - Accent 122"/>
    <w:basedOn w:val="TableNormal"/>
    <w:uiPriority w:val="60"/>
    <w:rsid w:val="005C34A0"/>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1">
    <w:name w:val="Light Shading - Accent 33511"/>
    <w:basedOn w:val="TableNormal"/>
    <w:next w:val="LightShading-Accent3"/>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1">
    <w:name w:val="Light Shading - Accent 12211"/>
    <w:basedOn w:val="TableNormal"/>
    <w:uiPriority w:val="60"/>
    <w:rsid w:val="005C34A0"/>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1">
    <w:name w:val="Light Shading - Accent 12111"/>
    <w:basedOn w:val="TableNormal"/>
    <w:uiPriority w:val="60"/>
    <w:rsid w:val="005C34A0"/>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0">
    <w:name w:val="List Table 6 Colorful - Accent 61"/>
    <w:basedOn w:val="TableNormal"/>
    <w:next w:val="ListTable6Colorful-Accent61"/>
    <w:uiPriority w:val="51"/>
    <w:rsid w:val="005C34A0"/>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1">
    <w:name w:val="List Table 1 Light - Accent 611"/>
    <w:basedOn w:val="TableNormal"/>
    <w:uiPriority w:val="46"/>
    <w:rsid w:val="005C34A0"/>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1">
    <w:name w:val="Light Shading - Accent 3361"/>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2">
    <w:name w:val="Light Shading - Accent 3372"/>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1">
    <w:name w:val="Light Shading - Accent 3381"/>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eGrid4">
    <w:name w:val="Table Grid4"/>
    <w:basedOn w:val="TableNormal"/>
    <w:next w:val="TableGrid"/>
    <w:uiPriority w:val="3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6873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6873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51301A"/>
    <w:rPr>
      <w:b/>
      <w:bCs/>
    </w:rPr>
  </w:style>
  <w:style w:type="table" w:customStyle="1" w:styleId="PlainTable41">
    <w:name w:val="Plain Table 41"/>
    <w:basedOn w:val="TableNormal"/>
    <w:uiPriority w:val="44"/>
    <w:rsid w:val="001901F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5Dark-Accent5">
    <w:name w:val="Grid Table 5 Dark Accent 5"/>
    <w:basedOn w:val="TableNormal"/>
    <w:uiPriority w:val="50"/>
    <w:rsid w:val="00C2610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ListTable6Colorful-Accent6">
    <w:name w:val="List Table 6 Colorful Accent 6"/>
    <w:basedOn w:val="TableNormal"/>
    <w:uiPriority w:val="51"/>
    <w:rsid w:val="00C26107"/>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jlqj4b">
    <w:name w:val="jlqj4b"/>
    <w:basedOn w:val="DefaultParagraphFont"/>
    <w:rsid w:val="007A529E"/>
  </w:style>
  <w:style w:type="table" w:styleId="ListTable1Light-Accent3">
    <w:name w:val="List Table 1 Light Accent 3"/>
    <w:basedOn w:val="TableNormal"/>
    <w:uiPriority w:val="46"/>
    <w:rsid w:val="006E4FB8"/>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PlainTable411">
    <w:name w:val="Plain Table 411"/>
    <w:basedOn w:val="TableNormal"/>
    <w:uiPriority w:val="44"/>
    <w:rsid w:val="00BB2F0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6Colorful-Accent1">
    <w:name w:val="Grid Table 6 Colorful Accent 1"/>
    <w:basedOn w:val="TableNormal"/>
    <w:uiPriority w:val="51"/>
    <w:rsid w:val="00BB2F03"/>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ghtShading-Accent3382">
    <w:name w:val="Light Shading - Accent 3382"/>
    <w:basedOn w:val="TableNormal"/>
    <w:uiPriority w:val="60"/>
    <w:rsid w:val="00BB2F03"/>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121">
    <w:name w:val="Light Shading - Accent 12121"/>
    <w:basedOn w:val="TableNormal"/>
    <w:uiPriority w:val="60"/>
    <w:rsid w:val="00BB2F03"/>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2">
    <w:name w:val="Light Shading - Accent 1222"/>
    <w:basedOn w:val="TableNormal"/>
    <w:uiPriority w:val="60"/>
    <w:rsid w:val="00BB2F03"/>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TableGrid61">
    <w:name w:val="Table Grid61"/>
    <w:basedOn w:val="TableNormal"/>
    <w:next w:val="TableGrid"/>
    <w:uiPriority w:val="39"/>
    <w:rsid w:val="00BB2F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BB2F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2">
    <w:name w:val="Grid Table 5 Dark - Accent 512"/>
    <w:basedOn w:val="TableNormal"/>
    <w:next w:val="GridTable5Dark-Accent510"/>
    <w:uiPriority w:val="50"/>
    <w:rsid w:val="00E124C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11">
    <w:name w:val="List Table 6 Colorful - Accent 611"/>
    <w:basedOn w:val="TableNormal"/>
    <w:next w:val="ListTable6Colorful-Accent610"/>
    <w:uiPriority w:val="51"/>
    <w:rsid w:val="00E124CF"/>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styleId="FollowedHyperlink">
    <w:name w:val="FollowedHyperlink"/>
    <w:basedOn w:val="DefaultParagraphFont"/>
    <w:uiPriority w:val="99"/>
    <w:semiHidden/>
    <w:unhideWhenUsed/>
    <w:rsid w:val="00593E7B"/>
    <w:rPr>
      <w:color w:val="954F72" w:themeColor="followedHyperlink"/>
      <w:u w:val="single"/>
    </w:rPr>
  </w:style>
  <w:style w:type="paragraph" w:customStyle="1" w:styleId="NumPar1">
    <w:name w:val="NumPar 1"/>
    <w:basedOn w:val="Normal"/>
    <w:next w:val="Normal"/>
    <w:link w:val="FootnoteReference"/>
    <w:uiPriority w:val="99"/>
    <w:rsid w:val="00593E7B"/>
    <w:pPr>
      <w:numPr>
        <w:numId w:val="18"/>
      </w:numPr>
      <w:spacing w:before="120" w:after="120" w:line="240" w:lineRule="auto"/>
    </w:pPr>
    <w:rPr>
      <w:color w:val="auto"/>
      <w:sz w:val="22"/>
      <w:vertAlign w:val="superscript"/>
    </w:rPr>
  </w:style>
  <w:style w:type="paragraph" w:customStyle="1" w:styleId="NumPar2">
    <w:name w:val="NumPar 2"/>
    <w:basedOn w:val="Normal"/>
    <w:next w:val="Normal"/>
    <w:rsid w:val="00593E7B"/>
    <w:pPr>
      <w:numPr>
        <w:ilvl w:val="1"/>
        <w:numId w:val="18"/>
      </w:numPr>
      <w:spacing w:before="120" w:after="120" w:line="240" w:lineRule="auto"/>
    </w:pPr>
    <w:rPr>
      <w:rFonts w:ascii="Tunga" w:eastAsia="Arial Unicode MS" w:hAnsi="Tunga" w:cs="Tunga"/>
      <w:snapToGrid w:val="0"/>
      <w:color w:val="auto"/>
      <w:szCs w:val="20"/>
    </w:rPr>
  </w:style>
  <w:style w:type="paragraph" w:customStyle="1" w:styleId="NumPar3">
    <w:name w:val="NumPar 3"/>
    <w:basedOn w:val="Normal"/>
    <w:next w:val="Normal"/>
    <w:rsid w:val="00593E7B"/>
    <w:pPr>
      <w:numPr>
        <w:ilvl w:val="2"/>
        <w:numId w:val="18"/>
      </w:numPr>
      <w:spacing w:before="120" w:after="120" w:line="240" w:lineRule="auto"/>
    </w:pPr>
    <w:rPr>
      <w:rFonts w:ascii="Tunga" w:eastAsia="Arial Unicode MS" w:hAnsi="Tunga" w:cs="Tunga"/>
      <w:snapToGrid w:val="0"/>
      <w:color w:val="auto"/>
      <w:szCs w:val="20"/>
    </w:rPr>
  </w:style>
  <w:style w:type="paragraph" w:customStyle="1" w:styleId="NumPar4">
    <w:name w:val="NumPar 4"/>
    <w:basedOn w:val="Normal"/>
    <w:next w:val="Normal"/>
    <w:rsid w:val="00593E7B"/>
    <w:pPr>
      <w:numPr>
        <w:ilvl w:val="3"/>
        <w:numId w:val="18"/>
      </w:numPr>
      <w:spacing w:before="120" w:after="120" w:line="240" w:lineRule="auto"/>
    </w:pPr>
    <w:rPr>
      <w:rFonts w:ascii="Tunga" w:eastAsia="Arial Unicode MS" w:hAnsi="Tunga" w:cs="Tunga"/>
      <w:snapToGrid w:val="0"/>
      <w:color w:val="auto"/>
      <w:szCs w:val="20"/>
    </w:rPr>
  </w:style>
  <w:style w:type="paragraph" w:styleId="Revision">
    <w:name w:val="Revision"/>
    <w:hidden/>
    <w:uiPriority w:val="99"/>
    <w:semiHidden/>
    <w:rsid w:val="009377F8"/>
    <w:pPr>
      <w:spacing w:after="0" w:line="240" w:lineRule="auto"/>
    </w:pPr>
    <w:rPr>
      <w:color w:val="44546A" w:themeColor="text2"/>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62937">
      <w:bodyDiv w:val="1"/>
      <w:marLeft w:val="0"/>
      <w:marRight w:val="0"/>
      <w:marTop w:val="0"/>
      <w:marBottom w:val="0"/>
      <w:divBdr>
        <w:top w:val="none" w:sz="0" w:space="0" w:color="auto"/>
        <w:left w:val="none" w:sz="0" w:space="0" w:color="auto"/>
        <w:bottom w:val="none" w:sz="0" w:space="0" w:color="auto"/>
        <w:right w:val="none" w:sz="0" w:space="0" w:color="auto"/>
      </w:divBdr>
    </w:div>
    <w:div w:id="224491268">
      <w:bodyDiv w:val="1"/>
      <w:marLeft w:val="0"/>
      <w:marRight w:val="0"/>
      <w:marTop w:val="0"/>
      <w:marBottom w:val="0"/>
      <w:divBdr>
        <w:top w:val="none" w:sz="0" w:space="0" w:color="auto"/>
        <w:left w:val="none" w:sz="0" w:space="0" w:color="auto"/>
        <w:bottom w:val="none" w:sz="0" w:space="0" w:color="auto"/>
        <w:right w:val="none" w:sz="0" w:space="0" w:color="auto"/>
      </w:divBdr>
    </w:div>
    <w:div w:id="327100904">
      <w:bodyDiv w:val="1"/>
      <w:marLeft w:val="0"/>
      <w:marRight w:val="0"/>
      <w:marTop w:val="0"/>
      <w:marBottom w:val="0"/>
      <w:divBdr>
        <w:top w:val="none" w:sz="0" w:space="0" w:color="auto"/>
        <w:left w:val="none" w:sz="0" w:space="0" w:color="auto"/>
        <w:bottom w:val="none" w:sz="0" w:space="0" w:color="auto"/>
        <w:right w:val="none" w:sz="0" w:space="0" w:color="auto"/>
      </w:divBdr>
    </w:div>
    <w:div w:id="405343483">
      <w:bodyDiv w:val="1"/>
      <w:marLeft w:val="0"/>
      <w:marRight w:val="0"/>
      <w:marTop w:val="0"/>
      <w:marBottom w:val="0"/>
      <w:divBdr>
        <w:top w:val="none" w:sz="0" w:space="0" w:color="auto"/>
        <w:left w:val="none" w:sz="0" w:space="0" w:color="auto"/>
        <w:bottom w:val="none" w:sz="0" w:space="0" w:color="auto"/>
        <w:right w:val="none" w:sz="0" w:space="0" w:color="auto"/>
      </w:divBdr>
    </w:div>
    <w:div w:id="496309330">
      <w:bodyDiv w:val="1"/>
      <w:marLeft w:val="0"/>
      <w:marRight w:val="0"/>
      <w:marTop w:val="0"/>
      <w:marBottom w:val="0"/>
      <w:divBdr>
        <w:top w:val="none" w:sz="0" w:space="0" w:color="auto"/>
        <w:left w:val="none" w:sz="0" w:space="0" w:color="auto"/>
        <w:bottom w:val="none" w:sz="0" w:space="0" w:color="auto"/>
        <w:right w:val="none" w:sz="0" w:space="0" w:color="auto"/>
      </w:divBdr>
    </w:div>
    <w:div w:id="496505828">
      <w:bodyDiv w:val="1"/>
      <w:marLeft w:val="0"/>
      <w:marRight w:val="0"/>
      <w:marTop w:val="0"/>
      <w:marBottom w:val="0"/>
      <w:divBdr>
        <w:top w:val="none" w:sz="0" w:space="0" w:color="auto"/>
        <w:left w:val="none" w:sz="0" w:space="0" w:color="auto"/>
        <w:bottom w:val="none" w:sz="0" w:space="0" w:color="auto"/>
        <w:right w:val="none" w:sz="0" w:space="0" w:color="auto"/>
      </w:divBdr>
    </w:div>
    <w:div w:id="707607753">
      <w:bodyDiv w:val="1"/>
      <w:marLeft w:val="0"/>
      <w:marRight w:val="0"/>
      <w:marTop w:val="0"/>
      <w:marBottom w:val="0"/>
      <w:divBdr>
        <w:top w:val="none" w:sz="0" w:space="0" w:color="auto"/>
        <w:left w:val="none" w:sz="0" w:space="0" w:color="auto"/>
        <w:bottom w:val="none" w:sz="0" w:space="0" w:color="auto"/>
        <w:right w:val="none" w:sz="0" w:space="0" w:color="auto"/>
      </w:divBdr>
    </w:div>
    <w:div w:id="758334793">
      <w:bodyDiv w:val="1"/>
      <w:marLeft w:val="0"/>
      <w:marRight w:val="0"/>
      <w:marTop w:val="0"/>
      <w:marBottom w:val="0"/>
      <w:divBdr>
        <w:top w:val="none" w:sz="0" w:space="0" w:color="auto"/>
        <w:left w:val="none" w:sz="0" w:space="0" w:color="auto"/>
        <w:bottom w:val="none" w:sz="0" w:space="0" w:color="auto"/>
        <w:right w:val="none" w:sz="0" w:space="0" w:color="auto"/>
      </w:divBdr>
    </w:div>
    <w:div w:id="815489490">
      <w:bodyDiv w:val="1"/>
      <w:marLeft w:val="0"/>
      <w:marRight w:val="0"/>
      <w:marTop w:val="0"/>
      <w:marBottom w:val="0"/>
      <w:divBdr>
        <w:top w:val="none" w:sz="0" w:space="0" w:color="auto"/>
        <w:left w:val="none" w:sz="0" w:space="0" w:color="auto"/>
        <w:bottom w:val="none" w:sz="0" w:space="0" w:color="auto"/>
        <w:right w:val="none" w:sz="0" w:space="0" w:color="auto"/>
      </w:divBdr>
    </w:div>
    <w:div w:id="988559316">
      <w:bodyDiv w:val="1"/>
      <w:marLeft w:val="0"/>
      <w:marRight w:val="0"/>
      <w:marTop w:val="0"/>
      <w:marBottom w:val="0"/>
      <w:divBdr>
        <w:top w:val="none" w:sz="0" w:space="0" w:color="auto"/>
        <w:left w:val="none" w:sz="0" w:space="0" w:color="auto"/>
        <w:bottom w:val="none" w:sz="0" w:space="0" w:color="auto"/>
        <w:right w:val="none" w:sz="0" w:space="0" w:color="auto"/>
      </w:divBdr>
    </w:div>
    <w:div w:id="1221474541">
      <w:bodyDiv w:val="1"/>
      <w:marLeft w:val="0"/>
      <w:marRight w:val="0"/>
      <w:marTop w:val="0"/>
      <w:marBottom w:val="0"/>
      <w:divBdr>
        <w:top w:val="none" w:sz="0" w:space="0" w:color="auto"/>
        <w:left w:val="none" w:sz="0" w:space="0" w:color="auto"/>
        <w:bottom w:val="none" w:sz="0" w:space="0" w:color="auto"/>
        <w:right w:val="none" w:sz="0" w:space="0" w:color="auto"/>
      </w:divBdr>
    </w:div>
    <w:div w:id="1241981220">
      <w:bodyDiv w:val="1"/>
      <w:marLeft w:val="0"/>
      <w:marRight w:val="0"/>
      <w:marTop w:val="0"/>
      <w:marBottom w:val="0"/>
      <w:divBdr>
        <w:top w:val="none" w:sz="0" w:space="0" w:color="auto"/>
        <w:left w:val="none" w:sz="0" w:space="0" w:color="auto"/>
        <w:bottom w:val="none" w:sz="0" w:space="0" w:color="auto"/>
        <w:right w:val="none" w:sz="0" w:space="0" w:color="auto"/>
      </w:divBdr>
    </w:div>
    <w:div w:id="1285890058">
      <w:bodyDiv w:val="1"/>
      <w:marLeft w:val="0"/>
      <w:marRight w:val="0"/>
      <w:marTop w:val="0"/>
      <w:marBottom w:val="0"/>
      <w:divBdr>
        <w:top w:val="none" w:sz="0" w:space="0" w:color="auto"/>
        <w:left w:val="none" w:sz="0" w:space="0" w:color="auto"/>
        <w:bottom w:val="none" w:sz="0" w:space="0" w:color="auto"/>
        <w:right w:val="none" w:sz="0" w:space="0" w:color="auto"/>
      </w:divBdr>
    </w:div>
    <w:div w:id="1579943587">
      <w:bodyDiv w:val="1"/>
      <w:marLeft w:val="0"/>
      <w:marRight w:val="0"/>
      <w:marTop w:val="0"/>
      <w:marBottom w:val="0"/>
      <w:divBdr>
        <w:top w:val="none" w:sz="0" w:space="0" w:color="auto"/>
        <w:left w:val="none" w:sz="0" w:space="0" w:color="auto"/>
        <w:bottom w:val="none" w:sz="0" w:space="0" w:color="auto"/>
        <w:right w:val="none" w:sz="0" w:space="0" w:color="auto"/>
      </w:divBdr>
    </w:div>
    <w:div w:id="1613324982">
      <w:bodyDiv w:val="1"/>
      <w:marLeft w:val="0"/>
      <w:marRight w:val="0"/>
      <w:marTop w:val="0"/>
      <w:marBottom w:val="0"/>
      <w:divBdr>
        <w:top w:val="none" w:sz="0" w:space="0" w:color="auto"/>
        <w:left w:val="none" w:sz="0" w:space="0" w:color="auto"/>
        <w:bottom w:val="none" w:sz="0" w:space="0" w:color="auto"/>
        <w:right w:val="none" w:sz="0" w:space="0" w:color="auto"/>
      </w:divBdr>
    </w:div>
    <w:div w:id="1678337853">
      <w:bodyDiv w:val="1"/>
      <w:marLeft w:val="0"/>
      <w:marRight w:val="0"/>
      <w:marTop w:val="0"/>
      <w:marBottom w:val="0"/>
      <w:divBdr>
        <w:top w:val="none" w:sz="0" w:space="0" w:color="auto"/>
        <w:left w:val="none" w:sz="0" w:space="0" w:color="auto"/>
        <w:bottom w:val="none" w:sz="0" w:space="0" w:color="auto"/>
        <w:right w:val="none" w:sz="0" w:space="0" w:color="auto"/>
      </w:divBdr>
    </w:div>
    <w:div w:id="1697268533">
      <w:bodyDiv w:val="1"/>
      <w:marLeft w:val="0"/>
      <w:marRight w:val="0"/>
      <w:marTop w:val="0"/>
      <w:marBottom w:val="0"/>
      <w:divBdr>
        <w:top w:val="none" w:sz="0" w:space="0" w:color="auto"/>
        <w:left w:val="none" w:sz="0" w:space="0" w:color="auto"/>
        <w:bottom w:val="none" w:sz="0" w:space="0" w:color="auto"/>
        <w:right w:val="none" w:sz="0" w:space="0" w:color="auto"/>
      </w:divBdr>
    </w:div>
    <w:div w:id="1741367302">
      <w:bodyDiv w:val="1"/>
      <w:marLeft w:val="0"/>
      <w:marRight w:val="0"/>
      <w:marTop w:val="0"/>
      <w:marBottom w:val="0"/>
      <w:divBdr>
        <w:top w:val="none" w:sz="0" w:space="0" w:color="auto"/>
        <w:left w:val="none" w:sz="0" w:space="0" w:color="auto"/>
        <w:bottom w:val="none" w:sz="0" w:space="0" w:color="auto"/>
        <w:right w:val="none" w:sz="0" w:space="0" w:color="auto"/>
      </w:divBdr>
    </w:div>
    <w:div w:id="1750691447">
      <w:bodyDiv w:val="1"/>
      <w:marLeft w:val="0"/>
      <w:marRight w:val="0"/>
      <w:marTop w:val="0"/>
      <w:marBottom w:val="0"/>
      <w:divBdr>
        <w:top w:val="none" w:sz="0" w:space="0" w:color="auto"/>
        <w:left w:val="none" w:sz="0" w:space="0" w:color="auto"/>
        <w:bottom w:val="none" w:sz="0" w:space="0" w:color="auto"/>
        <w:right w:val="none" w:sz="0" w:space="0" w:color="auto"/>
      </w:divBdr>
    </w:div>
    <w:div w:id="1980568835">
      <w:bodyDiv w:val="1"/>
      <w:marLeft w:val="0"/>
      <w:marRight w:val="0"/>
      <w:marTop w:val="0"/>
      <w:marBottom w:val="0"/>
      <w:divBdr>
        <w:top w:val="none" w:sz="0" w:space="0" w:color="auto"/>
        <w:left w:val="none" w:sz="0" w:space="0" w:color="auto"/>
        <w:bottom w:val="none" w:sz="0" w:space="0" w:color="auto"/>
        <w:right w:val="none" w:sz="0" w:space="0" w:color="auto"/>
      </w:divBdr>
    </w:div>
    <w:div w:id="2078817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footer" Target="footer25.xml"/><Relationship Id="rId21" Type="http://schemas.openxmlformats.org/officeDocument/2006/relationships/footer" Target="footer6.xml"/><Relationship Id="rId42" Type="http://schemas.openxmlformats.org/officeDocument/2006/relationships/chart" Target="charts/chart13.xml"/><Relationship Id="rId63" Type="http://schemas.openxmlformats.org/officeDocument/2006/relationships/chart" Target="charts/chart33.xml"/><Relationship Id="rId84" Type="http://schemas.openxmlformats.org/officeDocument/2006/relationships/chart" Target="charts/chart48.xml"/><Relationship Id="rId138" Type="http://schemas.openxmlformats.org/officeDocument/2006/relationships/footer" Target="footer32.xml"/><Relationship Id="rId159" Type="http://schemas.openxmlformats.org/officeDocument/2006/relationships/header" Target="header42.xml"/><Relationship Id="rId170" Type="http://schemas.openxmlformats.org/officeDocument/2006/relationships/chart" Target="charts/chart69.xml"/><Relationship Id="rId107" Type="http://schemas.openxmlformats.org/officeDocument/2006/relationships/footer" Target="footer20.xml"/><Relationship Id="rId11" Type="http://schemas.openxmlformats.org/officeDocument/2006/relationships/footer" Target="footer2.xml"/><Relationship Id="rId32" Type="http://schemas.openxmlformats.org/officeDocument/2006/relationships/footer" Target="footer9.xml"/><Relationship Id="rId53" Type="http://schemas.openxmlformats.org/officeDocument/2006/relationships/chart" Target="charts/chart24.xml"/><Relationship Id="rId74" Type="http://schemas.openxmlformats.org/officeDocument/2006/relationships/chart" Target="charts/chart39.xml"/><Relationship Id="rId128" Type="http://schemas.openxmlformats.org/officeDocument/2006/relationships/footer" Target="footer28.xml"/><Relationship Id="rId149" Type="http://schemas.openxmlformats.org/officeDocument/2006/relationships/footer" Target="footer36.xml"/><Relationship Id="rId5" Type="http://schemas.openxmlformats.org/officeDocument/2006/relationships/webSettings" Target="webSettings.xml"/><Relationship Id="rId95" Type="http://schemas.openxmlformats.org/officeDocument/2006/relationships/footer" Target="footer16.xml"/><Relationship Id="rId160" Type="http://schemas.openxmlformats.org/officeDocument/2006/relationships/footer" Target="footer38.xml"/><Relationship Id="rId181" Type="http://schemas.openxmlformats.org/officeDocument/2006/relationships/footer" Target="footer41.xml"/><Relationship Id="rId22" Type="http://schemas.openxmlformats.org/officeDocument/2006/relationships/footer" Target="footer7.xml"/><Relationship Id="rId43" Type="http://schemas.openxmlformats.org/officeDocument/2006/relationships/chart" Target="charts/chart14.xml"/><Relationship Id="rId64" Type="http://schemas.openxmlformats.org/officeDocument/2006/relationships/chart" Target="charts/chart34.xml"/><Relationship Id="rId118" Type="http://schemas.openxmlformats.org/officeDocument/2006/relationships/header" Target="header26.xml"/><Relationship Id="rId139" Type="http://schemas.openxmlformats.org/officeDocument/2006/relationships/footer" Target="footer33.xml"/><Relationship Id="rId85" Type="http://schemas.openxmlformats.org/officeDocument/2006/relationships/image" Target="media/image5.gif"/><Relationship Id="rId150" Type="http://schemas.openxmlformats.org/officeDocument/2006/relationships/footer" Target="footer37.xml"/><Relationship Id="rId171" Type="http://schemas.openxmlformats.org/officeDocument/2006/relationships/chart" Target="charts/chart70.xml"/><Relationship Id="rId12" Type="http://schemas.openxmlformats.org/officeDocument/2006/relationships/header" Target="header3.xml"/><Relationship Id="rId33" Type="http://schemas.openxmlformats.org/officeDocument/2006/relationships/chart" Target="charts/chart4.xml"/><Relationship Id="rId108" Type="http://schemas.openxmlformats.org/officeDocument/2006/relationships/footer" Target="footer21.xml"/><Relationship Id="rId129" Type="http://schemas.openxmlformats.org/officeDocument/2006/relationships/footer" Target="footer29.xml"/><Relationship Id="rId54" Type="http://schemas.openxmlformats.org/officeDocument/2006/relationships/chart" Target="charts/chart25.xml"/><Relationship Id="rId75" Type="http://schemas.openxmlformats.org/officeDocument/2006/relationships/chart" Target="charts/chart40.xml"/><Relationship Id="rId96" Type="http://schemas.openxmlformats.org/officeDocument/2006/relationships/footer" Target="footer17.xml"/><Relationship Id="rId140" Type="http://schemas.openxmlformats.org/officeDocument/2006/relationships/header" Target="header35.xml"/><Relationship Id="rId161" Type="http://schemas.openxmlformats.org/officeDocument/2006/relationships/footer" Target="footer39.xml"/><Relationship Id="rId182" Type="http://schemas.openxmlformats.org/officeDocument/2006/relationships/header" Target="header45.xml"/><Relationship Id="rId6" Type="http://schemas.openxmlformats.org/officeDocument/2006/relationships/footnotes" Target="footnotes.xml"/><Relationship Id="rId23" Type="http://schemas.openxmlformats.org/officeDocument/2006/relationships/chart" Target="charts/chart1.xml"/><Relationship Id="rId119" Type="http://schemas.openxmlformats.org/officeDocument/2006/relationships/chart" Target="charts/chart52.xml"/><Relationship Id="rId44" Type="http://schemas.openxmlformats.org/officeDocument/2006/relationships/chart" Target="charts/chart15.xml"/><Relationship Id="rId65" Type="http://schemas.openxmlformats.org/officeDocument/2006/relationships/chart" Target="charts/chart35.xml"/><Relationship Id="rId86" Type="http://schemas.openxmlformats.org/officeDocument/2006/relationships/chart" Target="charts/chart49.xml"/><Relationship Id="rId130" Type="http://schemas.openxmlformats.org/officeDocument/2006/relationships/header" Target="header30.xml"/><Relationship Id="rId151" Type="http://schemas.openxmlformats.org/officeDocument/2006/relationships/header" Target="header40.xml"/><Relationship Id="rId172" Type="http://schemas.openxmlformats.org/officeDocument/2006/relationships/chart" Target="charts/chart71.xml"/><Relationship Id="rId13" Type="http://schemas.openxmlformats.org/officeDocument/2006/relationships/footer" Target="footer3.xml"/><Relationship Id="rId18" Type="http://schemas.openxmlformats.org/officeDocument/2006/relationships/image" Target="media/image2.gif"/><Relationship Id="rId39" Type="http://schemas.openxmlformats.org/officeDocument/2006/relationships/chart" Target="charts/chart10.xml"/><Relationship Id="rId109" Type="http://schemas.openxmlformats.org/officeDocument/2006/relationships/header" Target="header21.xml"/><Relationship Id="rId34" Type="http://schemas.openxmlformats.org/officeDocument/2006/relationships/chart" Target="charts/chart5.xml"/><Relationship Id="rId50" Type="http://schemas.openxmlformats.org/officeDocument/2006/relationships/chart" Target="charts/chart21.xml"/><Relationship Id="rId55" Type="http://schemas.openxmlformats.org/officeDocument/2006/relationships/chart" Target="charts/chart26.xml"/><Relationship Id="rId76" Type="http://schemas.openxmlformats.org/officeDocument/2006/relationships/footer" Target="footer12.xml"/><Relationship Id="rId97" Type="http://schemas.openxmlformats.org/officeDocument/2006/relationships/header" Target="header15.xml"/><Relationship Id="rId104" Type="http://schemas.openxmlformats.org/officeDocument/2006/relationships/image" Target="media/image5.png"/><Relationship Id="rId120" Type="http://schemas.openxmlformats.org/officeDocument/2006/relationships/chart" Target="charts/chart53.xml"/><Relationship Id="rId125" Type="http://schemas.openxmlformats.org/officeDocument/2006/relationships/footer" Target="footer27.xml"/><Relationship Id="rId141" Type="http://schemas.openxmlformats.org/officeDocument/2006/relationships/header" Target="header36.xml"/><Relationship Id="rId146" Type="http://schemas.openxmlformats.org/officeDocument/2006/relationships/footer" Target="footer35.xml"/><Relationship Id="rId167" Type="http://schemas.openxmlformats.org/officeDocument/2006/relationships/chart" Target="charts/chart66.xml"/><Relationship Id="rId7" Type="http://schemas.openxmlformats.org/officeDocument/2006/relationships/endnotes" Target="endnotes.xml"/><Relationship Id="rId71" Type="http://schemas.openxmlformats.org/officeDocument/2006/relationships/header" Target="header10.xml"/><Relationship Id="rId92" Type="http://schemas.openxmlformats.org/officeDocument/2006/relationships/header" Target="header12.xml"/><Relationship Id="rId162" Type="http://schemas.openxmlformats.org/officeDocument/2006/relationships/header" Target="header43.xml"/><Relationship Id="rId183" Type="http://schemas.openxmlformats.org/officeDocument/2006/relationships/footer" Target="footer42.xml"/><Relationship Id="rId2" Type="http://schemas.openxmlformats.org/officeDocument/2006/relationships/numbering" Target="numbering.xml"/><Relationship Id="rId29" Type="http://schemas.openxmlformats.org/officeDocument/2006/relationships/header" Target="header6.xml"/><Relationship Id="rId24" Type="http://schemas.openxmlformats.org/officeDocument/2006/relationships/image" Target="media/image2.png"/><Relationship Id="rId40" Type="http://schemas.openxmlformats.org/officeDocument/2006/relationships/chart" Target="charts/chart11.xml"/><Relationship Id="rId45" Type="http://schemas.openxmlformats.org/officeDocument/2006/relationships/chart" Target="charts/chart16.xml"/><Relationship Id="rId66" Type="http://schemas.openxmlformats.org/officeDocument/2006/relationships/chart" Target="charts/chart36.xml"/><Relationship Id="rId87" Type="http://schemas.openxmlformats.org/officeDocument/2006/relationships/footer" Target="footer13.xml"/><Relationship Id="rId110" Type="http://schemas.openxmlformats.org/officeDocument/2006/relationships/header" Target="header22.xml"/><Relationship Id="rId115" Type="http://schemas.openxmlformats.org/officeDocument/2006/relationships/header" Target="header25.xml"/><Relationship Id="rId131" Type="http://schemas.openxmlformats.org/officeDocument/2006/relationships/chart" Target="charts/chart55.xml"/><Relationship Id="rId136" Type="http://schemas.openxmlformats.org/officeDocument/2006/relationships/header" Target="header33.xml"/><Relationship Id="rId157" Type="http://schemas.openxmlformats.org/officeDocument/2006/relationships/chart" Target="charts/chart61.xml"/><Relationship Id="rId178" Type="http://schemas.openxmlformats.org/officeDocument/2006/relationships/chart" Target="charts/chart77.xml"/><Relationship Id="rId61" Type="http://schemas.openxmlformats.org/officeDocument/2006/relationships/chart" Target="charts/chart31.xml"/><Relationship Id="rId82" Type="http://schemas.openxmlformats.org/officeDocument/2006/relationships/chart" Target="charts/chart46.xml"/><Relationship Id="rId152" Type="http://schemas.openxmlformats.org/officeDocument/2006/relationships/chart" Target="charts/chart56.xml"/><Relationship Id="rId173" Type="http://schemas.openxmlformats.org/officeDocument/2006/relationships/chart" Target="charts/chart72.xml"/><Relationship Id="rId19" Type="http://schemas.openxmlformats.org/officeDocument/2006/relationships/header" Target="header4.xml"/><Relationship Id="rId14" Type="http://schemas.openxmlformats.org/officeDocument/2006/relationships/image" Target="media/image1.png"/><Relationship Id="rId30" Type="http://schemas.openxmlformats.org/officeDocument/2006/relationships/header" Target="header7.xml"/><Relationship Id="rId35" Type="http://schemas.openxmlformats.org/officeDocument/2006/relationships/chart" Target="charts/chart6.xml"/><Relationship Id="rId56" Type="http://schemas.openxmlformats.org/officeDocument/2006/relationships/chart" Target="charts/chart27.xml"/><Relationship Id="rId77" Type="http://schemas.openxmlformats.org/officeDocument/2006/relationships/chart" Target="charts/chart41.xml"/><Relationship Id="rId100" Type="http://schemas.openxmlformats.org/officeDocument/2006/relationships/footer" Target="footer18.xml"/><Relationship Id="rId105" Type="http://schemas.openxmlformats.org/officeDocument/2006/relationships/header" Target="header19.xml"/><Relationship Id="rId126" Type="http://schemas.openxmlformats.org/officeDocument/2006/relationships/header" Target="header28.xml"/><Relationship Id="rId147" Type="http://schemas.openxmlformats.org/officeDocument/2006/relationships/header" Target="header38.xml"/><Relationship Id="rId168" Type="http://schemas.openxmlformats.org/officeDocument/2006/relationships/chart" Target="charts/chart67.xml"/><Relationship Id="rId8" Type="http://schemas.openxmlformats.org/officeDocument/2006/relationships/header" Target="header1.xml"/><Relationship Id="rId51" Type="http://schemas.openxmlformats.org/officeDocument/2006/relationships/chart" Target="charts/chart22.xml"/><Relationship Id="rId72" Type="http://schemas.openxmlformats.org/officeDocument/2006/relationships/chart" Target="charts/chart37.xml"/><Relationship Id="rId93" Type="http://schemas.openxmlformats.org/officeDocument/2006/relationships/header" Target="header13.xml"/><Relationship Id="rId98" Type="http://schemas.openxmlformats.org/officeDocument/2006/relationships/header" Target="header16.xml"/><Relationship Id="rId121" Type="http://schemas.openxmlformats.org/officeDocument/2006/relationships/image" Target="media/image6.gif"/><Relationship Id="rId142" Type="http://schemas.openxmlformats.org/officeDocument/2006/relationships/image" Target="media/image6.png"/><Relationship Id="rId163" Type="http://schemas.openxmlformats.org/officeDocument/2006/relationships/chart" Target="charts/chart62.xml"/><Relationship Id="rId184"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chart" Target="charts/chart2.xml"/><Relationship Id="rId46" Type="http://schemas.openxmlformats.org/officeDocument/2006/relationships/chart" Target="charts/chart17.xml"/><Relationship Id="rId67" Type="http://schemas.openxmlformats.org/officeDocument/2006/relationships/header" Target="header8.xml"/><Relationship Id="rId116" Type="http://schemas.openxmlformats.org/officeDocument/2006/relationships/footer" Target="footer24.xml"/><Relationship Id="rId137" Type="http://schemas.openxmlformats.org/officeDocument/2006/relationships/header" Target="header34.xml"/><Relationship Id="rId158" Type="http://schemas.openxmlformats.org/officeDocument/2006/relationships/header" Target="header41.xml"/><Relationship Id="rId20" Type="http://schemas.openxmlformats.org/officeDocument/2006/relationships/header" Target="header5.xml"/><Relationship Id="rId41" Type="http://schemas.openxmlformats.org/officeDocument/2006/relationships/chart" Target="charts/chart12.xml"/><Relationship Id="rId62" Type="http://schemas.openxmlformats.org/officeDocument/2006/relationships/chart" Target="charts/chart32.xml"/><Relationship Id="rId83" Type="http://schemas.openxmlformats.org/officeDocument/2006/relationships/chart" Target="charts/chart47.xml"/><Relationship Id="rId88" Type="http://schemas.openxmlformats.org/officeDocument/2006/relationships/chart" Target="charts/chart50.xml"/><Relationship Id="rId111" Type="http://schemas.openxmlformats.org/officeDocument/2006/relationships/header" Target="header23.xml"/><Relationship Id="rId132" Type="http://schemas.openxmlformats.org/officeDocument/2006/relationships/header" Target="header31.xml"/><Relationship Id="rId153" Type="http://schemas.openxmlformats.org/officeDocument/2006/relationships/chart" Target="charts/chart57.xml"/><Relationship Id="rId174" Type="http://schemas.openxmlformats.org/officeDocument/2006/relationships/chart" Target="charts/chart73.xml"/><Relationship Id="rId179" Type="http://schemas.openxmlformats.org/officeDocument/2006/relationships/header" Target="header44.xml"/><Relationship Id="rId15" Type="http://schemas.microsoft.com/office/2007/relationships/hdphoto" Target="media/hdphoto1.wdp"/><Relationship Id="rId36" Type="http://schemas.openxmlformats.org/officeDocument/2006/relationships/chart" Target="charts/chart7.xml"/><Relationship Id="rId57" Type="http://schemas.openxmlformats.org/officeDocument/2006/relationships/image" Target="media/image4.png"/><Relationship Id="rId106" Type="http://schemas.openxmlformats.org/officeDocument/2006/relationships/header" Target="header20.xml"/><Relationship Id="rId127" Type="http://schemas.openxmlformats.org/officeDocument/2006/relationships/header" Target="header29.xml"/><Relationship Id="rId10" Type="http://schemas.openxmlformats.org/officeDocument/2006/relationships/footer" Target="footer1.xml"/><Relationship Id="rId31" Type="http://schemas.openxmlformats.org/officeDocument/2006/relationships/footer" Target="footer8.xml"/><Relationship Id="rId52" Type="http://schemas.openxmlformats.org/officeDocument/2006/relationships/chart" Target="charts/chart23.xml"/><Relationship Id="rId73" Type="http://schemas.openxmlformats.org/officeDocument/2006/relationships/chart" Target="charts/chart38.xml"/><Relationship Id="rId78" Type="http://schemas.openxmlformats.org/officeDocument/2006/relationships/chart" Target="charts/chart42.xml"/><Relationship Id="rId94" Type="http://schemas.openxmlformats.org/officeDocument/2006/relationships/header" Target="header14.xml"/><Relationship Id="rId99" Type="http://schemas.openxmlformats.org/officeDocument/2006/relationships/header" Target="header17.xml"/><Relationship Id="rId101" Type="http://schemas.openxmlformats.org/officeDocument/2006/relationships/footer" Target="footer19.xml"/><Relationship Id="rId122" Type="http://schemas.openxmlformats.org/officeDocument/2006/relationships/chart" Target="charts/chart54.xml"/><Relationship Id="rId143" Type="http://schemas.openxmlformats.org/officeDocument/2006/relationships/image" Target="media/image7.png"/><Relationship Id="rId148" Type="http://schemas.openxmlformats.org/officeDocument/2006/relationships/header" Target="header39.xml"/><Relationship Id="rId164" Type="http://schemas.openxmlformats.org/officeDocument/2006/relationships/chart" Target="charts/chart63.xml"/><Relationship Id="rId169" Type="http://schemas.openxmlformats.org/officeDocument/2006/relationships/chart" Target="charts/chart68.xml"/><Relationship Id="rId18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footer" Target="footer40.xml"/><Relationship Id="rId26" Type="http://schemas.openxmlformats.org/officeDocument/2006/relationships/chart" Target="charts/chart3.xml"/><Relationship Id="rId47" Type="http://schemas.openxmlformats.org/officeDocument/2006/relationships/chart" Target="charts/chart18.xml"/><Relationship Id="rId68" Type="http://schemas.openxmlformats.org/officeDocument/2006/relationships/header" Target="header9.xml"/><Relationship Id="rId89" Type="http://schemas.openxmlformats.org/officeDocument/2006/relationships/header" Target="header11.xml"/><Relationship Id="rId112" Type="http://schemas.openxmlformats.org/officeDocument/2006/relationships/footer" Target="footer22.xml"/><Relationship Id="rId133" Type="http://schemas.openxmlformats.org/officeDocument/2006/relationships/footer" Target="footer30.xml"/><Relationship Id="rId154" Type="http://schemas.openxmlformats.org/officeDocument/2006/relationships/chart" Target="charts/chart58.xml"/><Relationship Id="rId175" Type="http://schemas.openxmlformats.org/officeDocument/2006/relationships/chart" Target="charts/chart74.xml"/><Relationship Id="rId16" Type="http://schemas.openxmlformats.org/officeDocument/2006/relationships/footer" Target="footer4.xml"/><Relationship Id="rId37" Type="http://schemas.openxmlformats.org/officeDocument/2006/relationships/chart" Target="charts/chart8.xml"/><Relationship Id="rId58" Type="http://schemas.openxmlformats.org/officeDocument/2006/relationships/chart" Target="charts/chart28.xml"/><Relationship Id="rId79" Type="http://schemas.openxmlformats.org/officeDocument/2006/relationships/chart" Target="charts/chart43.xml"/><Relationship Id="rId102" Type="http://schemas.openxmlformats.org/officeDocument/2006/relationships/header" Target="header18.xml"/><Relationship Id="rId123" Type="http://schemas.openxmlformats.org/officeDocument/2006/relationships/header" Target="header27.xml"/><Relationship Id="rId144" Type="http://schemas.openxmlformats.org/officeDocument/2006/relationships/header" Target="header37.xml"/><Relationship Id="rId90" Type="http://schemas.openxmlformats.org/officeDocument/2006/relationships/footer" Target="footer14.xml"/><Relationship Id="rId165" Type="http://schemas.openxmlformats.org/officeDocument/2006/relationships/chart" Target="charts/chart64.xml"/><Relationship Id="rId27" Type="http://schemas.openxmlformats.org/officeDocument/2006/relationships/image" Target="media/image3.png"/><Relationship Id="rId48" Type="http://schemas.openxmlformats.org/officeDocument/2006/relationships/chart" Target="charts/chart19.xml"/><Relationship Id="rId69" Type="http://schemas.openxmlformats.org/officeDocument/2006/relationships/footer" Target="footer10.xml"/><Relationship Id="rId113" Type="http://schemas.openxmlformats.org/officeDocument/2006/relationships/footer" Target="footer23.xml"/><Relationship Id="rId134" Type="http://schemas.openxmlformats.org/officeDocument/2006/relationships/footer" Target="footer31.xml"/><Relationship Id="rId80" Type="http://schemas.openxmlformats.org/officeDocument/2006/relationships/chart" Target="charts/chart44.xml"/><Relationship Id="rId155" Type="http://schemas.openxmlformats.org/officeDocument/2006/relationships/chart" Target="charts/chart59.xml"/><Relationship Id="rId176" Type="http://schemas.openxmlformats.org/officeDocument/2006/relationships/chart" Target="charts/chart75.xml"/><Relationship Id="rId17" Type="http://schemas.openxmlformats.org/officeDocument/2006/relationships/footer" Target="footer5.xml"/><Relationship Id="rId38" Type="http://schemas.openxmlformats.org/officeDocument/2006/relationships/chart" Target="charts/chart9.xml"/><Relationship Id="rId59" Type="http://schemas.openxmlformats.org/officeDocument/2006/relationships/chart" Target="charts/chart29.xml"/><Relationship Id="rId103" Type="http://schemas.openxmlformats.org/officeDocument/2006/relationships/chart" Target="charts/chart51.xml"/><Relationship Id="rId124" Type="http://schemas.openxmlformats.org/officeDocument/2006/relationships/footer" Target="footer26.xml"/><Relationship Id="rId70" Type="http://schemas.openxmlformats.org/officeDocument/2006/relationships/footer" Target="footer11.xml"/><Relationship Id="rId91" Type="http://schemas.openxmlformats.org/officeDocument/2006/relationships/footer" Target="footer15.xml"/><Relationship Id="rId145" Type="http://schemas.openxmlformats.org/officeDocument/2006/relationships/footer" Target="footer34.xml"/><Relationship Id="rId166" Type="http://schemas.openxmlformats.org/officeDocument/2006/relationships/chart" Target="charts/chart65.xml"/><Relationship Id="rId1" Type="http://schemas.openxmlformats.org/officeDocument/2006/relationships/customXml" Target="../customXml/item1.xml"/><Relationship Id="rId28" Type="http://schemas.openxmlformats.org/officeDocument/2006/relationships/image" Target="media/image20.gif"/><Relationship Id="rId49" Type="http://schemas.openxmlformats.org/officeDocument/2006/relationships/chart" Target="charts/chart20.xml"/><Relationship Id="rId114" Type="http://schemas.openxmlformats.org/officeDocument/2006/relationships/header" Target="header24.xml"/><Relationship Id="rId60" Type="http://schemas.openxmlformats.org/officeDocument/2006/relationships/chart" Target="charts/chart30.xml"/><Relationship Id="rId81" Type="http://schemas.openxmlformats.org/officeDocument/2006/relationships/chart" Target="charts/chart45.xml"/><Relationship Id="rId135" Type="http://schemas.openxmlformats.org/officeDocument/2006/relationships/header" Target="header32.xml"/><Relationship Id="rId156" Type="http://schemas.openxmlformats.org/officeDocument/2006/relationships/chart" Target="charts/chart60.xml"/><Relationship Id="rId177" Type="http://schemas.openxmlformats.org/officeDocument/2006/relationships/chart" Target="charts/chart76.xml"/></Relationships>
</file>

<file path=word/_rels/footnotes.xml.rels><?xml version="1.0" encoding="UTF-8" standalone="yes"?>
<Relationships xmlns="http://schemas.openxmlformats.org/package/2006/relationships"><Relationship Id="rId2" Type="http://schemas.openxmlformats.org/officeDocument/2006/relationships/hyperlink" Target="http://www.mfin.gov.rs/pages/article.php?id=8626" TargetMode="External"/><Relationship Id="rId1" Type="http://schemas.openxmlformats.org/officeDocument/2006/relationships/hyperlink" Target="https://www.mfin.gov.rs//upload/media/ZzkTpV_601696edb3a9a.pdf"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sara.radulovic\Dropbox\Makro%20sektor\Fiskalna%202023-2025\Makro%20radni%20fajlovi\GRAFIKONI_MAKRO_apr22.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9.xml"/><Relationship Id="rId4" Type="http://schemas.openxmlformats.org/officeDocument/2006/relationships/oleObject" Target="file:///C:\Users\jovana.djeric\Dropbox\Makro%20sektor\Fiskalna%202023-2025\Makro%20radni%20fajlovi\GRAFIKONI_MAKRO_apr22.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1.xml"/><Relationship Id="rId1" Type="http://schemas.microsoft.com/office/2011/relationships/chartStyle" Target="style11.xml"/><Relationship Id="rId5" Type="http://schemas.openxmlformats.org/officeDocument/2006/relationships/chartUserShapes" Target="../drawings/drawing10.xml"/><Relationship Id="rId4" Type="http://schemas.openxmlformats.org/officeDocument/2006/relationships/oleObject" Target="file:///C:\Users\jovana.djeric\Dropbox\Makro%20sektor\Fiskalna%202023-2025\Makro%20radni%20fajlovi\GRAFIKONI_MAKRO_apr22.xlsx" TargetMode="External"/></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11.xml"/><Relationship Id="rId2" Type="http://schemas.openxmlformats.org/officeDocument/2006/relationships/oleObject" Target="file:///C:\Users\jovana.djeric\Dropbox\Makro%20sektor\Fiskalna%202023-2025\Makro%20radni%20fajlovi\GRAFIKONI_MAKRO_apr22.xlsx" TargetMode="External"/><Relationship Id="rId1" Type="http://schemas.openxmlformats.org/officeDocument/2006/relationships/themeOverride" Target="../theme/themeOverride10.xml"/></Relationships>
</file>

<file path=word/charts/_rels/chart13.xml.rels><?xml version="1.0" encoding="UTF-8" standalone="yes"?>
<Relationships xmlns="http://schemas.openxmlformats.org/package/2006/relationships"><Relationship Id="rId3" Type="http://schemas.openxmlformats.org/officeDocument/2006/relationships/chartUserShapes" Target="../drawings/drawing12.xml"/><Relationship Id="rId2" Type="http://schemas.openxmlformats.org/officeDocument/2006/relationships/oleObject" Target="file:///C:\Users\jovana.djeric\Dropbox\Makro%20sektor\Fiskalna%202023-2025\Makro%20radni%20fajlovi\GRAFIKONI_MAKRO_apr22.xlsx" TargetMode="External"/><Relationship Id="rId1" Type="http://schemas.openxmlformats.org/officeDocument/2006/relationships/themeOverride" Target="../theme/themeOverride11.xm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C:\Users\rade.ciric\Dropbox\Makro%20sektor\Fiskalna%202023-2025\Makro%20radni%20fajlovi\GRAFIKONI_MAKRO_apr22.xlsx"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file:///C:\Users\rade.ciric\Dropbox\Makro%20sektor\Fiskalna%202023-2025\Makro%20radni%20fajlovi\GRAFIKONI_MAKRO_apr22.xlsx" TargetMode="Externa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C:\Users\rade.ciric\Dropbox\Makro%20sektor\Fiskalna%202023-2025\Makro%20radni%20fajlovi\GRAFIKONI_MAKRO_apr22.xlsx" TargetMode="External"/></Relationships>
</file>

<file path=word/charts/_rels/chart17.xml.rels><?xml version="1.0" encoding="UTF-8" standalone="yes"?>
<Relationships xmlns="http://schemas.openxmlformats.org/package/2006/relationships"><Relationship Id="rId2" Type="http://schemas.openxmlformats.org/officeDocument/2006/relationships/oleObject" Target="file:///C:\Users\rade.ciric\Dropbox\Makro%20sektor\Fiskalna%202023-2025\Makro%20radni%20fajlovi\GRAFIKONI_MAKRO_apr22.xlsx" TargetMode="External"/><Relationship Id="rId1" Type="http://schemas.openxmlformats.org/officeDocument/2006/relationships/themeOverride" Target="../theme/themeOverride15.xm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file:///C:\Users\jovana.djeric\Dropbox\Makro%20sektor\Fiskalna%202023-2025\Makro%20radni%20fajlovi\GRAFIKONI_MAKRO_apr22.xlsx" TargetMode="External"/></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oleObject" Target="file:///C:\Users\jovana.djeric\Dropbox\Makro%20sektor\Fiskalna%202023-2025\Makro%20radni%20fajlovi\GRAFIKONI_MAKRO_apr22.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C:\Users\sara.radulovic\Dropbox\Makro%20sektor\Fiskalna%202023-2025\Makro%20radni%20fajlovi\GRAFIKONI_MAKRO_apr22.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1.xm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oleObject" Target="file:///C:\Users\jovana.djeric\Dropbox\Makro%20sektor\Fiskalna%202023-2025\Makro%20radni%20fajlovi\GRAFIKONI_MAKRO_apr22.xlsx" TargetMode="External"/></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oleObject" Target="file:///C:\Users\jovana.djeric\Dropbox\Makro%20sektor\Fiskalna%202023-2025\Makro%20radni%20fajlovi\GRAFIKONI_MAKRO_apr22.xlsx" TargetMode="External"/></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oleObject" Target="file:///C:\Users\jovana.djeric\Dropbox\Makro%20sektor\Fiskalna%202023-2025\Makro%20radni%20fajlovi\GRAFIKONI_MAKRO_apr22.xlsx" TargetMode="External"/></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oleObject" Target="file:///C:\Users\jovana.djeric\Dropbox\Makro%20sektor\Fiskalna%202023-2025\Makro%20radni%20fajlovi\GRAFIKONI_MAKRO_apr22.xlsx" TargetMode="Externa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oleObject" Target="file:///C:\Users\jovana.djeric\Dropbox\Makro%20sektor\Fiskalna%202023-2025\Makro%20radni%20fajlovi\GRAFIKONI_MAKRO_apr22.xlsx" TargetMode="Externa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oleObject" Target="file:///C:\Users\jovana.djeric\Dropbox\Makro%20sektor\Fiskalna%202023-2025\Makro%20radni%20fajlovi\GRAFIKONI_MAKRO_apr22.xlsx" TargetMode="External"/></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oleObject" Target="file:///C:\Users\jovana.djeric\Dropbox\Makro%20sektor\Fiskalna%202023-2025\Makro%20radni%20fajlovi\GRAFIKONI_MAKRO_apr22.xlsx" TargetMode="External"/></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oleObject" Target="file:///C:\Users\jovana.djeric\Dropbox\Makro%20sektor\Fiskalna%202023-2025\Makro%20radni%20fajlovi\GRAFIKONI_MAKRO_apr22.xlsx" TargetMode="External"/></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oleObject" Target="file:///C:\Users\jovana.djeric\Dropbox\Makro%20sektor\Fiskalna%202023-2025\Makro%20radni%20fajlovi\GRAFIKONI_MAKRO_apr22.xlsx" TargetMode="External"/></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27.xml"/><Relationship Id="rId2" Type="http://schemas.microsoft.com/office/2011/relationships/chartColorStyle" Target="colors26.xml"/><Relationship Id="rId1" Type="http://schemas.microsoft.com/office/2011/relationships/chartStyle" Target="style26.xml"/><Relationship Id="rId5" Type="http://schemas.openxmlformats.org/officeDocument/2006/relationships/chartUserShapes" Target="../drawings/drawing13.xml"/><Relationship Id="rId4" Type="http://schemas.openxmlformats.org/officeDocument/2006/relationships/oleObject" Target="file:///C:\Users\jovana.djeric\Desktop\FS%20proba%20razno\MOJ%20TEKST\Graf%20za%20usluge%20i%20ind_pom.xlsx"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file:///C:\Users\sara.radulovic\Dropbox\Makro%20sektor\Fiskalna%202023-2025\Makro%20radni%20fajlovi\GRAFIKONI_MAKRO_apr22.xlsx"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2.xml"/></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oleObject" Target="file:///C:\Users\jovana.djeric\Dropbox\Makro%20sektor\Fiskalna%202023-2025\Makro%20radni%20fajlovi\GRAFIKONI_MAKRO_apr22.xlsx" TargetMode="External"/></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28.xml"/><Relationship Id="rId1" Type="http://schemas.microsoft.com/office/2011/relationships/chartStyle" Target="style28.xml"/><Relationship Id="rId4" Type="http://schemas.openxmlformats.org/officeDocument/2006/relationships/oleObject" Target="file:///C:\Users\jovana.djeric\Dropbox\Makro%20sektor\Fiskalna%202023-2025\Makro%20radni%20fajlovi\GRAFIKONI_MAKRO_apr22.xlsx" TargetMode="External"/></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oleObject" Target="file:///C:\Users\jovana.djeric\Dropbox\Makro%20sektor\Fiskalna%202023-2025\Makro%20radni%20fajlovi\GRAFIKONI_MAKRO_apr22.xlsx" TargetMode="External"/></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31.xml"/><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oleObject" Target="file:///C:\Users\jovana.djeric\Dropbox\Makro%20sektor\Fiskalna%202023-2025\Makro%20radni%20fajlovi\GRAFIKONI_MAKRO_apr22.xlsx" TargetMode="External"/></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31.xml"/><Relationship Id="rId1" Type="http://schemas.microsoft.com/office/2011/relationships/chartStyle" Target="style31.xml"/><Relationship Id="rId4" Type="http://schemas.openxmlformats.org/officeDocument/2006/relationships/oleObject" Target="file:///C:\Users\jovana.djeric\Dropbox\Makro%20sektor\Fiskalna%202023-2025\Makro%20radni%20fajlovi\GRAFIKONI_MAKRO_apr22.xlsx" TargetMode="External"/></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33.xml"/><Relationship Id="rId2" Type="http://schemas.microsoft.com/office/2011/relationships/chartColorStyle" Target="colors32.xml"/><Relationship Id="rId1" Type="http://schemas.microsoft.com/office/2011/relationships/chartStyle" Target="style32.xml"/><Relationship Id="rId4" Type="http://schemas.openxmlformats.org/officeDocument/2006/relationships/oleObject" Target="file:///C:\Users\jovana.djeric\Dropbox\Makro%20sektor\Fiskalna%202023-2025\Makro%20radni%20fajlovi\GRAFIKONI_MAKRO_apr22.xlsx" TargetMode="External"/></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34.xml"/><Relationship Id="rId2" Type="http://schemas.microsoft.com/office/2011/relationships/chartColorStyle" Target="colors33.xml"/><Relationship Id="rId1" Type="http://schemas.microsoft.com/office/2011/relationships/chartStyle" Target="style33.xml"/><Relationship Id="rId5" Type="http://schemas.openxmlformats.org/officeDocument/2006/relationships/chartUserShapes" Target="../drawings/drawing14.xml"/><Relationship Id="rId4" Type="http://schemas.openxmlformats.org/officeDocument/2006/relationships/oleObject" Target="file:///C:\Users\jovana.djeric\Dropbox\Makro%20sektor\Fiskalna%202023-2025\Makro%20radni%20fajlovi\GRAFIKONI_MAKRO_apr22.xlsx" TargetMode="External"/></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35.xml"/><Relationship Id="rId2" Type="http://schemas.microsoft.com/office/2011/relationships/chartColorStyle" Target="colors34.xml"/><Relationship Id="rId1" Type="http://schemas.microsoft.com/office/2011/relationships/chartStyle" Target="style34.xml"/><Relationship Id="rId5" Type="http://schemas.openxmlformats.org/officeDocument/2006/relationships/chartUserShapes" Target="../drawings/drawing15.xml"/><Relationship Id="rId4" Type="http://schemas.openxmlformats.org/officeDocument/2006/relationships/oleObject" Target="file:///C:\Users\rade.ciric\Dropbox\Makro%20sektor\Fiskalna%202023-2025\Makro%20radni%20fajlovi\GRAFIKONI_MAKRO_apr22.xlsx" TargetMode="External"/></Relationships>
</file>

<file path=word/charts/_rels/chart38.xml.rels><?xml version="1.0" encoding="UTF-8" standalone="yes"?>
<Relationships xmlns="http://schemas.openxmlformats.org/package/2006/relationships"><Relationship Id="rId3" Type="http://schemas.openxmlformats.org/officeDocument/2006/relationships/themeOverride" Target="../theme/themeOverride36.xml"/><Relationship Id="rId2" Type="http://schemas.microsoft.com/office/2011/relationships/chartColorStyle" Target="colors35.xml"/><Relationship Id="rId1" Type="http://schemas.microsoft.com/office/2011/relationships/chartStyle" Target="style35.xml"/><Relationship Id="rId5" Type="http://schemas.openxmlformats.org/officeDocument/2006/relationships/chartUserShapes" Target="../drawings/drawing16.xml"/><Relationship Id="rId4" Type="http://schemas.openxmlformats.org/officeDocument/2006/relationships/oleObject" Target="file:///C:\Users\rade.ciric\Dropbox\Makro%20sektor\Fiskalna%202023-2025\Makro%20radni%20fajlovi\GRAFIKONI_MAKRO_apr22.xlsx" TargetMode="External"/></Relationships>
</file>

<file path=word/charts/_rels/chart39.xml.rels><?xml version="1.0" encoding="UTF-8" standalone="yes"?>
<Relationships xmlns="http://schemas.openxmlformats.org/package/2006/relationships"><Relationship Id="rId3" Type="http://schemas.openxmlformats.org/officeDocument/2006/relationships/themeOverride" Target="../theme/themeOverride37.xml"/><Relationship Id="rId2" Type="http://schemas.microsoft.com/office/2011/relationships/chartColorStyle" Target="colors36.xml"/><Relationship Id="rId1" Type="http://schemas.microsoft.com/office/2011/relationships/chartStyle" Target="style36.xml"/><Relationship Id="rId4" Type="http://schemas.openxmlformats.org/officeDocument/2006/relationships/oleObject" Target="file:///C:\Users\jovana.djeric\Desktop\GRAFIKONI_MAKRO_apr22_.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3.xml"/><Relationship Id="rId4" Type="http://schemas.openxmlformats.org/officeDocument/2006/relationships/oleObject" Target="file:///C:\Users\jovana.djeric\Dropbox\Makro%20sektor\Fiskalna%202023-2025\Makro%20radni%20fajlovi\GRAFIKONI_MAKRO_apr22.xlsx" TargetMode="External"/></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38.xml"/><Relationship Id="rId2" Type="http://schemas.microsoft.com/office/2011/relationships/chartColorStyle" Target="colors37.xml"/><Relationship Id="rId1" Type="http://schemas.microsoft.com/office/2011/relationships/chartStyle" Target="style37.xml"/><Relationship Id="rId5" Type="http://schemas.openxmlformats.org/officeDocument/2006/relationships/chartUserShapes" Target="../drawings/drawing17.xml"/><Relationship Id="rId4" Type="http://schemas.openxmlformats.org/officeDocument/2006/relationships/oleObject" Target="file:///C:\Users\rade.ciric\Dropbox\Makro%20sektor\Fiskalna%202023-2025\Makro%20radni%20fajlovi\GRAFIKONI_MAKRO_apr22.xlsx" TargetMode="External"/></Relationships>
</file>

<file path=word/charts/_rels/chart41.xml.rels><?xml version="1.0" encoding="UTF-8" standalone="yes"?>
<Relationships xmlns="http://schemas.openxmlformats.org/package/2006/relationships"><Relationship Id="rId3" Type="http://schemas.openxmlformats.org/officeDocument/2006/relationships/chartUserShapes" Target="../drawings/drawing18.xml"/><Relationship Id="rId2" Type="http://schemas.openxmlformats.org/officeDocument/2006/relationships/oleObject" Target="file:///C:\Users\jovana.djeric\Desktop\SPAJANJE\GRAFIKONI_MAKRO_apr22_.xlsx" TargetMode="External"/><Relationship Id="rId1" Type="http://schemas.openxmlformats.org/officeDocument/2006/relationships/themeOverride" Target="../theme/themeOverride39.xml"/></Relationships>
</file>

<file path=word/charts/_rels/chart42.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38.xml"/><Relationship Id="rId1" Type="http://schemas.microsoft.com/office/2011/relationships/chartStyle" Target="style38.xml"/><Relationship Id="rId4" Type="http://schemas.openxmlformats.org/officeDocument/2006/relationships/oleObject" Target="file:///C:\Users\marko.lisica\Dropbox\Makro%20sektor\Fiskalna%202023-2025\Makro%20radni%20fajlovi\GRAFIKONI_MAKRO_apr22.xlsx" TargetMode="External"/></Relationships>
</file>

<file path=word/charts/_rels/chart43.xml.rels><?xml version="1.0" encoding="UTF-8" standalone="yes"?>
<Relationships xmlns="http://schemas.openxmlformats.org/package/2006/relationships"><Relationship Id="rId3" Type="http://schemas.openxmlformats.org/officeDocument/2006/relationships/themeOverride" Target="../theme/themeOverride41.xml"/><Relationship Id="rId2" Type="http://schemas.microsoft.com/office/2011/relationships/chartColorStyle" Target="colors39.xml"/><Relationship Id="rId1" Type="http://schemas.microsoft.com/office/2011/relationships/chartStyle" Target="style39.xml"/><Relationship Id="rId4" Type="http://schemas.openxmlformats.org/officeDocument/2006/relationships/oleObject" Target="file:///C:\Users\marko.lisica\Dropbox\Makro%20sektor\Fiskalna%202023-2025\Makro%20radni%20fajlovi\GRAFIKONI_MAKRO_apr22.xlsx" TargetMode="External"/></Relationships>
</file>

<file path=word/charts/_rels/chart44.xml.rels><?xml version="1.0" encoding="UTF-8" standalone="yes"?>
<Relationships xmlns="http://schemas.openxmlformats.org/package/2006/relationships"><Relationship Id="rId3" Type="http://schemas.openxmlformats.org/officeDocument/2006/relationships/themeOverride" Target="../theme/themeOverride42.xml"/><Relationship Id="rId2" Type="http://schemas.microsoft.com/office/2011/relationships/chartColorStyle" Target="colors40.xml"/><Relationship Id="rId1" Type="http://schemas.microsoft.com/office/2011/relationships/chartStyle" Target="style40.xml"/><Relationship Id="rId4" Type="http://schemas.openxmlformats.org/officeDocument/2006/relationships/oleObject" Target="file:///C:\Users\marko.lisica\Dropbox\Makro%20sektor\Fiskalna%202023-2025\Makro%20radni%20fajlovi\GRAFIKONI_MAKRO_apr22.xlsx" TargetMode="External"/></Relationships>
</file>

<file path=word/charts/_rels/chart45.xml.rels><?xml version="1.0" encoding="UTF-8" standalone="yes"?>
<Relationships xmlns="http://schemas.openxmlformats.org/package/2006/relationships"><Relationship Id="rId3" Type="http://schemas.openxmlformats.org/officeDocument/2006/relationships/themeOverride" Target="../theme/themeOverride43.xml"/><Relationship Id="rId2" Type="http://schemas.microsoft.com/office/2011/relationships/chartColorStyle" Target="colors41.xml"/><Relationship Id="rId1" Type="http://schemas.microsoft.com/office/2011/relationships/chartStyle" Target="style41.xml"/><Relationship Id="rId5" Type="http://schemas.openxmlformats.org/officeDocument/2006/relationships/chartUserShapes" Target="../drawings/drawing19.xml"/><Relationship Id="rId4" Type="http://schemas.openxmlformats.org/officeDocument/2006/relationships/oleObject" Target="file:///C:\Users\marko.lisica\Dropbox\Makro%20sektor\Fiskalna%202023-2025\Makro%20radni%20fajlovi\GRAFIKONI_MAKRO_apr22.xlsx" TargetMode="External"/></Relationships>
</file>

<file path=word/charts/_rels/chart46.xml.rels><?xml version="1.0" encoding="UTF-8" standalone="yes"?>
<Relationships xmlns="http://schemas.openxmlformats.org/package/2006/relationships"><Relationship Id="rId3" Type="http://schemas.openxmlformats.org/officeDocument/2006/relationships/themeOverride" Target="../theme/themeOverride44.xml"/><Relationship Id="rId2" Type="http://schemas.microsoft.com/office/2011/relationships/chartColorStyle" Target="colors42.xml"/><Relationship Id="rId1" Type="http://schemas.microsoft.com/office/2011/relationships/chartStyle" Target="style42.xml"/><Relationship Id="rId5" Type="http://schemas.openxmlformats.org/officeDocument/2006/relationships/chartUserShapes" Target="../drawings/drawing20.xml"/><Relationship Id="rId4" Type="http://schemas.openxmlformats.org/officeDocument/2006/relationships/oleObject" Target="file:///C:\Users\jovana.djeric\Desktop\GRAFIKONI_MAKRO_apr22_.xlsx" TargetMode="External"/></Relationships>
</file>

<file path=word/charts/_rels/chart47.xml.rels><?xml version="1.0" encoding="UTF-8" standalone="yes"?>
<Relationships xmlns="http://schemas.openxmlformats.org/package/2006/relationships"><Relationship Id="rId3" Type="http://schemas.openxmlformats.org/officeDocument/2006/relationships/themeOverride" Target="../theme/themeOverride45.xml"/><Relationship Id="rId2" Type="http://schemas.microsoft.com/office/2011/relationships/chartColorStyle" Target="colors43.xml"/><Relationship Id="rId1" Type="http://schemas.microsoft.com/office/2011/relationships/chartStyle" Target="style43.xml"/><Relationship Id="rId4" Type="http://schemas.openxmlformats.org/officeDocument/2006/relationships/oleObject" Target="file:///C:\Users\milos.gligorijevic\Dropbox\Dropbox\Makro%20sektor\Fiskalna%202023-2025\Makro%20radni%20fajlovi\GRAFIKONI_MAKRO_apr22.xlsx" TargetMode="External"/></Relationships>
</file>

<file path=word/charts/_rels/chart48.xml.rels><?xml version="1.0" encoding="UTF-8" standalone="yes"?>
<Relationships xmlns="http://schemas.openxmlformats.org/package/2006/relationships"><Relationship Id="rId2" Type="http://schemas.openxmlformats.org/officeDocument/2006/relationships/oleObject" Target="file:///C:\Users\milos.gligorijevic\Dropbox\Dropbox\Makro%20sektor\Fiskalna%202023-2025\Makro%20radni%20fajlovi\GRAFIKONI_MAKRO_apr22.xlsx" TargetMode="External"/><Relationship Id="rId1" Type="http://schemas.openxmlformats.org/officeDocument/2006/relationships/themeOverride" Target="../theme/themeOverride46.xml"/></Relationships>
</file>

<file path=word/charts/_rels/chart49.xml.rels><?xml version="1.0" encoding="UTF-8" standalone="yes"?>
<Relationships xmlns="http://schemas.openxmlformats.org/package/2006/relationships"><Relationship Id="rId3" Type="http://schemas.openxmlformats.org/officeDocument/2006/relationships/themeOverride" Target="../theme/themeOverride47.xml"/><Relationship Id="rId2" Type="http://schemas.microsoft.com/office/2011/relationships/chartColorStyle" Target="colors44.xml"/><Relationship Id="rId1" Type="http://schemas.microsoft.com/office/2011/relationships/chartStyle" Target="style44.xml"/><Relationship Id="rId5" Type="http://schemas.openxmlformats.org/officeDocument/2006/relationships/chartUserShapes" Target="../drawings/drawing21.xml"/><Relationship Id="rId4" Type="http://schemas.openxmlformats.org/officeDocument/2006/relationships/oleObject" Target="file:///C:\Users\milos.gligorijevic\Dropbox\Dropbox\Makro%20sektor\Fiskalna%202023-2025\Makro%20radni%20fajlovi\GRAFIKONI_MAKRO_apr22.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4.xml"/><Relationship Id="rId4" Type="http://schemas.openxmlformats.org/officeDocument/2006/relationships/oleObject" Target="file:///C:\Users\jovana.djeric\Dropbox\Makro%20sektor\Fiskalna%202023-2025\Makro%20radni%20fajlovi\GRAFIKONI_MAKRO_apr22.xlsx" TargetMode="External"/></Relationships>
</file>

<file path=word/charts/_rels/chart50.xml.rels><?xml version="1.0" encoding="UTF-8" standalone="yes"?>
<Relationships xmlns="http://schemas.openxmlformats.org/package/2006/relationships"><Relationship Id="rId3" Type="http://schemas.openxmlformats.org/officeDocument/2006/relationships/themeOverride" Target="../theme/themeOverride48.xml"/><Relationship Id="rId2" Type="http://schemas.microsoft.com/office/2011/relationships/chartColorStyle" Target="colors45.xml"/><Relationship Id="rId1" Type="http://schemas.microsoft.com/office/2011/relationships/chartStyle" Target="style45.xml"/><Relationship Id="rId5" Type="http://schemas.openxmlformats.org/officeDocument/2006/relationships/chartUserShapes" Target="../drawings/drawing22.xml"/><Relationship Id="rId4" Type="http://schemas.openxmlformats.org/officeDocument/2006/relationships/oleObject" Target="file:///C:\Users\milos.gligorijevic\Dropbox\Dropbox\Makro%20sektor\Fiskalna%202023-2025\Makro%20radni%20fajlovi\GRAFIKONI_MAKRO_apr22.xlsx" TargetMode="External"/></Relationships>
</file>

<file path=word/charts/_rels/chart51.xml.rels><?xml version="1.0" encoding="UTF-8" standalone="yes"?>
<Relationships xmlns="http://schemas.openxmlformats.org/package/2006/relationships"><Relationship Id="rId3" Type="http://schemas.openxmlformats.org/officeDocument/2006/relationships/oleObject" Target="file:///C:\Users\vladimir.malbasic\Desktop\Za%20bazu-%20GFS,%20SS%20bs%20,%20MMF%20table\GFS%20CONSOLIDATION_za%20analizu%20radni%20fajl-2080mq1.xlsx" TargetMode="External"/><Relationship Id="rId2" Type="http://schemas.microsoft.com/office/2011/relationships/chartColorStyle" Target="colors46.xml"/><Relationship Id="rId1" Type="http://schemas.microsoft.com/office/2011/relationships/chartStyle" Target="style46.xml"/></Relationships>
</file>

<file path=word/charts/_rels/chart52.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47.xml"/><Relationship Id="rId1" Type="http://schemas.microsoft.com/office/2011/relationships/chartStyle" Target="style47.xml"/></Relationships>
</file>

<file path=word/charts/_rels/chart53.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48.xml"/><Relationship Id="rId1" Type="http://schemas.microsoft.com/office/2011/relationships/chartStyle" Target="style48.xml"/><Relationship Id="rId4" Type="http://schemas.openxmlformats.org/officeDocument/2006/relationships/chartUserShapes" Target="../drawings/drawing23.xml"/></Relationships>
</file>

<file path=word/charts/_rels/chart54.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49.xml"/><Relationship Id="rId1" Type="http://schemas.microsoft.com/office/2011/relationships/chartStyle" Target="style49.xml"/><Relationship Id="rId4" Type="http://schemas.openxmlformats.org/officeDocument/2006/relationships/chartUserShapes" Target="../drawings/drawing24.xml"/></Relationships>
</file>

<file path=word/charts/_rels/chart55.xml.rels><?xml version="1.0" encoding="UTF-8" standalone="yes"?>
<Relationships xmlns="http://schemas.openxmlformats.org/package/2006/relationships"><Relationship Id="rId3" Type="http://schemas.openxmlformats.org/officeDocument/2006/relationships/chartUserShapes" Target="../drawings/drawing25.xml"/><Relationship Id="rId2" Type="http://schemas.openxmlformats.org/officeDocument/2006/relationships/oleObject" Target="file:///C:\Users\ognjen.jancic\Documents\kopija\Ognjen\memorandum\&#1092;&#1089;%202023-2025\za%20grafikone%20def,dug%20baseline%20i%20sa%20merama.xlsx" TargetMode="External"/><Relationship Id="rId1" Type="http://schemas.openxmlformats.org/officeDocument/2006/relationships/themeOverride" Target="../theme/themeOverride49.xml"/></Relationships>
</file>

<file path=word/charts/_rels/chart56.xml.rels><?xml version="1.0" encoding="UTF-8" standalone="yes"?>
<Relationships xmlns="http://schemas.openxmlformats.org/package/2006/relationships"><Relationship Id="rId3" Type="http://schemas.openxmlformats.org/officeDocument/2006/relationships/oleObject" Target="file:///C:\Users\vladimir.malbasic\Dropbox\Makro%20sektor\Fiskalna%202023-2025\Fiskal%20radni%20fajlovi\Grafikoni%20ciklicnog%20deficita,%20poreske%20elasticnosti%20i%20osetljivost%20balansa%20april%202022.xlsx" TargetMode="External"/><Relationship Id="rId2" Type="http://schemas.microsoft.com/office/2011/relationships/chartColorStyle" Target="colors50.xml"/><Relationship Id="rId1" Type="http://schemas.microsoft.com/office/2011/relationships/chartStyle" Target="style50.xml"/><Relationship Id="rId4" Type="http://schemas.openxmlformats.org/officeDocument/2006/relationships/chartUserShapes" Target="../drawings/drawing26.xml"/></Relationships>
</file>

<file path=word/charts/_rels/chart57.xml.rels><?xml version="1.0" encoding="UTF-8" standalone="yes"?>
<Relationships xmlns="http://schemas.openxmlformats.org/package/2006/relationships"><Relationship Id="rId3" Type="http://schemas.openxmlformats.org/officeDocument/2006/relationships/themeOverride" Target="../theme/themeOverride50.xml"/><Relationship Id="rId2" Type="http://schemas.microsoft.com/office/2011/relationships/chartColorStyle" Target="colors51.xml"/><Relationship Id="rId1" Type="http://schemas.microsoft.com/office/2011/relationships/chartStyle" Target="style51.xml"/><Relationship Id="rId5" Type="http://schemas.openxmlformats.org/officeDocument/2006/relationships/chartUserShapes" Target="../drawings/drawing27.xml"/><Relationship Id="rId4" Type="http://schemas.openxmlformats.org/officeDocument/2006/relationships/oleObject" Target="file:///C:\Users\jovana.djeric\Desktop\FS%20proba%20razno\MOJ%20TEKST\FISKAL\Grafikoni%20ciklicnog%20deficita,%20poreske%20elasticnosti%20i%20osetljivost%20balansa%20april%202022_J.xlsx" TargetMode="External"/></Relationships>
</file>

<file path=word/charts/_rels/chart58.xml.rels><?xml version="1.0" encoding="UTF-8" standalone="yes"?>
<Relationships xmlns="http://schemas.openxmlformats.org/package/2006/relationships"><Relationship Id="rId3" Type="http://schemas.openxmlformats.org/officeDocument/2006/relationships/themeOverride" Target="../theme/themeOverride51.xml"/><Relationship Id="rId2" Type="http://schemas.microsoft.com/office/2011/relationships/chartColorStyle" Target="colors52.xml"/><Relationship Id="rId1" Type="http://schemas.microsoft.com/office/2011/relationships/chartStyle" Target="style52.xml"/><Relationship Id="rId5" Type="http://schemas.openxmlformats.org/officeDocument/2006/relationships/chartUserShapes" Target="../drawings/drawing28.xml"/><Relationship Id="rId4" Type="http://schemas.openxmlformats.org/officeDocument/2006/relationships/oleObject" Target="file:///C:\Users\vladimir.malbasic\Dropbox\Makro%20sektor\Fiskalna%202023-2025\Fiskal%20radni%20fajlovi\Grafikoni%20ciklicnog%20deficita,%20poreske%20elasticnosti%20i%20osetljivost%20balansa%20april%202022.xlsx" TargetMode="External"/></Relationships>
</file>

<file path=word/charts/_rels/chart59.xml.rels><?xml version="1.0" encoding="UTF-8" standalone="yes"?>
<Relationships xmlns="http://schemas.openxmlformats.org/package/2006/relationships"><Relationship Id="rId3" Type="http://schemas.openxmlformats.org/officeDocument/2006/relationships/oleObject" Target="file:///C:\Users\vladimir.malbasic\Dropbox\Makro%20sektor\Fiskalna%202023-2025\Fiskal%20radni%20fajlovi\Scenarija%20javni%20dug%20fiskalno%20prilagodjavanje.xlsx" TargetMode="External"/><Relationship Id="rId2" Type="http://schemas.microsoft.com/office/2011/relationships/chartColorStyle" Target="colors53.xml"/><Relationship Id="rId1" Type="http://schemas.microsoft.com/office/2011/relationships/chartStyle" Target="style53.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6.xml"/><Relationship Id="rId1" Type="http://schemas.microsoft.com/office/2011/relationships/chartStyle" Target="style6.xml"/><Relationship Id="rId5" Type="http://schemas.openxmlformats.org/officeDocument/2006/relationships/chartUserShapes" Target="../drawings/drawing5.xml"/><Relationship Id="rId4" Type="http://schemas.openxmlformats.org/officeDocument/2006/relationships/oleObject" Target="file:///C:\Users\jovana.djeric\Dropbox\Makro%20sektor\Fiskalna%202023-2025\Makro%20radni%20fajlovi\GRAFIKONI_MAKRO_apr22.xlsx" TargetMode="External"/></Relationships>
</file>

<file path=word/charts/_rels/chart60.xml.rels><?xml version="1.0" encoding="UTF-8" standalone="yes"?>
<Relationships xmlns="http://schemas.openxmlformats.org/package/2006/relationships"><Relationship Id="rId3" Type="http://schemas.openxmlformats.org/officeDocument/2006/relationships/oleObject" Target="file:///C:\Users\vladimir.malbasic\Desktop\Za%20bazu-%20GFS,%20SS%20bs%20,%20MMF%20table\GFS%20CONSOLIDATION_za%20analizu%20radni%20fajl-2080mq1.xlsx" TargetMode="External"/><Relationship Id="rId2" Type="http://schemas.microsoft.com/office/2011/relationships/chartColorStyle" Target="colors54.xml"/><Relationship Id="rId1" Type="http://schemas.microsoft.com/office/2011/relationships/chartStyle" Target="style54.xml"/></Relationships>
</file>

<file path=word/charts/_rels/chart61.xml.rels><?xml version="1.0" encoding="UTF-8" standalone="yes"?>
<Relationships xmlns="http://schemas.openxmlformats.org/package/2006/relationships"><Relationship Id="rId3" Type="http://schemas.openxmlformats.org/officeDocument/2006/relationships/oleObject" Target="file:///C:\Users\vladimir.malbasic\Dropbox\Makro%20sektor\Fiskalna%202023-2025\Fiskal%20radni%20fajlovi\Scenarija%20javni%20dug%20fiskalno%20prilagodjavanje.xlsx" TargetMode="External"/><Relationship Id="rId2" Type="http://schemas.microsoft.com/office/2011/relationships/chartColorStyle" Target="colors55.xml"/><Relationship Id="rId1" Type="http://schemas.microsoft.com/office/2011/relationships/chartStyle" Target="style55.xml"/><Relationship Id="rId4" Type="http://schemas.openxmlformats.org/officeDocument/2006/relationships/chartUserShapes" Target="../drawings/drawing29.xml"/></Relationships>
</file>

<file path=word/charts/_rels/chart62.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52.xml"/></Relationships>
</file>

<file path=word/charts/_rels/chart63.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3.xml"/></Relationships>
</file>

<file path=word/charts/_rels/chart64.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54.xml"/></Relationships>
</file>

<file path=word/charts/_rels/chart65.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66.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67.xml.rels><?xml version="1.0" encoding="UTF-8" standalone="yes"?>
<Relationships xmlns="http://schemas.openxmlformats.org/package/2006/relationships"><Relationship Id="rId3" Type="http://schemas.openxmlformats.org/officeDocument/2006/relationships/themeOverride" Target="../theme/themeOverride55.xml"/><Relationship Id="rId2" Type="http://schemas.microsoft.com/office/2011/relationships/chartColorStyle" Target="colors56.xml"/><Relationship Id="rId1" Type="http://schemas.microsoft.com/office/2011/relationships/chartStyle" Target="style56.xml"/><Relationship Id="rId4" Type="http://schemas.openxmlformats.org/officeDocument/2006/relationships/oleObject" Target="../embeddings/oleObject3.bin"/></Relationships>
</file>

<file path=word/charts/_rels/chart68.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themeOverride" Target="../theme/themeOverride56.xml"/></Relationships>
</file>

<file path=word/charts/_rels/chart69.xml.rels><?xml version="1.0" encoding="UTF-8" standalone="yes"?>
<Relationships xmlns="http://schemas.openxmlformats.org/package/2006/relationships"><Relationship Id="rId2" Type="http://schemas.openxmlformats.org/officeDocument/2006/relationships/oleObject" Target="../embeddings/oleObject5.bin"/><Relationship Id="rId1" Type="http://schemas.openxmlformats.org/officeDocument/2006/relationships/themeOverride" Target="../theme/themeOverride57.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6.xml"/><Relationship Id="rId4" Type="http://schemas.openxmlformats.org/officeDocument/2006/relationships/oleObject" Target="file:///C:\Users\jovana.djeric\Dropbox\Makro%20sektor\Fiskalna%202023-2025\Makro%20radni%20fajlovi\GRAFIKONI_MAKRO_apr22.xlsx" TargetMode="External"/></Relationships>
</file>

<file path=word/charts/_rels/chart70.xml.rels><?xml version="1.0" encoding="UTF-8" standalone="yes"?>
<Relationships xmlns="http://schemas.openxmlformats.org/package/2006/relationships"><Relationship Id="rId2" Type="http://schemas.openxmlformats.org/officeDocument/2006/relationships/oleObject" Target="../embeddings/oleObject6.bin"/><Relationship Id="rId1" Type="http://schemas.openxmlformats.org/officeDocument/2006/relationships/themeOverride" Target="../theme/themeOverride58.xml"/></Relationships>
</file>

<file path=word/charts/_rels/chart71.xml.rels><?xml version="1.0" encoding="UTF-8" standalone="yes"?>
<Relationships xmlns="http://schemas.openxmlformats.org/package/2006/relationships"><Relationship Id="rId2" Type="http://schemas.openxmlformats.org/officeDocument/2006/relationships/oleObject" Target="../embeddings/oleObject7.bin"/><Relationship Id="rId1" Type="http://schemas.openxmlformats.org/officeDocument/2006/relationships/themeOverride" Target="../theme/themeOverride59.xml"/></Relationships>
</file>

<file path=word/charts/_rels/chart72.xml.rels><?xml version="1.0" encoding="UTF-8" standalone="yes"?>
<Relationships xmlns="http://schemas.openxmlformats.org/package/2006/relationships"><Relationship Id="rId2" Type="http://schemas.openxmlformats.org/officeDocument/2006/relationships/oleObject" Target="../embeddings/oleObject8.bin"/><Relationship Id="rId1" Type="http://schemas.openxmlformats.org/officeDocument/2006/relationships/themeOverride" Target="../theme/themeOverride60.xml"/></Relationships>
</file>

<file path=word/charts/_rels/chart73.xml.rels><?xml version="1.0" encoding="UTF-8" standalone="yes"?>
<Relationships xmlns="http://schemas.openxmlformats.org/package/2006/relationships"><Relationship Id="rId2" Type="http://schemas.openxmlformats.org/officeDocument/2006/relationships/oleObject" Target="file:///C:\Users\milena\Desktop\STRATEGIJA%202023-2025\MTDS%202023%20V3.xlsm" TargetMode="External"/><Relationship Id="rId1" Type="http://schemas.openxmlformats.org/officeDocument/2006/relationships/themeOverride" Target="../theme/themeOverride61.xml"/></Relationships>
</file>

<file path=word/charts/_rels/chart74.xml.rels><?xml version="1.0" encoding="UTF-8" standalone="yes"?>
<Relationships xmlns="http://schemas.openxmlformats.org/package/2006/relationships"><Relationship Id="rId1" Type="http://schemas.openxmlformats.org/officeDocument/2006/relationships/oleObject" Target="file:///C:\Users\milena\Desktop\STRATEGIJA%202023-2025\MTDS%202023%20V3.xlsm" TargetMode="External"/></Relationships>
</file>

<file path=word/charts/_rels/chart75.xml.rels><?xml version="1.0" encoding="UTF-8" standalone="yes"?>
<Relationships xmlns="http://schemas.openxmlformats.org/package/2006/relationships"><Relationship Id="rId3" Type="http://schemas.openxmlformats.org/officeDocument/2006/relationships/oleObject" Target="file:///C:\Users\Oliver\Desktop\STRATEGIJA%202022-2024\STRAT2022-2024.xlsx" TargetMode="External"/><Relationship Id="rId2" Type="http://schemas.microsoft.com/office/2011/relationships/chartColorStyle" Target="colors57.xml"/><Relationship Id="rId1" Type="http://schemas.microsoft.com/office/2011/relationships/chartStyle" Target="style57.xml"/></Relationships>
</file>

<file path=word/charts/_rels/chart76.xml.rels><?xml version="1.0" encoding="UTF-8" standalone="yes"?>
<Relationships xmlns="http://schemas.openxmlformats.org/package/2006/relationships"><Relationship Id="rId2" Type="http://schemas.openxmlformats.org/officeDocument/2006/relationships/oleObject" Target="Chart%20in%20Microsoft%20Word" TargetMode="External"/><Relationship Id="rId1" Type="http://schemas.openxmlformats.org/officeDocument/2006/relationships/themeOverride" Target="../theme/themeOverride62.xml"/></Relationships>
</file>

<file path=word/charts/_rels/chart7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58.xml"/><Relationship Id="rId1" Type="http://schemas.microsoft.com/office/2011/relationships/chartStyle" Target="style58.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8.xml"/><Relationship Id="rId1" Type="http://schemas.microsoft.com/office/2011/relationships/chartStyle" Target="style8.xml"/><Relationship Id="rId5" Type="http://schemas.openxmlformats.org/officeDocument/2006/relationships/chartUserShapes" Target="../drawings/drawing7.xml"/><Relationship Id="rId4" Type="http://schemas.openxmlformats.org/officeDocument/2006/relationships/oleObject" Target="file:///C:\Users\jovana.djeric\Dropbox\Makro%20sektor\Fiskalna%202023-2025\Makro%20radni%20fajlovi\GRAFIKONI_MAKRO_apr22.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9.xml"/><Relationship Id="rId1" Type="http://schemas.microsoft.com/office/2011/relationships/chartStyle" Target="style9.xml"/><Relationship Id="rId5" Type="http://schemas.openxmlformats.org/officeDocument/2006/relationships/chartUserShapes" Target="../drawings/drawing8.xml"/><Relationship Id="rId4" Type="http://schemas.openxmlformats.org/officeDocument/2006/relationships/oleObject" Target="file:///C:\Users\jovana.djeric\Dropbox\Makro%20sektor\Fiskalna%202023-2025\Makro%20radni%20fajlovi\GRAFIKONI_MAKRO_apr2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5979221347331585E-2"/>
          <c:y val="5.0925925925925923E-2"/>
          <c:w val="0.91179855643044616"/>
          <c:h val="0.55948245614035086"/>
        </c:manualLayout>
      </c:layout>
      <c:barChart>
        <c:barDir val="col"/>
        <c:grouping val="stacked"/>
        <c:varyColors val="0"/>
        <c:ser>
          <c:idx val="0"/>
          <c:order val="0"/>
          <c:tx>
            <c:strRef>
              <c:f>'WEO_ekon. rast'!$B$25</c:f>
              <c:strCache>
                <c:ptCount val="1"/>
                <c:pt idx="0">
                  <c:v>Развијене економије искључујући САД и ЕУ</c:v>
                </c:pt>
              </c:strCache>
            </c:strRef>
          </c:tx>
          <c:spPr>
            <a:solidFill>
              <a:srgbClr val="10103C"/>
            </a:solidFill>
            <a:ln>
              <a:noFill/>
            </a:ln>
            <a:effectLst/>
          </c:spPr>
          <c:invertIfNegative val="0"/>
          <c:cat>
            <c:numRef>
              <c:f>'WEO_ekon. rast'!$G$24:$M$24</c:f>
              <c:numCache>
                <c:formatCode>General</c:formatCode>
                <c:ptCount val="7"/>
                <c:pt idx="0">
                  <c:v>2019</c:v>
                </c:pt>
                <c:pt idx="1">
                  <c:v>2020</c:v>
                </c:pt>
                <c:pt idx="2">
                  <c:v>2021</c:v>
                </c:pt>
                <c:pt idx="3">
                  <c:v>2022</c:v>
                </c:pt>
                <c:pt idx="4">
                  <c:v>2023</c:v>
                </c:pt>
                <c:pt idx="5">
                  <c:v>2024</c:v>
                </c:pt>
                <c:pt idx="6">
                  <c:v>2025</c:v>
                </c:pt>
              </c:numCache>
            </c:numRef>
          </c:cat>
          <c:val>
            <c:numRef>
              <c:f>'WEO_ekon. rast'!$G$25:$M$25</c:f>
              <c:numCache>
                <c:formatCode>0.00</c:formatCode>
                <c:ptCount val="7"/>
                <c:pt idx="0">
                  <c:v>8.2455870000000042E-2</c:v>
                </c:pt>
                <c:pt idx="1">
                  <c:v>-0.48755940000000031</c:v>
                </c:pt>
                <c:pt idx="2">
                  <c:v>0.4865227999999997</c:v>
                </c:pt>
                <c:pt idx="3">
                  <c:v>0.36031374999999999</c:v>
                </c:pt>
                <c:pt idx="4">
                  <c:v>0.26325538000000004</c:v>
                </c:pt>
                <c:pt idx="5">
                  <c:v>0.16631720000000003</c:v>
                </c:pt>
                <c:pt idx="6">
                  <c:v>0.16634182999999997</c:v>
                </c:pt>
              </c:numCache>
            </c:numRef>
          </c:val>
          <c:extLst>
            <c:ext xmlns:c16="http://schemas.microsoft.com/office/drawing/2014/chart" uri="{C3380CC4-5D6E-409C-BE32-E72D297353CC}">
              <c16:uniqueId val="{00000000-3058-42B9-8B21-528A96D34C94}"/>
            </c:ext>
          </c:extLst>
        </c:ser>
        <c:ser>
          <c:idx val="1"/>
          <c:order val="1"/>
          <c:tx>
            <c:strRef>
              <c:f>'WEO_ekon. rast'!$B$26</c:f>
              <c:strCache>
                <c:ptCount val="1"/>
                <c:pt idx="0">
                  <c:v>САД</c:v>
                </c:pt>
              </c:strCache>
            </c:strRef>
          </c:tx>
          <c:spPr>
            <a:solidFill>
              <a:srgbClr val="2A489A"/>
            </a:solidFill>
            <a:ln>
              <a:noFill/>
            </a:ln>
            <a:effectLst/>
          </c:spPr>
          <c:invertIfNegative val="0"/>
          <c:cat>
            <c:numRef>
              <c:f>'WEO_ekon. rast'!$G$24:$M$24</c:f>
              <c:numCache>
                <c:formatCode>General</c:formatCode>
                <c:ptCount val="7"/>
                <c:pt idx="0">
                  <c:v>2019</c:v>
                </c:pt>
                <c:pt idx="1">
                  <c:v>2020</c:v>
                </c:pt>
                <c:pt idx="2">
                  <c:v>2021</c:v>
                </c:pt>
                <c:pt idx="3">
                  <c:v>2022</c:v>
                </c:pt>
                <c:pt idx="4">
                  <c:v>2023</c:v>
                </c:pt>
                <c:pt idx="5">
                  <c:v>2024</c:v>
                </c:pt>
                <c:pt idx="6">
                  <c:v>2025</c:v>
                </c:pt>
              </c:numCache>
            </c:numRef>
          </c:cat>
          <c:val>
            <c:numRef>
              <c:f>'WEO_ekon. rast'!$G$26:$M$26</c:f>
              <c:numCache>
                <c:formatCode>0.00</c:formatCode>
                <c:ptCount val="7"/>
                <c:pt idx="0">
                  <c:v>0.36145599000000006</c:v>
                </c:pt>
                <c:pt idx="1">
                  <c:v>-0.53696849999999996</c:v>
                </c:pt>
                <c:pt idx="2">
                  <c:v>0.89344625999999994</c:v>
                </c:pt>
                <c:pt idx="3">
                  <c:v>0.58504824000000011</c:v>
                </c:pt>
                <c:pt idx="4">
                  <c:v>0.35068500000000002</c:v>
                </c:pt>
                <c:pt idx="5">
                  <c:v>0.2199421</c:v>
                </c:pt>
                <c:pt idx="6">
                  <c:v>0.25297368999999997</c:v>
                </c:pt>
              </c:numCache>
            </c:numRef>
          </c:val>
          <c:extLst>
            <c:ext xmlns:c16="http://schemas.microsoft.com/office/drawing/2014/chart" uri="{C3380CC4-5D6E-409C-BE32-E72D297353CC}">
              <c16:uniqueId val="{00000001-3058-42B9-8B21-528A96D34C94}"/>
            </c:ext>
          </c:extLst>
        </c:ser>
        <c:ser>
          <c:idx val="2"/>
          <c:order val="2"/>
          <c:tx>
            <c:strRef>
              <c:f>'WEO_ekon. rast'!$B$27</c:f>
              <c:strCache>
                <c:ptCount val="1"/>
                <c:pt idx="0">
                  <c:v>ЕУ</c:v>
                </c:pt>
              </c:strCache>
            </c:strRef>
          </c:tx>
          <c:spPr>
            <a:solidFill>
              <a:srgbClr val="2183C4"/>
            </a:solidFill>
            <a:ln>
              <a:noFill/>
            </a:ln>
            <a:effectLst/>
          </c:spPr>
          <c:invertIfNegative val="0"/>
          <c:cat>
            <c:numRef>
              <c:f>'WEO_ekon. rast'!$G$24:$M$24</c:f>
              <c:numCache>
                <c:formatCode>General</c:formatCode>
                <c:ptCount val="7"/>
                <c:pt idx="0">
                  <c:v>2019</c:v>
                </c:pt>
                <c:pt idx="1">
                  <c:v>2020</c:v>
                </c:pt>
                <c:pt idx="2">
                  <c:v>2021</c:v>
                </c:pt>
                <c:pt idx="3">
                  <c:v>2022</c:v>
                </c:pt>
                <c:pt idx="4">
                  <c:v>2023</c:v>
                </c:pt>
                <c:pt idx="5">
                  <c:v>2024</c:v>
                </c:pt>
                <c:pt idx="6">
                  <c:v>2025</c:v>
                </c:pt>
              </c:numCache>
            </c:numRef>
          </c:cat>
          <c:val>
            <c:numRef>
              <c:f>'WEO_ekon. rast'!$G$27:$M$27</c:f>
              <c:numCache>
                <c:formatCode>0.00</c:formatCode>
                <c:ptCount val="7"/>
                <c:pt idx="0">
                  <c:v>0.30735359999999995</c:v>
                </c:pt>
                <c:pt idx="1">
                  <c:v>-0.87743609999999994</c:v>
                </c:pt>
                <c:pt idx="2">
                  <c:v>0.80152183999999993</c:v>
                </c:pt>
                <c:pt idx="3">
                  <c:v>0.42635110999999992</c:v>
                </c:pt>
                <c:pt idx="4">
                  <c:v>0.36752995999999993</c:v>
                </c:pt>
                <c:pt idx="5">
                  <c:v>0.3090717</c:v>
                </c:pt>
                <c:pt idx="6">
                  <c:v>0.26739648000000005</c:v>
                </c:pt>
              </c:numCache>
            </c:numRef>
          </c:val>
          <c:extLst>
            <c:ext xmlns:c16="http://schemas.microsoft.com/office/drawing/2014/chart" uri="{C3380CC4-5D6E-409C-BE32-E72D297353CC}">
              <c16:uniqueId val="{00000002-3058-42B9-8B21-528A96D34C94}"/>
            </c:ext>
          </c:extLst>
        </c:ser>
        <c:ser>
          <c:idx val="3"/>
          <c:order val="3"/>
          <c:tx>
            <c:strRef>
              <c:f>'WEO_ekon. rast'!$B$28</c:f>
              <c:strCache>
                <c:ptCount val="1"/>
                <c:pt idx="0">
                  <c:v>Земље у успону Азијског континента без Кине</c:v>
                </c:pt>
              </c:strCache>
            </c:strRef>
          </c:tx>
          <c:spPr>
            <a:solidFill>
              <a:srgbClr val="51BBE7"/>
            </a:solidFill>
            <a:ln>
              <a:noFill/>
            </a:ln>
            <a:effectLst/>
          </c:spPr>
          <c:invertIfNegative val="0"/>
          <c:cat>
            <c:numRef>
              <c:f>'WEO_ekon. rast'!$G$24:$M$24</c:f>
              <c:numCache>
                <c:formatCode>General</c:formatCode>
                <c:ptCount val="7"/>
                <c:pt idx="0">
                  <c:v>2019</c:v>
                </c:pt>
                <c:pt idx="1">
                  <c:v>2020</c:v>
                </c:pt>
                <c:pt idx="2">
                  <c:v>2021</c:v>
                </c:pt>
                <c:pt idx="3">
                  <c:v>2022</c:v>
                </c:pt>
                <c:pt idx="4">
                  <c:v>2023</c:v>
                </c:pt>
                <c:pt idx="5">
                  <c:v>2024</c:v>
                </c:pt>
                <c:pt idx="6">
                  <c:v>2025</c:v>
                </c:pt>
              </c:numCache>
            </c:numRef>
          </c:cat>
          <c:val>
            <c:numRef>
              <c:f>'WEO_ekon. rast'!$G$28:$M$28</c:f>
              <c:numCache>
                <c:formatCode>0.00</c:formatCode>
                <c:ptCount val="7"/>
                <c:pt idx="0">
                  <c:v>0.62874856000000023</c:v>
                </c:pt>
                <c:pt idx="1">
                  <c:v>-0.65708152000000009</c:v>
                </c:pt>
                <c:pt idx="2">
                  <c:v>0.84953788999999968</c:v>
                </c:pt>
                <c:pt idx="3">
                  <c:v>0.96441627000000008</c:v>
                </c:pt>
                <c:pt idx="4">
                  <c:v>0.93757601999999995</c:v>
                </c:pt>
                <c:pt idx="5">
                  <c:v>0.96028135999999975</c:v>
                </c:pt>
                <c:pt idx="6">
                  <c:v>0.97335653000000044</c:v>
                </c:pt>
              </c:numCache>
            </c:numRef>
          </c:val>
          <c:extLst>
            <c:ext xmlns:c16="http://schemas.microsoft.com/office/drawing/2014/chart" uri="{C3380CC4-5D6E-409C-BE32-E72D297353CC}">
              <c16:uniqueId val="{00000003-3058-42B9-8B21-528A96D34C94}"/>
            </c:ext>
          </c:extLst>
        </c:ser>
        <c:ser>
          <c:idx val="4"/>
          <c:order val="4"/>
          <c:tx>
            <c:strRef>
              <c:f>'WEO_ekon. rast'!$B$29</c:f>
              <c:strCache>
                <c:ptCount val="1"/>
                <c:pt idx="0">
                  <c:v>Кина</c:v>
                </c:pt>
              </c:strCache>
            </c:strRef>
          </c:tx>
          <c:spPr>
            <a:solidFill>
              <a:srgbClr val="90CAE2"/>
            </a:solidFill>
            <a:ln>
              <a:noFill/>
            </a:ln>
            <a:effectLst/>
          </c:spPr>
          <c:invertIfNegative val="0"/>
          <c:cat>
            <c:numRef>
              <c:f>'WEO_ekon. rast'!$G$24:$M$24</c:f>
              <c:numCache>
                <c:formatCode>General</c:formatCode>
                <c:ptCount val="7"/>
                <c:pt idx="0">
                  <c:v>2019</c:v>
                </c:pt>
                <c:pt idx="1">
                  <c:v>2020</c:v>
                </c:pt>
                <c:pt idx="2">
                  <c:v>2021</c:v>
                </c:pt>
                <c:pt idx="3">
                  <c:v>2022</c:v>
                </c:pt>
                <c:pt idx="4">
                  <c:v>2023</c:v>
                </c:pt>
                <c:pt idx="5">
                  <c:v>2024</c:v>
                </c:pt>
                <c:pt idx="6">
                  <c:v>2025</c:v>
                </c:pt>
              </c:numCache>
            </c:numRef>
          </c:cat>
          <c:val>
            <c:numRef>
              <c:f>'WEO_ekon. rast'!$G$29:$M$29</c:f>
              <c:numCache>
                <c:formatCode>0.00</c:formatCode>
                <c:ptCount val="7"/>
                <c:pt idx="0">
                  <c:v>1.02696407</c:v>
                </c:pt>
                <c:pt idx="1">
                  <c:v>0.40935048000000007</c:v>
                </c:pt>
                <c:pt idx="2">
                  <c:v>1.5044152</c:v>
                </c:pt>
                <c:pt idx="3">
                  <c:v>0.82146805000000001</c:v>
                </c:pt>
                <c:pt idx="4">
                  <c:v>0.96756105999999986</c:v>
                </c:pt>
                <c:pt idx="5">
                  <c:v>0.98621669000000001</c:v>
                </c:pt>
                <c:pt idx="6">
                  <c:v>0.97829856000000004</c:v>
                </c:pt>
              </c:numCache>
            </c:numRef>
          </c:val>
          <c:extLst>
            <c:ext xmlns:c16="http://schemas.microsoft.com/office/drawing/2014/chart" uri="{C3380CC4-5D6E-409C-BE32-E72D297353CC}">
              <c16:uniqueId val="{00000004-3058-42B9-8B21-528A96D34C94}"/>
            </c:ext>
          </c:extLst>
        </c:ser>
        <c:ser>
          <c:idx val="5"/>
          <c:order val="5"/>
          <c:tx>
            <c:strRef>
              <c:f>'WEO_ekon. rast'!$B$30</c:f>
              <c:strCache>
                <c:ptCount val="1"/>
                <c:pt idx="0">
                  <c:v>Остале земље у успону</c:v>
                </c:pt>
              </c:strCache>
            </c:strRef>
          </c:tx>
          <c:spPr>
            <a:solidFill>
              <a:srgbClr val="C9E4EB"/>
            </a:solidFill>
            <a:ln>
              <a:noFill/>
            </a:ln>
            <a:effectLst/>
          </c:spPr>
          <c:invertIfNegative val="0"/>
          <c:cat>
            <c:numRef>
              <c:f>'WEO_ekon. rast'!$G$24:$M$24</c:f>
              <c:numCache>
                <c:formatCode>General</c:formatCode>
                <c:ptCount val="7"/>
                <c:pt idx="0">
                  <c:v>2019</c:v>
                </c:pt>
                <c:pt idx="1">
                  <c:v>2020</c:v>
                </c:pt>
                <c:pt idx="2">
                  <c:v>2021</c:v>
                </c:pt>
                <c:pt idx="3">
                  <c:v>2022</c:v>
                </c:pt>
                <c:pt idx="4">
                  <c:v>2023</c:v>
                </c:pt>
                <c:pt idx="5">
                  <c:v>2024</c:v>
                </c:pt>
                <c:pt idx="6">
                  <c:v>2025</c:v>
                </c:pt>
              </c:numCache>
            </c:numRef>
          </c:cat>
          <c:val>
            <c:numRef>
              <c:f>'WEO_ekon. rast'!$G$30:$M$30</c:f>
              <c:numCache>
                <c:formatCode>0.00</c:formatCode>
                <c:ptCount val="7"/>
                <c:pt idx="0">
                  <c:v>0.45802190999999981</c:v>
                </c:pt>
                <c:pt idx="1">
                  <c:v>-0.91330496000000005</c:v>
                </c:pt>
                <c:pt idx="2">
                  <c:v>1.5725560100000004</c:v>
                </c:pt>
                <c:pt idx="3">
                  <c:v>0.42740257999999987</c:v>
                </c:pt>
                <c:pt idx="4">
                  <c:v>0.66439258000000034</c:v>
                </c:pt>
                <c:pt idx="5">
                  <c:v>0.76217095000000024</c:v>
                </c:pt>
                <c:pt idx="6">
                  <c:v>0.73963290999999964</c:v>
                </c:pt>
              </c:numCache>
            </c:numRef>
          </c:val>
          <c:extLst>
            <c:ext xmlns:c16="http://schemas.microsoft.com/office/drawing/2014/chart" uri="{C3380CC4-5D6E-409C-BE32-E72D297353CC}">
              <c16:uniqueId val="{00000005-3058-42B9-8B21-528A96D34C94}"/>
            </c:ext>
          </c:extLst>
        </c:ser>
        <c:dLbls>
          <c:showLegendKey val="0"/>
          <c:showVal val="0"/>
          <c:showCatName val="0"/>
          <c:showSerName val="0"/>
          <c:showPercent val="0"/>
          <c:showBubbleSize val="0"/>
        </c:dLbls>
        <c:gapWidth val="30"/>
        <c:overlap val="100"/>
        <c:axId val="-1926801344"/>
        <c:axId val="-1926777952"/>
      </c:barChart>
      <c:lineChart>
        <c:grouping val="standard"/>
        <c:varyColors val="0"/>
        <c:ser>
          <c:idx val="6"/>
          <c:order val="6"/>
          <c:tx>
            <c:strRef>
              <c:f>'WEO_ekon. rast'!$B$31</c:f>
              <c:strCache>
                <c:ptCount val="1"/>
                <c:pt idx="0">
                  <c:v>Светски раст</c:v>
                </c:pt>
              </c:strCache>
            </c:strRef>
          </c:tx>
          <c:spPr>
            <a:ln w="25400" cap="rnd">
              <a:solidFill>
                <a:srgbClr val="FF0000"/>
              </a:solidFill>
              <a:round/>
            </a:ln>
            <a:effectLst/>
          </c:spPr>
          <c:marker>
            <c:symbol val="none"/>
          </c:marker>
          <c:dLbls>
            <c:dLbl>
              <c:idx val="1"/>
              <c:layout>
                <c:manualLayout>
                  <c:x val="-6.6898148148148151E-2"/>
                  <c:y val="4.55033416875522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9E2-4443-AFD0-5ABD4CA88A1F}"/>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'WEO_ekon. rast'!$G$24:$M$24</c:f>
              <c:numCache>
                <c:formatCode>General</c:formatCode>
                <c:ptCount val="7"/>
                <c:pt idx="0">
                  <c:v>2019</c:v>
                </c:pt>
                <c:pt idx="1">
                  <c:v>2020</c:v>
                </c:pt>
                <c:pt idx="2">
                  <c:v>2021</c:v>
                </c:pt>
                <c:pt idx="3">
                  <c:v>2022</c:v>
                </c:pt>
                <c:pt idx="4">
                  <c:v>2023</c:v>
                </c:pt>
                <c:pt idx="5">
                  <c:v>2024</c:v>
                </c:pt>
                <c:pt idx="6">
                  <c:v>2025</c:v>
                </c:pt>
              </c:numCache>
            </c:numRef>
          </c:cat>
          <c:val>
            <c:numRef>
              <c:f>'WEO_ekon. rast'!$G$31:$M$31</c:f>
              <c:numCache>
                <c:formatCode>0.0</c:formatCode>
                <c:ptCount val="7"/>
                <c:pt idx="0">
                  <c:v>2.8650000000000002</c:v>
                </c:pt>
                <c:pt idx="1">
                  <c:v>-3.0630000000000002</c:v>
                </c:pt>
                <c:pt idx="2">
                  <c:v>6.1079999999999997</c:v>
                </c:pt>
                <c:pt idx="3">
                  <c:v>3.585</c:v>
                </c:pt>
                <c:pt idx="4">
                  <c:v>3.5510000000000002</c:v>
                </c:pt>
                <c:pt idx="5">
                  <c:v>3.4039999999999999</c:v>
                </c:pt>
                <c:pt idx="6">
                  <c:v>3.3780000000000001</c:v>
                </c:pt>
              </c:numCache>
            </c:numRef>
          </c:val>
          <c:smooth val="0"/>
          <c:extLst>
            <c:ext xmlns:c16="http://schemas.microsoft.com/office/drawing/2014/chart" uri="{C3380CC4-5D6E-409C-BE32-E72D297353CC}">
              <c16:uniqueId val="{00000007-3058-42B9-8B21-528A96D34C94}"/>
            </c:ext>
          </c:extLst>
        </c:ser>
        <c:ser>
          <c:idx val="7"/>
          <c:order val="7"/>
          <c:tx>
            <c:strRef>
              <c:f>'WEO_ekon. rast'!$B$32</c:f>
              <c:strCache>
                <c:ptCount val="1"/>
              </c:strCache>
            </c:strRef>
          </c:tx>
          <c:spPr>
            <a:ln w="28575" cap="rnd">
              <a:noFill/>
              <a:round/>
            </a:ln>
            <a:effectLst/>
          </c:spPr>
          <c:marker>
            <c:symbol val="none"/>
          </c:marker>
          <c:dLbls>
            <c:dLbl>
              <c:idx val="1"/>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sr-Latn-RS"/>
                </a:p>
              </c:txPr>
              <c:dLblPos val="b"/>
              <c:showLegendKey val="0"/>
              <c:showVal val="0"/>
              <c:showCatName val="1"/>
              <c:showSerName val="0"/>
              <c:showPercent val="0"/>
              <c:showBubbleSize val="0"/>
              <c:extLst>
                <c:ext xmlns:c16="http://schemas.microsoft.com/office/drawing/2014/chart" uri="{C3380CC4-5D6E-409C-BE32-E72D297353CC}">
                  <c16:uniqueId val="{00000000-0F5B-4DCE-AB7E-C35D21995F56}"/>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'WEO_ekon. rast'!$G$24:$M$24</c:f>
              <c:numCache>
                <c:formatCode>General</c:formatCode>
                <c:ptCount val="7"/>
                <c:pt idx="0">
                  <c:v>2019</c:v>
                </c:pt>
                <c:pt idx="1">
                  <c:v>2020</c:v>
                </c:pt>
                <c:pt idx="2">
                  <c:v>2021</c:v>
                </c:pt>
                <c:pt idx="3">
                  <c:v>2022</c:v>
                </c:pt>
                <c:pt idx="4">
                  <c:v>2023</c:v>
                </c:pt>
                <c:pt idx="5">
                  <c:v>2024</c:v>
                </c:pt>
                <c:pt idx="6">
                  <c:v>2025</c:v>
                </c:pt>
              </c:numCache>
            </c:numRef>
          </c:cat>
          <c:val>
            <c:numRef>
              <c:f>'WEO_ekon. rast'!$G$32:$M$32</c:f>
              <c:numCache>
                <c:formatCode>General</c:formatCode>
                <c:ptCount val="7"/>
                <c:pt idx="0">
                  <c:v>0</c:v>
                </c:pt>
                <c:pt idx="1">
                  <c:v>0</c:v>
                </c:pt>
                <c:pt idx="2">
                  <c:v>0</c:v>
                </c:pt>
                <c:pt idx="3">
                  <c:v>0</c:v>
                </c:pt>
                <c:pt idx="4">
                  <c:v>0</c:v>
                </c:pt>
                <c:pt idx="5">
                  <c:v>0</c:v>
                </c:pt>
                <c:pt idx="6">
                  <c:v>0</c:v>
                </c:pt>
              </c:numCache>
            </c:numRef>
          </c:val>
          <c:smooth val="0"/>
          <c:extLst>
            <c:ext xmlns:c16="http://schemas.microsoft.com/office/drawing/2014/chart" uri="{C3380CC4-5D6E-409C-BE32-E72D297353CC}">
              <c16:uniqueId val="{00000009-3058-42B9-8B21-528A96D34C94}"/>
            </c:ext>
          </c:extLst>
        </c:ser>
        <c:dLbls>
          <c:showLegendKey val="0"/>
          <c:showVal val="0"/>
          <c:showCatName val="0"/>
          <c:showSerName val="0"/>
          <c:showPercent val="0"/>
          <c:showBubbleSize val="0"/>
        </c:dLbls>
        <c:marker val="1"/>
        <c:smooth val="0"/>
        <c:axId val="-1926801344"/>
        <c:axId val="-1926777952"/>
      </c:lineChart>
      <c:catAx>
        <c:axId val="-1926801344"/>
        <c:scaling>
          <c:orientation val="minMax"/>
        </c:scaling>
        <c:delete val="0"/>
        <c:axPos val="b"/>
        <c:numFmt formatCode="General" sourceLinked="1"/>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926777952"/>
        <c:crosses val="autoZero"/>
        <c:auto val="1"/>
        <c:lblAlgn val="ctr"/>
        <c:lblOffset val="100"/>
        <c:noMultiLvlLbl val="0"/>
      </c:catAx>
      <c:valAx>
        <c:axId val="-1926777952"/>
        <c:scaling>
          <c:orientation val="minMax"/>
          <c:min val="-4.5"/>
        </c:scaling>
        <c:delete val="0"/>
        <c:axPos val="l"/>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926801344"/>
        <c:crosses val="autoZero"/>
        <c:crossBetween val="between"/>
        <c:majorUnit val="1.5"/>
      </c:valAx>
      <c:spPr>
        <a:noFill/>
        <a:ln>
          <a:noFill/>
        </a:ln>
        <a:effectLst/>
      </c:spPr>
    </c:plotArea>
    <c:legend>
      <c:legendPos val="b"/>
      <c:legendEntry>
        <c:idx val="7"/>
        <c:delete val="1"/>
      </c:legendEntry>
      <c:layout>
        <c:manualLayout>
          <c:xMode val="edge"/>
          <c:yMode val="edge"/>
          <c:x val="2.7777777777777776E-2"/>
          <c:y val="0.68199498746867171"/>
          <c:w val="0.94944444444444465"/>
          <c:h val="0.31800501253132835"/>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7162162162162162"/>
          <c:w val="0.91418918918918923"/>
          <c:h val="0.70274673202614379"/>
        </c:manualLayout>
      </c:layout>
      <c:barChart>
        <c:barDir val="col"/>
        <c:grouping val="clustered"/>
        <c:varyColors val="0"/>
        <c:ser>
          <c:idx val="0"/>
          <c:order val="0"/>
          <c:tx>
            <c:strRef>
              <c:f>'Osn. makroekon. agregati'!$B$8</c:f>
              <c:strCache>
                <c:ptCount val="1"/>
                <c:pt idx="0">
                  <c:v>Фискални резултат,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6D0C-4A11-8750-756AC67B57BB}"/>
              </c:ext>
            </c:extLst>
          </c:dPt>
          <c:dPt>
            <c:idx val="1"/>
            <c:invertIfNegative val="0"/>
            <c:bubble3D val="0"/>
            <c:spPr>
              <a:solidFill>
                <a:srgbClr val="ED1C24"/>
              </a:solidFill>
              <a:ln>
                <a:noFill/>
              </a:ln>
              <a:effectLst/>
            </c:spPr>
            <c:extLst>
              <c:ext xmlns:c16="http://schemas.microsoft.com/office/drawing/2014/chart" uri="{C3380CC4-5D6E-409C-BE32-E72D297353CC}">
                <c16:uniqueId val="{00000003-6D0C-4A11-8750-756AC67B57BB}"/>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sr-Latn-RS"/>
                </a:p>
              </c:txPr>
              <c:showLegendKey val="0"/>
              <c:showVal val="1"/>
              <c:showCatName val="0"/>
              <c:showSerName val="0"/>
              <c:showPercent val="0"/>
              <c:showBubbleSize val="0"/>
              <c:extLst>
                <c:ext xmlns:c16="http://schemas.microsoft.com/office/drawing/2014/chart" uri="{C3380CC4-5D6E-409C-BE32-E72D297353CC}">
                  <c16:uniqueId val="{00000001-6D0C-4A11-8750-756AC67B57BB}"/>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sr-Latn-RS"/>
                </a:p>
              </c:txPr>
              <c:showLegendKey val="0"/>
              <c:showVal val="1"/>
              <c:showCatName val="0"/>
              <c:showSerName val="0"/>
              <c:showPercent val="0"/>
              <c:showBubbleSize val="0"/>
              <c:extLst>
                <c:ext xmlns:c16="http://schemas.microsoft.com/office/drawing/2014/chart" uri="{C3380CC4-5D6E-409C-BE32-E72D297353CC}">
                  <c16:uniqueId val="{00000003-6D0C-4A11-8750-756AC67B57BB}"/>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agregati'!$C$8,'Osn. makroekon. agregati'!$D$8)</c:f>
              <c:numCache>
                <c:formatCode>0.0</c:formatCode>
                <c:ptCount val="2"/>
                <c:pt idx="0">
                  <c:v>-3</c:v>
                </c:pt>
                <c:pt idx="1">
                  <c:v>-3</c:v>
                </c:pt>
              </c:numCache>
            </c:numRef>
          </c:val>
          <c:extLst>
            <c:ext xmlns:c16="http://schemas.microsoft.com/office/drawing/2014/chart" uri="{C3380CC4-5D6E-409C-BE32-E72D297353CC}">
              <c16:uniqueId val="{00000004-6D0C-4A11-8750-756AC67B57BB}"/>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a:t>
                </a:r>
                <a:r>
                  <a:rPr lang="sr-Cyrl-RS" b="1"/>
                  <a:t>2</a:t>
                </a:r>
                <a:endParaRPr lang="en-US" b="1"/>
              </a:p>
            </c:rich>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sr-Latn-R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53440"/>
        <c:crossesAt val="0"/>
        <c:auto val="1"/>
        <c:lblAlgn val="ctr"/>
        <c:lblOffset val="100"/>
        <c:noMultiLvlLbl val="0"/>
      </c:catAx>
      <c:valAx>
        <c:axId val="1768853440"/>
        <c:scaling>
          <c:orientation val="minMax"/>
          <c:max val="0"/>
          <c:min val="-9"/>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sr-Latn-RS"/>
    </a:p>
  </c:txPr>
  <c:externalData r:id="rId4">
    <c:autoUpdate val="0"/>
  </c:externalData>
  <c:userShapes r:id="rId5"/>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7162162162162162"/>
          <c:w val="0.91418918918918923"/>
          <c:h val="0.70274673202614379"/>
        </c:manualLayout>
      </c:layout>
      <c:barChart>
        <c:barDir val="col"/>
        <c:grouping val="clustered"/>
        <c:varyColors val="0"/>
        <c:ser>
          <c:idx val="0"/>
          <c:order val="0"/>
          <c:tx>
            <c:strRef>
              <c:f>'Osn. makroekon. agregati'!$B$8</c:f>
              <c:strCache>
                <c:ptCount val="1"/>
                <c:pt idx="0">
                  <c:v>Фискални резултат,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1791-479F-B5BC-45C685BD5702}"/>
              </c:ext>
            </c:extLst>
          </c:dPt>
          <c:dPt>
            <c:idx val="1"/>
            <c:invertIfNegative val="0"/>
            <c:bubble3D val="0"/>
            <c:spPr>
              <a:solidFill>
                <a:srgbClr val="ED1C24"/>
              </a:solidFill>
              <a:ln>
                <a:noFill/>
              </a:ln>
              <a:effectLst/>
            </c:spPr>
            <c:extLst>
              <c:ext xmlns:c16="http://schemas.microsoft.com/office/drawing/2014/chart" uri="{C3380CC4-5D6E-409C-BE32-E72D297353CC}">
                <c16:uniqueId val="{00000003-1791-479F-B5BC-45C685BD5702}"/>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sr-Latn-RS"/>
                </a:p>
              </c:txPr>
              <c:showLegendKey val="0"/>
              <c:showVal val="1"/>
              <c:showCatName val="0"/>
              <c:showSerName val="0"/>
              <c:showPercent val="0"/>
              <c:showBubbleSize val="0"/>
              <c:extLst>
                <c:ext xmlns:c16="http://schemas.microsoft.com/office/drawing/2014/chart" uri="{C3380CC4-5D6E-409C-BE32-E72D297353CC}">
                  <c16:uniqueId val="{00000001-1791-479F-B5BC-45C685BD5702}"/>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agregati'!$E$8,'Osn. makroekon. agregati'!$F$8)</c:f>
              <c:numCache>
                <c:formatCode>0.0</c:formatCode>
                <c:ptCount val="2"/>
                <c:pt idx="0">
                  <c:v>-1.5</c:v>
                </c:pt>
                <c:pt idx="1">
                  <c:v>-1.5</c:v>
                </c:pt>
              </c:numCache>
            </c:numRef>
          </c:val>
          <c:extLst>
            <c:ext xmlns:c16="http://schemas.microsoft.com/office/drawing/2014/chart" uri="{C3380CC4-5D6E-409C-BE32-E72D297353CC}">
              <c16:uniqueId val="{00000004-1791-479F-B5BC-45C685BD5702}"/>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a:t>
                </a:r>
                <a:r>
                  <a:rPr lang="sr-Cyrl-RS" b="1"/>
                  <a:t>3</a:t>
                </a:r>
                <a:endParaRPr lang="en-US" b="1"/>
              </a:p>
            </c:rich>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sr-Latn-R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53440"/>
        <c:crossesAt val="0"/>
        <c:auto val="1"/>
        <c:lblAlgn val="ctr"/>
        <c:lblOffset val="100"/>
        <c:noMultiLvlLbl val="0"/>
      </c:catAx>
      <c:valAx>
        <c:axId val="1768853440"/>
        <c:scaling>
          <c:orientation val="minMax"/>
          <c:max val="0"/>
          <c:min val="-9"/>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sr-Latn-RS"/>
    </a:p>
  </c:txPr>
  <c:externalData r:id="rId4">
    <c:autoUpdate val="0"/>
  </c:externalData>
  <c:userShapes r:id="rId5"/>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2394894894894895"/>
          <c:w val="0.91418918918918923"/>
          <c:h val="0.72349849849849845"/>
        </c:manualLayout>
      </c:layout>
      <c:barChart>
        <c:barDir val="col"/>
        <c:grouping val="clustered"/>
        <c:varyColors val="0"/>
        <c:ser>
          <c:idx val="0"/>
          <c:order val="0"/>
          <c:tx>
            <c:strRef>
              <c:f>'Osn. makroekon. agregati'!$B$9</c:f>
              <c:strCache>
                <c:ptCount val="1"/>
                <c:pt idx="0">
                  <c:v>Јавни дуг,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6264-4544-A503-ED4CD4892F3A}"/>
              </c:ext>
            </c:extLst>
          </c:dPt>
          <c:dPt>
            <c:idx val="1"/>
            <c:invertIfNegative val="0"/>
            <c:bubble3D val="0"/>
            <c:spPr>
              <a:solidFill>
                <a:srgbClr val="ED1C24"/>
              </a:solidFill>
              <a:ln>
                <a:noFill/>
              </a:ln>
              <a:effectLst/>
            </c:spPr>
            <c:extLst>
              <c:ext xmlns:c16="http://schemas.microsoft.com/office/drawing/2014/chart" uri="{C3380CC4-5D6E-409C-BE32-E72D297353CC}">
                <c16:uniqueId val="{00000003-6264-4544-A503-ED4CD4892F3A}"/>
              </c:ext>
            </c:extLst>
          </c:dPt>
          <c:dLbls>
            <c:dLbl>
              <c:idx val="0"/>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6264-4544-A503-ED4CD4892F3A}"/>
                </c:ext>
              </c:extLst>
            </c:dLbl>
            <c:dLbl>
              <c:idx val="1"/>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6264-4544-A503-ED4CD4892F3A}"/>
                </c:ext>
              </c:extLst>
            </c:dLbl>
            <c:spPr>
              <a:noFill/>
              <a:ln>
                <a:noFill/>
              </a:ln>
              <a:effectLst/>
            </c:spPr>
            <c:txPr>
              <a:bodyPr rot="0" spcFirstLastPara="1" vertOverflow="ellipsis" vert="horz" wrap="non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val>
            <c:numRef>
              <c:f>('Osn. makroekon. agregati'!$C$9,'Osn. makroekon. agregati'!$D$9)</c:f>
              <c:numCache>
                <c:formatCode>0.0</c:formatCode>
                <c:ptCount val="2"/>
                <c:pt idx="0">
                  <c:v>56.5</c:v>
                </c:pt>
                <c:pt idx="1">
                  <c:v>54.6</c:v>
                </c:pt>
              </c:numCache>
            </c:numRef>
          </c:val>
          <c:extLst>
            <c:ext xmlns:c16="http://schemas.microsoft.com/office/drawing/2014/chart" uri="{C3380CC4-5D6E-409C-BE32-E72D297353CC}">
              <c16:uniqueId val="{00000004-6264-4544-A503-ED4CD4892F3A}"/>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a:t>
                </a:r>
                <a:r>
                  <a:rPr lang="sr-Cyrl-RS" b="1"/>
                  <a:t>2</a:t>
                </a:r>
                <a:endParaRPr lang="en-US" b="1"/>
              </a:p>
            </c:rich>
          </c:tx>
          <c:overlay val="0"/>
          <c:spPr>
            <a:noFill/>
            <a:ln>
              <a:noFill/>
            </a:ln>
            <a:effectLst/>
          </c:sp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53440"/>
        <c:crossesAt val="0"/>
        <c:auto val="1"/>
        <c:lblAlgn val="ctr"/>
        <c:lblOffset val="100"/>
        <c:noMultiLvlLbl val="0"/>
      </c:catAx>
      <c:valAx>
        <c:axId val="1768853440"/>
        <c:scaling>
          <c:orientation val="minMax"/>
          <c:max val="60"/>
          <c:min val="3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sr-Latn-RS"/>
    </a:p>
  </c:tx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2394894894894895"/>
          <c:w val="0.91418918918918923"/>
          <c:h val="0.72349849849849845"/>
        </c:manualLayout>
      </c:layout>
      <c:barChart>
        <c:barDir val="col"/>
        <c:grouping val="clustered"/>
        <c:varyColors val="0"/>
        <c:ser>
          <c:idx val="0"/>
          <c:order val="0"/>
          <c:tx>
            <c:strRef>
              <c:f>'Osn. makroekon. agregati'!$B$9</c:f>
              <c:strCache>
                <c:ptCount val="1"/>
                <c:pt idx="0">
                  <c:v>Јавни дуг,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D12B-42A5-94B5-D0F24A3A8985}"/>
              </c:ext>
            </c:extLst>
          </c:dPt>
          <c:dPt>
            <c:idx val="1"/>
            <c:invertIfNegative val="0"/>
            <c:bubble3D val="0"/>
            <c:spPr>
              <a:solidFill>
                <a:srgbClr val="ED1C24"/>
              </a:solidFill>
              <a:ln>
                <a:noFill/>
              </a:ln>
              <a:effectLst/>
            </c:spPr>
            <c:extLst>
              <c:ext xmlns:c16="http://schemas.microsoft.com/office/drawing/2014/chart" uri="{C3380CC4-5D6E-409C-BE32-E72D297353CC}">
                <c16:uniqueId val="{00000003-D12B-42A5-94B5-D0F24A3A8985}"/>
              </c:ext>
            </c:extLst>
          </c:dPt>
          <c:dLbls>
            <c:dLbl>
              <c:idx val="0"/>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D12B-42A5-94B5-D0F24A3A8985}"/>
                </c:ext>
              </c:extLst>
            </c:dLbl>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val>
            <c:numRef>
              <c:f>('Osn. makroekon. agregati'!$E$9,'Osn. makroekon. agregati'!$F$9)</c:f>
              <c:numCache>
                <c:formatCode>0.0</c:formatCode>
                <c:ptCount val="2"/>
                <c:pt idx="0">
                  <c:v>55.3</c:v>
                </c:pt>
                <c:pt idx="1">
                  <c:v>53.1</c:v>
                </c:pt>
              </c:numCache>
            </c:numRef>
          </c:val>
          <c:extLst>
            <c:ext xmlns:c16="http://schemas.microsoft.com/office/drawing/2014/chart" uri="{C3380CC4-5D6E-409C-BE32-E72D297353CC}">
              <c16:uniqueId val="{00000004-D12B-42A5-94B5-D0F24A3A8985}"/>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a:t>
                </a:r>
                <a:r>
                  <a:rPr lang="sr-Cyrl-RS" b="1"/>
                  <a:t>3</a:t>
                </a:r>
                <a:endParaRPr lang="en-US" b="1"/>
              </a:p>
            </c:rich>
          </c:tx>
          <c:overlay val="0"/>
          <c:spPr>
            <a:noFill/>
            <a:ln>
              <a:noFill/>
            </a:ln>
            <a:effectLst/>
          </c:sp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53440"/>
        <c:crossesAt val="0"/>
        <c:auto val="1"/>
        <c:lblAlgn val="ctr"/>
        <c:lblOffset val="100"/>
        <c:noMultiLvlLbl val="0"/>
      </c:catAx>
      <c:valAx>
        <c:axId val="1768853440"/>
        <c:scaling>
          <c:orientation val="minMax"/>
          <c:max val="60"/>
          <c:min val="3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sr-Latn-RS"/>
    </a:p>
  </c:txPr>
  <c:externalData r:id="rId2">
    <c:autoUpdate val="0"/>
  </c:externalData>
  <c:userShapes r:id="rId3"/>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2.9008113529535043E-2"/>
          <c:w val="0.90740810185185183"/>
          <c:h val="0.68428390367553871"/>
        </c:manualLayout>
      </c:layout>
      <c:barChart>
        <c:barDir val="col"/>
        <c:grouping val="stacked"/>
        <c:varyColors val="0"/>
        <c:ser>
          <c:idx val="0"/>
          <c:order val="0"/>
          <c:tx>
            <c:strRef>
              <c:f>BDPQ_doprinosi!$R$34</c:f>
              <c:strCache>
                <c:ptCount val="1"/>
                <c:pt idx="0">
                  <c:v>Пољопривреда</c:v>
                </c:pt>
              </c:strCache>
            </c:strRef>
          </c:tx>
          <c:spPr>
            <a:solidFill>
              <a:srgbClr val="10103C"/>
            </a:solidFill>
            <a:ln>
              <a:noFill/>
            </a:ln>
            <a:effectLst/>
          </c:spPr>
          <c:invertIfNegative val="0"/>
          <c:cat>
            <c:multiLvlStrRef>
              <c:f>BDPQ_doprinosi!$AU$32:$BG$33</c:f>
              <c:multiLvlStrCache>
                <c:ptCount val="9"/>
                <c:lvl>
                  <c:pt idx="0">
                    <c:v>Q1</c:v>
                  </c:pt>
                  <c:pt idx="1">
                    <c:v>Q2</c:v>
                  </c:pt>
                  <c:pt idx="2">
                    <c:v>Q3</c:v>
                  </c:pt>
                  <c:pt idx="3">
                    <c:v>Q4</c:v>
                  </c:pt>
                  <c:pt idx="4">
                    <c:v>Q1</c:v>
                  </c:pt>
                  <c:pt idx="5">
                    <c:v>Q2</c:v>
                  </c:pt>
                  <c:pt idx="6">
                    <c:v>Q3</c:v>
                  </c:pt>
                  <c:pt idx="7">
                    <c:v>Q4</c:v>
                  </c:pt>
                  <c:pt idx="8">
                    <c:v>Q1*</c:v>
                  </c:pt>
                </c:lvl>
                <c:lvl>
                  <c:pt idx="0">
                    <c:v>2020</c:v>
                  </c:pt>
                  <c:pt idx="4">
                    <c:v>2021</c:v>
                  </c:pt>
                  <c:pt idx="8">
                    <c:v>2022</c:v>
                  </c:pt>
                </c:lvl>
              </c:multiLvlStrCache>
              <c:extLst/>
            </c:multiLvlStrRef>
          </c:cat>
          <c:val>
            <c:numRef>
              <c:f>BDPQ_doprinosi!$AU$34:$BG$34</c:f>
              <c:numCache>
                <c:formatCode>0.0</c:formatCode>
                <c:ptCount val="9"/>
                <c:pt idx="0">
                  <c:v>0.10945963192105811</c:v>
                </c:pt>
                <c:pt idx="1">
                  <c:v>0.12909413699371852</c:v>
                </c:pt>
                <c:pt idx="2">
                  <c:v>0.15324408615082463</c:v>
                </c:pt>
                <c:pt idx="3">
                  <c:v>0.12575708922378709</c:v>
                </c:pt>
                <c:pt idx="4">
                  <c:v>-0.32490299359805785</c:v>
                </c:pt>
                <c:pt idx="5">
                  <c:v>-0.31598191722449909</c:v>
                </c:pt>
                <c:pt idx="6">
                  <c:v>-0.3655762977615063</c:v>
                </c:pt>
                <c:pt idx="7">
                  <c:v>-0.35574150554885098</c:v>
                </c:pt>
                <c:pt idx="8">
                  <c:v>-0.15323030972675949</c:v>
                </c:pt>
              </c:numCache>
              <c:extLst/>
            </c:numRef>
          </c:val>
          <c:extLst>
            <c:ext xmlns:c16="http://schemas.microsoft.com/office/drawing/2014/chart" uri="{C3380CC4-5D6E-409C-BE32-E72D297353CC}">
              <c16:uniqueId val="{00000000-6A6D-47DF-AD6D-15AE2AD0A379}"/>
            </c:ext>
          </c:extLst>
        </c:ser>
        <c:ser>
          <c:idx val="1"/>
          <c:order val="1"/>
          <c:tx>
            <c:strRef>
              <c:f>BDPQ_doprinosi!$R$35</c:f>
              <c:strCache>
                <c:ptCount val="1"/>
                <c:pt idx="0">
                  <c:v>Индустрија</c:v>
                </c:pt>
              </c:strCache>
            </c:strRef>
          </c:tx>
          <c:spPr>
            <a:solidFill>
              <a:srgbClr val="29489A"/>
            </a:solidFill>
            <a:ln>
              <a:noFill/>
            </a:ln>
            <a:effectLst/>
          </c:spPr>
          <c:invertIfNegative val="0"/>
          <c:cat>
            <c:multiLvlStrRef>
              <c:f>BDPQ_doprinosi!$AU$32:$BG$33</c:f>
              <c:multiLvlStrCache>
                <c:ptCount val="9"/>
                <c:lvl>
                  <c:pt idx="0">
                    <c:v>Q1</c:v>
                  </c:pt>
                  <c:pt idx="1">
                    <c:v>Q2</c:v>
                  </c:pt>
                  <c:pt idx="2">
                    <c:v>Q3</c:v>
                  </c:pt>
                  <c:pt idx="3">
                    <c:v>Q4</c:v>
                  </c:pt>
                  <c:pt idx="4">
                    <c:v>Q1</c:v>
                  </c:pt>
                  <c:pt idx="5">
                    <c:v>Q2</c:v>
                  </c:pt>
                  <c:pt idx="6">
                    <c:v>Q3</c:v>
                  </c:pt>
                  <c:pt idx="7">
                    <c:v>Q4</c:v>
                  </c:pt>
                  <c:pt idx="8">
                    <c:v>Q1*</c:v>
                  </c:pt>
                </c:lvl>
                <c:lvl>
                  <c:pt idx="0">
                    <c:v>2020</c:v>
                  </c:pt>
                  <c:pt idx="4">
                    <c:v>2021</c:v>
                  </c:pt>
                  <c:pt idx="8">
                    <c:v>2022</c:v>
                  </c:pt>
                </c:lvl>
              </c:multiLvlStrCache>
              <c:extLst/>
            </c:multiLvlStrRef>
          </c:cat>
          <c:val>
            <c:numRef>
              <c:f>BDPQ_doprinosi!$AU$35:$BG$35</c:f>
              <c:numCache>
                <c:formatCode>0.0</c:formatCode>
                <c:ptCount val="9"/>
                <c:pt idx="0">
                  <c:v>0.84463053850537073</c:v>
                </c:pt>
                <c:pt idx="1">
                  <c:v>-1.5442854194303219</c:v>
                </c:pt>
                <c:pt idx="2">
                  <c:v>0.634097730720525</c:v>
                </c:pt>
                <c:pt idx="3">
                  <c:v>0.27705188908568784</c:v>
                </c:pt>
                <c:pt idx="4">
                  <c:v>0.76516683130603336</c:v>
                </c:pt>
                <c:pt idx="5">
                  <c:v>2.9129774032428788</c:v>
                </c:pt>
                <c:pt idx="6">
                  <c:v>0.45108427410876722</c:v>
                </c:pt>
                <c:pt idx="7">
                  <c:v>0.83051914668913585</c:v>
                </c:pt>
                <c:pt idx="8">
                  <c:v>0.39664780902139368</c:v>
                </c:pt>
              </c:numCache>
              <c:extLst/>
            </c:numRef>
          </c:val>
          <c:extLst>
            <c:ext xmlns:c16="http://schemas.microsoft.com/office/drawing/2014/chart" uri="{C3380CC4-5D6E-409C-BE32-E72D297353CC}">
              <c16:uniqueId val="{00000001-6A6D-47DF-AD6D-15AE2AD0A379}"/>
            </c:ext>
          </c:extLst>
        </c:ser>
        <c:ser>
          <c:idx val="2"/>
          <c:order val="2"/>
          <c:tx>
            <c:strRef>
              <c:f>BDPQ_doprinosi!$R$36</c:f>
              <c:strCache>
                <c:ptCount val="1"/>
                <c:pt idx="0">
                  <c:v>Грађевинарство</c:v>
                </c:pt>
              </c:strCache>
            </c:strRef>
          </c:tx>
          <c:spPr>
            <a:solidFill>
              <a:srgbClr val="2183C4"/>
            </a:solidFill>
            <a:ln>
              <a:noFill/>
            </a:ln>
            <a:effectLst/>
          </c:spPr>
          <c:invertIfNegative val="0"/>
          <c:cat>
            <c:multiLvlStrRef>
              <c:f>BDPQ_doprinosi!$AU$32:$BG$33</c:f>
              <c:multiLvlStrCache>
                <c:ptCount val="9"/>
                <c:lvl>
                  <c:pt idx="0">
                    <c:v>Q1</c:v>
                  </c:pt>
                  <c:pt idx="1">
                    <c:v>Q2</c:v>
                  </c:pt>
                  <c:pt idx="2">
                    <c:v>Q3</c:v>
                  </c:pt>
                  <c:pt idx="3">
                    <c:v>Q4</c:v>
                  </c:pt>
                  <c:pt idx="4">
                    <c:v>Q1</c:v>
                  </c:pt>
                  <c:pt idx="5">
                    <c:v>Q2</c:v>
                  </c:pt>
                  <c:pt idx="6">
                    <c:v>Q3</c:v>
                  </c:pt>
                  <c:pt idx="7">
                    <c:v>Q4</c:v>
                  </c:pt>
                  <c:pt idx="8">
                    <c:v>Q1*</c:v>
                  </c:pt>
                </c:lvl>
                <c:lvl>
                  <c:pt idx="0">
                    <c:v>2020</c:v>
                  </c:pt>
                  <c:pt idx="4">
                    <c:v>2021</c:v>
                  </c:pt>
                  <c:pt idx="8">
                    <c:v>2022</c:v>
                  </c:pt>
                </c:lvl>
              </c:multiLvlStrCache>
              <c:extLst/>
            </c:multiLvlStrRef>
          </c:cat>
          <c:val>
            <c:numRef>
              <c:f>BDPQ_doprinosi!$AU$36:$BG$36</c:f>
              <c:numCache>
                <c:formatCode>0.0</c:formatCode>
                <c:ptCount val="9"/>
                <c:pt idx="0">
                  <c:v>0.87826233939256892</c:v>
                </c:pt>
                <c:pt idx="1">
                  <c:v>-2.8627716885521629E-2</c:v>
                </c:pt>
                <c:pt idx="2">
                  <c:v>-0.97679026254445334</c:v>
                </c:pt>
                <c:pt idx="3">
                  <c:v>-0.5557585869800713</c:v>
                </c:pt>
                <c:pt idx="4">
                  <c:v>0.71556860929287103</c:v>
                </c:pt>
                <c:pt idx="5">
                  <c:v>0.7792999851009732</c:v>
                </c:pt>
                <c:pt idx="6">
                  <c:v>0.86156808731232393</c:v>
                </c:pt>
                <c:pt idx="7">
                  <c:v>0.68656420583560285</c:v>
                </c:pt>
                <c:pt idx="8">
                  <c:v>-0.14077812191356437</c:v>
                </c:pt>
              </c:numCache>
              <c:extLst/>
            </c:numRef>
          </c:val>
          <c:extLst>
            <c:ext xmlns:c16="http://schemas.microsoft.com/office/drawing/2014/chart" uri="{C3380CC4-5D6E-409C-BE32-E72D297353CC}">
              <c16:uniqueId val="{00000002-6A6D-47DF-AD6D-15AE2AD0A379}"/>
            </c:ext>
          </c:extLst>
        </c:ser>
        <c:ser>
          <c:idx val="3"/>
          <c:order val="3"/>
          <c:tx>
            <c:strRef>
              <c:f>BDPQ_doprinosi!$R$37</c:f>
              <c:strCache>
                <c:ptCount val="1"/>
                <c:pt idx="0">
                  <c:v>Услуге</c:v>
                </c:pt>
              </c:strCache>
            </c:strRef>
          </c:tx>
          <c:spPr>
            <a:solidFill>
              <a:srgbClr val="51BBE7"/>
            </a:solidFill>
            <a:ln>
              <a:noFill/>
            </a:ln>
            <a:effectLst/>
          </c:spPr>
          <c:invertIfNegative val="0"/>
          <c:cat>
            <c:multiLvlStrRef>
              <c:f>BDPQ_doprinosi!$AU$32:$BG$33</c:f>
              <c:multiLvlStrCache>
                <c:ptCount val="9"/>
                <c:lvl>
                  <c:pt idx="0">
                    <c:v>Q1</c:v>
                  </c:pt>
                  <c:pt idx="1">
                    <c:v>Q2</c:v>
                  </c:pt>
                  <c:pt idx="2">
                    <c:v>Q3</c:v>
                  </c:pt>
                  <c:pt idx="3">
                    <c:v>Q4</c:v>
                  </c:pt>
                  <c:pt idx="4">
                    <c:v>Q1</c:v>
                  </c:pt>
                  <c:pt idx="5">
                    <c:v>Q2</c:v>
                  </c:pt>
                  <c:pt idx="6">
                    <c:v>Q3</c:v>
                  </c:pt>
                  <c:pt idx="7">
                    <c:v>Q4</c:v>
                  </c:pt>
                  <c:pt idx="8">
                    <c:v>Q1*</c:v>
                  </c:pt>
                </c:lvl>
                <c:lvl>
                  <c:pt idx="0">
                    <c:v>2020</c:v>
                  </c:pt>
                  <c:pt idx="4">
                    <c:v>2021</c:v>
                  </c:pt>
                  <c:pt idx="8">
                    <c:v>2022</c:v>
                  </c:pt>
                </c:lvl>
              </c:multiLvlStrCache>
              <c:extLst/>
            </c:multiLvlStrRef>
          </c:cat>
          <c:val>
            <c:numRef>
              <c:f>BDPQ_doprinosi!$AU$37:$BG$37</c:f>
              <c:numCache>
                <c:formatCode>0.0</c:formatCode>
                <c:ptCount val="9"/>
                <c:pt idx="0">
                  <c:v>2.7279859754897089</c:v>
                </c:pt>
                <c:pt idx="1">
                  <c:v>-3.5402768365577133</c:v>
                </c:pt>
                <c:pt idx="2">
                  <c:v>-0.90975388748599351</c:v>
                </c:pt>
                <c:pt idx="3">
                  <c:v>-0.51408271289906404</c:v>
                </c:pt>
                <c:pt idx="4">
                  <c:v>0.56701116282920094</c:v>
                </c:pt>
                <c:pt idx="5">
                  <c:v>7.575800504142836</c:v>
                </c:pt>
                <c:pt idx="6">
                  <c:v>5.1987578145302038</c:v>
                </c:pt>
                <c:pt idx="7">
                  <c:v>4.5811849597958769</c:v>
                </c:pt>
                <c:pt idx="8">
                  <c:v>3.1869999999999998</c:v>
                </c:pt>
              </c:numCache>
              <c:extLst/>
            </c:numRef>
          </c:val>
          <c:extLst>
            <c:ext xmlns:c16="http://schemas.microsoft.com/office/drawing/2014/chart" uri="{C3380CC4-5D6E-409C-BE32-E72D297353CC}">
              <c16:uniqueId val="{00000003-6A6D-47DF-AD6D-15AE2AD0A379}"/>
            </c:ext>
          </c:extLst>
        </c:ser>
        <c:ser>
          <c:idx val="4"/>
          <c:order val="4"/>
          <c:tx>
            <c:strRef>
              <c:f>BDPQ_doprinosi!$R$38</c:f>
              <c:strCache>
                <c:ptCount val="1"/>
                <c:pt idx="0">
                  <c:v>Нето порези</c:v>
                </c:pt>
              </c:strCache>
            </c:strRef>
          </c:tx>
          <c:spPr>
            <a:solidFill>
              <a:srgbClr val="9ED1E6"/>
            </a:solidFill>
            <a:ln>
              <a:noFill/>
            </a:ln>
            <a:effectLst/>
          </c:spPr>
          <c:invertIfNegative val="0"/>
          <c:cat>
            <c:multiLvlStrRef>
              <c:f>BDPQ_doprinosi!$AU$32:$BG$33</c:f>
              <c:multiLvlStrCache>
                <c:ptCount val="9"/>
                <c:lvl>
                  <c:pt idx="0">
                    <c:v>Q1</c:v>
                  </c:pt>
                  <c:pt idx="1">
                    <c:v>Q2</c:v>
                  </c:pt>
                  <c:pt idx="2">
                    <c:v>Q3</c:v>
                  </c:pt>
                  <c:pt idx="3">
                    <c:v>Q4</c:v>
                  </c:pt>
                  <c:pt idx="4">
                    <c:v>Q1</c:v>
                  </c:pt>
                  <c:pt idx="5">
                    <c:v>Q2</c:v>
                  </c:pt>
                  <c:pt idx="6">
                    <c:v>Q3</c:v>
                  </c:pt>
                  <c:pt idx="7">
                    <c:v>Q4</c:v>
                  </c:pt>
                  <c:pt idx="8">
                    <c:v>Q1*</c:v>
                  </c:pt>
                </c:lvl>
                <c:lvl>
                  <c:pt idx="0">
                    <c:v>2020</c:v>
                  </c:pt>
                  <c:pt idx="4">
                    <c:v>2021</c:v>
                  </c:pt>
                  <c:pt idx="8">
                    <c:v>2022</c:v>
                  </c:pt>
                </c:lvl>
              </c:multiLvlStrCache>
              <c:extLst/>
            </c:multiLvlStrRef>
          </c:cat>
          <c:val>
            <c:numRef>
              <c:f>BDPQ_doprinosi!$AU$38:$BG$38</c:f>
              <c:numCache>
                <c:formatCode>0.0</c:formatCode>
                <c:ptCount val="9"/>
                <c:pt idx="0">
                  <c:v>0.67325525624327121</c:v>
                </c:pt>
                <c:pt idx="1">
                  <c:v>-1.2701835391377898</c:v>
                </c:pt>
                <c:pt idx="2">
                  <c:v>-0.24985623104886354</c:v>
                </c:pt>
                <c:pt idx="3">
                  <c:v>-0.33324732552147246</c:v>
                </c:pt>
                <c:pt idx="4">
                  <c:v>-0.204794955971799</c:v>
                </c:pt>
                <c:pt idx="5">
                  <c:v>2.790320735598355</c:v>
                </c:pt>
                <c:pt idx="6">
                  <c:v>1.4694907462379452</c:v>
                </c:pt>
                <c:pt idx="7">
                  <c:v>1.2817780692916916</c:v>
                </c:pt>
                <c:pt idx="8">
                  <c:v>0.96855519072364249</c:v>
                </c:pt>
              </c:numCache>
              <c:extLst/>
            </c:numRef>
          </c:val>
          <c:extLst>
            <c:ext xmlns:c16="http://schemas.microsoft.com/office/drawing/2014/chart" uri="{C3380CC4-5D6E-409C-BE32-E72D297353CC}">
              <c16:uniqueId val="{00000004-6A6D-47DF-AD6D-15AE2AD0A379}"/>
            </c:ext>
          </c:extLst>
        </c:ser>
        <c:dLbls>
          <c:showLegendKey val="0"/>
          <c:showVal val="0"/>
          <c:showCatName val="0"/>
          <c:showSerName val="0"/>
          <c:showPercent val="0"/>
          <c:showBubbleSize val="0"/>
        </c:dLbls>
        <c:gapWidth val="60"/>
        <c:overlap val="100"/>
        <c:axId val="1768857792"/>
        <c:axId val="1768858336"/>
      </c:barChart>
      <c:lineChart>
        <c:grouping val="standard"/>
        <c:varyColors val="0"/>
        <c:ser>
          <c:idx val="5"/>
          <c:order val="5"/>
          <c:tx>
            <c:strRef>
              <c:f>BDPQ_doprinosi!$R$39</c:f>
              <c:strCache>
                <c:ptCount val="1"/>
                <c:pt idx="0">
                  <c:v>Реални раст БДП</c:v>
                </c:pt>
              </c:strCache>
            </c:strRef>
          </c:tx>
          <c:spPr>
            <a:ln w="28575" cap="rnd">
              <a:solidFill>
                <a:srgbClr val="FF0000"/>
              </a:solidFill>
              <a:round/>
            </a:ln>
            <a:effectLst/>
          </c:spPr>
          <c:marker>
            <c:symbol val="none"/>
          </c:marker>
          <c:dLbls>
            <c:dLbl>
              <c:idx val="1"/>
              <c:layout>
                <c:manualLayout>
                  <c:x val="-6.6736293379994163E-2"/>
                  <c:y val="3.9002696361662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A6D-47DF-AD6D-15AE2AD0A379}"/>
                </c:ext>
              </c:extLst>
            </c:dLbl>
            <c:dLbl>
              <c:idx val="2"/>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A6D-47DF-AD6D-15AE2AD0A379}"/>
                </c:ext>
              </c:extLst>
            </c:dLbl>
            <c:dLbl>
              <c:idx val="3"/>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A6D-47DF-AD6D-15AE2AD0A379}"/>
                </c:ext>
              </c:extLst>
            </c:dLbl>
            <c:dLbl>
              <c:idx val="4"/>
              <c:layout>
                <c:manualLayout>
                  <c:x val="-8.4733887430737828E-2"/>
                  <c:y val="-4.6203673984902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A6D-47DF-AD6D-15AE2AD0A379}"/>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Arial" panose="020B0604020202020204" pitchFamily="34" charset="0"/>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BDPQ_doprinosi!$AU$32:$BG$33</c:f>
              <c:multiLvlStrCache>
                <c:ptCount val="9"/>
                <c:lvl>
                  <c:pt idx="0">
                    <c:v>Q1</c:v>
                  </c:pt>
                  <c:pt idx="1">
                    <c:v>Q2</c:v>
                  </c:pt>
                  <c:pt idx="2">
                    <c:v>Q3</c:v>
                  </c:pt>
                  <c:pt idx="3">
                    <c:v>Q4</c:v>
                  </c:pt>
                  <c:pt idx="4">
                    <c:v>Q1</c:v>
                  </c:pt>
                  <c:pt idx="5">
                    <c:v>Q2</c:v>
                  </c:pt>
                  <c:pt idx="6">
                    <c:v>Q3</c:v>
                  </c:pt>
                  <c:pt idx="7">
                    <c:v>Q4</c:v>
                  </c:pt>
                  <c:pt idx="8">
                    <c:v>Q1*</c:v>
                  </c:pt>
                </c:lvl>
                <c:lvl>
                  <c:pt idx="0">
                    <c:v>2020</c:v>
                  </c:pt>
                  <c:pt idx="4">
                    <c:v>2021</c:v>
                  </c:pt>
                  <c:pt idx="8">
                    <c:v>2022</c:v>
                  </c:pt>
                </c:lvl>
              </c:multiLvlStrCache>
              <c:extLst/>
            </c:multiLvlStrRef>
          </c:cat>
          <c:val>
            <c:numRef>
              <c:f>BDPQ_doprinosi!$AU$39:$BG$39</c:f>
              <c:numCache>
                <c:formatCode>0.0</c:formatCode>
                <c:ptCount val="9"/>
                <c:pt idx="0">
                  <c:v>5.2335937415520277</c:v>
                </c:pt>
                <c:pt idx="1">
                  <c:v>-6.2542793750176315</c:v>
                </c:pt>
                <c:pt idx="2">
                  <c:v>-1.3490585642079083</c:v>
                </c:pt>
                <c:pt idx="3">
                  <c:v>-1.0002796470910482</c:v>
                </c:pt>
                <c:pt idx="4">
                  <c:v>1.5180486538581874</c:v>
                </c:pt>
                <c:pt idx="5">
                  <c:v>13.742416710860567</c:v>
                </c:pt>
                <c:pt idx="6">
                  <c:v>7.6153246244277142</c:v>
                </c:pt>
                <c:pt idx="7">
                  <c:v>7.0243048760633542</c:v>
                </c:pt>
                <c:pt idx="8">
                  <c:v>4.26</c:v>
                </c:pt>
              </c:numCache>
              <c:extLst/>
            </c:numRef>
          </c:val>
          <c:smooth val="0"/>
          <c:extLst>
            <c:ext xmlns:c16="http://schemas.microsoft.com/office/drawing/2014/chart" uri="{C3380CC4-5D6E-409C-BE32-E72D297353CC}">
              <c16:uniqueId val="{00000009-6A6D-47DF-AD6D-15AE2AD0A379}"/>
            </c:ext>
          </c:extLst>
        </c:ser>
        <c:dLbls>
          <c:showLegendKey val="0"/>
          <c:showVal val="0"/>
          <c:showCatName val="0"/>
          <c:showSerName val="0"/>
          <c:showPercent val="0"/>
          <c:showBubbleSize val="0"/>
        </c:dLbls>
        <c:marker val="1"/>
        <c:smooth val="0"/>
        <c:axId val="1768857792"/>
        <c:axId val="1768858336"/>
      </c:lineChart>
      <c:catAx>
        <c:axId val="1768857792"/>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768858336"/>
        <c:crosses val="autoZero"/>
        <c:auto val="1"/>
        <c:lblAlgn val="ctr"/>
        <c:lblOffset val="0"/>
        <c:noMultiLvlLbl val="0"/>
      </c:catAx>
      <c:valAx>
        <c:axId val="1768858336"/>
        <c:scaling>
          <c:orientation val="minMax"/>
          <c:min val="-8"/>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768857792"/>
        <c:crosses val="autoZero"/>
        <c:crossBetween val="between"/>
        <c:majorUnit val="4"/>
      </c:valAx>
      <c:spPr>
        <a:noFill/>
        <a:ln>
          <a:noFill/>
        </a:ln>
        <a:effectLst/>
      </c:spPr>
    </c:plotArea>
    <c:legend>
      <c:legendPos val="b"/>
      <c:layout>
        <c:manualLayout>
          <c:xMode val="edge"/>
          <c:yMode val="edge"/>
          <c:x val="0"/>
          <c:y val="0.84945769449176611"/>
          <c:w val="1"/>
          <c:h val="0.1475728752602688"/>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2"/>
              </a:solidFill>
              <a:latin typeface="+mn-lt"/>
              <a:ea typeface="+mn-ea"/>
              <a:cs typeface="Arial" panose="020B0604020202020204" pitchFamily="34" charset="0"/>
            </a:defRPr>
          </a:pPr>
          <a:endParaRPr lang="sr-Latn-R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sr-Latn-RS"/>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3.0334528263489927E-2"/>
          <c:w val="0.90740810185185183"/>
          <c:h val="0.66531310822727674"/>
        </c:manualLayout>
      </c:layout>
      <c:barChart>
        <c:barDir val="col"/>
        <c:grouping val="stacked"/>
        <c:varyColors val="0"/>
        <c:ser>
          <c:idx val="2"/>
          <c:order val="0"/>
          <c:tx>
            <c:strRef>
              <c:f>BDPQ_doprinosi!$R$8</c:f>
              <c:strCache>
                <c:ptCount val="1"/>
                <c:pt idx="0">
                  <c:v>Приватна потрошња</c:v>
                </c:pt>
              </c:strCache>
            </c:strRef>
          </c:tx>
          <c:spPr>
            <a:solidFill>
              <a:srgbClr val="10103C"/>
            </a:solidFill>
            <a:ln>
              <a:noFill/>
            </a:ln>
            <a:effectLst/>
          </c:spPr>
          <c:invertIfNegative val="0"/>
          <c:cat>
            <c:multiLvlStrRef>
              <c:f>BDPQ_doprinosi!$AU$5:$BG$6</c:f>
              <c:multiLvlStrCache>
                <c:ptCount val="9"/>
                <c:lvl>
                  <c:pt idx="0">
                    <c:v>Q1</c:v>
                  </c:pt>
                  <c:pt idx="1">
                    <c:v>Q2</c:v>
                  </c:pt>
                  <c:pt idx="2">
                    <c:v>Q3</c:v>
                  </c:pt>
                  <c:pt idx="3">
                    <c:v>Q4</c:v>
                  </c:pt>
                  <c:pt idx="4">
                    <c:v>Q1</c:v>
                  </c:pt>
                  <c:pt idx="5">
                    <c:v>Q2</c:v>
                  </c:pt>
                  <c:pt idx="6">
                    <c:v>Q3</c:v>
                  </c:pt>
                  <c:pt idx="7">
                    <c:v>Q4</c:v>
                  </c:pt>
                  <c:pt idx="8">
                    <c:v>Q1*</c:v>
                  </c:pt>
                </c:lvl>
                <c:lvl>
                  <c:pt idx="0">
                    <c:v>2020</c:v>
                  </c:pt>
                  <c:pt idx="4">
                    <c:v>2021</c:v>
                  </c:pt>
                  <c:pt idx="8">
                    <c:v>2022</c:v>
                  </c:pt>
                </c:lvl>
              </c:multiLvlStrCache>
              <c:extLst/>
            </c:multiLvlStrRef>
          </c:cat>
          <c:val>
            <c:numRef>
              <c:f>BDPQ_doprinosi!$AU$8:$BG$8</c:f>
              <c:numCache>
                <c:formatCode>0.0</c:formatCode>
                <c:ptCount val="9"/>
                <c:pt idx="0">
                  <c:v>2.3609173272514181</c:v>
                </c:pt>
                <c:pt idx="1">
                  <c:v>-5.554500623382693</c:v>
                </c:pt>
                <c:pt idx="2">
                  <c:v>-0.59036840157615456</c:v>
                </c:pt>
                <c:pt idx="3">
                  <c:v>-1.2893887042080963</c:v>
                </c:pt>
                <c:pt idx="4">
                  <c:v>-1.2240696146894994</c:v>
                </c:pt>
                <c:pt idx="5">
                  <c:v>11.634019349384381</c:v>
                </c:pt>
                <c:pt idx="6">
                  <c:v>5.4383898658716783</c:v>
                </c:pt>
                <c:pt idx="7">
                  <c:v>4.7659139312453718</c:v>
                </c:pt>
                <c:pt idx="8">
                  <c:v>5.1861016067617811</c:v>
                </c:pt>
              </c:numCache>
              <c:extLst/>
            </c:numRef>
          </c:val>
          <c:extLst>
            <c:ext xmlns:c16="http://schemas.microsoft.com/office/drawing/2014/chart" uri="{C3380CC4-5D6E-409C-BE32-E72D297353CC}">
              <c16:uniqueId val="{00000000-4706-4752-801F-36C504118465}"/>
            </c:ext>
          </c:extLst>
        </c:ser>
        <c:ser>
          <c:idx val="3"/>
          <c:order val="1"/>
          <c:tx>
            <c:strRef>
              <c:f>BDPQ_doprinosi!$R$9</c:f>
              <c:strCache>
                <c:ptCount val="1"/>
                <c:pt idx="0">
                  <c:v>Државна потрошња</c:v>
                </c:pt>
              </c:strCache>
            </c:strRef>
          </c:tx>
          <c:spPr>
            <a:solidFill>
              <a:srgbClr val="29489A"/>
            </a:solidFill>
            <a:ln>
              <a:noFill/>
            </a:ln>
            <a:effectLst/>
          </c:spPr>
          <c:invertIfNegative val="0"/>
          <c:cat>
            <c:multiLvlStrRef>
              <c:f>BDPQ_doprinosi!$AU$5:$BG$6</c:f>
              <c:multiLvlStrCache>
                <c:ptCount val="9"/>
                <c:lvl>
                  <c:pt idx="0">
                    <c:v>Q1</c:v>
                  </c:pt>
                  <c:pt idx="1">
                    <c:v>Q2</c:v>
                  </c:pt>
                  <c:pt idx="2">
                    <c:v>Q3</c:v>
                  </c:pt>
                  <c:pt idx="3">
                    <c:v>Q4</c:v>
                  </c:pt>
                  <c:pt idx="4">
                    <c:v>Q1</c:v>
                  </c:pt>
                  <c:pt idx="5">
                    <c:v>Q2</c:v>
                  </c:pt>
                  <c:pt idx="6">
                    <c:v>Q3</c:v>
                  </c:pt>
                  <c:pt idx="7">
                    <c:v>Q4</c:v>
                  </c:pt>
                  <c:pt idx="8">
                    <c:v>Q1*</c:v>
                  </c:pt>
                </c:lvl>
                <c:lvl>
                  <c:pt idx="0">
                    <c:v>2020</c:v>
                  </c:pt>
                  <c:pt idx="4">
                    <c:v>2021</c:v>
                  </c:pt>
                  <c:pt idx="8">
                    <c:v>2022</c:v>
                  </c:pt>
                </c:lvl>
              </c:multiLvlStrCache>
              <c:extLst/>
            </c:multiLvlStrRef>
          </c:cat>
          <c:val>
            <c:numRef>
              <c:f>BDPQ_doprinosi!$AU$9:$BG$9</c:f>
              <c:numCache>
                <c:formatCode>0.0</c:formatCode>
                <c:ptCount val="9"/>
                <c:pt idx="0">
                  <c:v>1.4664305677866081</c:v>
                </c:pt>
                <c:pt idx="1">
                  <c:v>0.9156638085497868</c:v>
                </c:pt>
                <c:pt idx="2">
                  <c:v>-0.52189454973853677</c:v>
                </c:pt>
                <c:pt idx="3">
                  <c:v>0.14888767194466956</c:v>
                </c:pt>
                <c:pt idx="4">
                  <c:v>3.1003972516476561E-2</c:v>
                </c:pt>
                <c:pt idx="5">
                  <c:v>-0.53702298692783357</c:v>
                </c:pt>
                <c:pt idx="6">
                  <c:v>1.2540499920649173</c:v>
                </c:pt>
                <c:pt idx="7">
                  <c:v>0.99530696533084384</c:v>
                </c:pt>
                <c:pt idx="8">
                  <c:v>0.31841408136169408</c:v>
                </c:pt>
              </c:numCache>
              <c:extLst/>
            </c:numRef>
          </c:val>
          <c:extLst>
            <c:ext xmlns:c16="http://schemas.microsoft.com/office/drawing/2014/chart" uri="{C3380CC4-5D6E-409C-BE32-E72D297353CC}">
              <c16:uniqueId val="{00000001-4706-4752-801F-36C504118465}"/>
            </c:ext>
          </c:extLst>
        </c:ser>
        <c:ser>
          <c:idx val="1"/>
          <c:order val="2"/>
          <c:tx>
            <c:strRef>
              <c:f>BDPQ_doprinosi!$R$10</c:f>
              <c:strCache>
                <c:ptCount val="1"/>
                <c:pt idx="0">
                  <c:v>Инвестиције</c:v>
                </c:pt>
              </c:strCache>
            </c:strRef>
          </c:tx>
          <c:spPr>
            <a:solidFill>
              <a:srgbClr val="2183C4"/>
            </a:solidFill>
            <a:ln>
              <a:noFill/>
            </a:ln>
            <a:effectLst/>
          </c:spPr>
          <c:invertIfNegative val="0"/>
          <c:cat>
            <c:multiLvlStrRef>
              <c:f>BDPQ_doprinosi!$AU$5:$BG$6</c:f>
              <c:multiLvlStrCache>
                <c:ptCount val="9"/>
                <c:lvl>
                  <c:pt idx="0">
                    <c:v>Q1</c:v>
                  </c:pt>
                  <c:pt idx="1">
                    <c:v>Q2</c:v>
                  </c:pt>
                  <c:pt idx="2">
                    <c:v>Q3</c:v>
                  </c:pt>
                  <c:pt idx="3">
                    <c:v>Q4</c:v>
                  </c:pt>
                  <c:pt idx="4">
                    <c:v>Q1</c:v>
                  </c:pt>
                  <c:pt idx="5">
                    <c:v>Q2</c:v>
                  </c:pt>
                  <c:pt idx="6">
                    <c:v>Q3</c:v>
                  </c:pt>
                  <c:pt idx="7">
                    <c:v>Q4</c:v>
                  </c:pt>
                  <c:pt idx="8">
                    <c:v>Q1*</c:v>
                  </c:pt>
                </c:lvl>
                <c:lvl>
                  <c:pt idx="0">
                    <c:v>2020</c:v>
                  </c:pt>
                  <c:pt idx="4">
                    <c:v>2021</c:v>
                  </c:pt>
                  <c:pt idx="8">
                    <c:v>2022</c:v>
                  </c:pt>
                </c:lvl>
              </c:multiLvlStrCache>
              <c:extLst/>
            </c:multiLvlStrRef>
          </c:cat>
          <c:val>
            <c:numRef>
              <c:f>BDPQ_doprinosi!$AU$10:$BG$10</c:f>
              <c:numCache>
                <c:formatCode>0.0</c:formatCode>
                <c:ptCount val="9"/>
                <c:pt idx="0">
                  <c:v>2.4984314576361735</c:v>
                </c:pt>
                <c:pt idx="1">
                  <c:v>-2.3541758849095191</c:v>
                </c:pt>
                <c:pt idx="2">
                  <c:v>-0.77373905502813822</c:v>
                </c:pt>
                <c:pt idx="3">
                  <c:v>-0.85228075127421699</c:v>
                </c:pt>
                <c:pt idx="4">
                  <c:v>1.6526482305268166</c:v>
                </c:pt>
                <c:pt idx="5">
                  <c:v>4.2328366755319555</c:v>
                </c:pt>
                <c:pt idx="6">
                  <c:v>2.6299315372622414</c:v>
                </c:pt>
                <c:pt idx="7">
                  <c:v>2.2831198257963079</c:v>
                </c:pt>
                <c:pt idx="8">
                  <c:v>0</c:v>
                </c:pt>
              </c:numCache>
              <c:extLst/>
            </c:numRef>
          </c:val>
          <c:extLst>
            <c:ext xmlns:c16="http://schemas.microsoft.com/office/drawing/2014/chart" uri="{C3380CC4-5D6E-409C-BE32-E72D297353CC}">
              <c16:uniqueId val="{00000002-4706-4752-801F-36C504118465}"/>
            </c:ext>
          </c:extLst>
        </c:ser>
        <c:ser>
          <c:idx val="0"/>
          <c:order val="3"/>
          <c:tx>
            <c:strRef>
              <c:f>BDPQ_doprinosi!$R$11</c:f>
              <c:strCache>
                <c:ptCount val="1"/>
                <c:pt idx="0">
                  <c:v>Нето извоз</c:v>
                </c:pt>
              </c:strCache>
            </c:strRef>
          </c:tx>
          <c:spPr>
            <a:solidFill>
              <a:srgbClr val="51BBE7"/>
            </a:solidFill>
            <a:ln>
              <a:noFill/>
            </a:ln>
            <a:effectLst/>
          </c:spPr>
          <c:invertIfNegative val="0"/>
          <c:cat>
            <c:multiLvlStrRef>
              <c:f>BDPQ_doprinosi!$AU$5:$BG$6</c:f>
              <c:multiLvlStrCache>
                <c:ptCount val="9"/>
                <c:lvl>
                  <c:pt idx="0">
                    <c:v>Q1</c:v>
                  </c:pt>
                  <c:pt idx="1">
                    <c:v>Q2</c:v>
                  </c:pt>
                  <c:pt idx="2">
                    <c:v>Q3</c:v>
                  </c:pt>
                  <c:pt idx="3">
                    <c:v>Q4</c:v>
                  </c:pt>
                  <c:pt idx="4">
                    <c:v>Q1</c:v>
                  </c:pt>
                  <c:pt idx="5">
                    <c:v>Q2</c:v>
                  </c:pt>
                  <c:pt idx="6">
                    <c:v>Q3</c:v>
                  </c:pt>
                  <c:pt idx="7">
                    <c:v>Q4</c:v>
                  </c:pt>
                  <c:pt idx="8">
                    <c:v>Q1*</c:v>
                  </c:pt>
                </c:lvl>
                <c:lvl>
                  <c:pt idx="0">
                    <c:v>2020</c:v>
                  </c:pt>
                  <c:pt idx="4">
                    <c:v>2021</c:v>
                  </c:pt>
                  <c:pt idx="8">
                    <c:v>2022</c:v>
                  </c:pt>
                </c:lvl>
              </c:multiLvlStrCache>
              <c:extLst/>
            </c:multiLvlStrRef>
          </c:cat>
          <c:val>
            <c:numRef>
              <c:f>BDPQ_doprinosi!$AU$11:$BG$11</c:f>
              <c:numCache>
                <c:formatCode>0.0</c:formatCode>
                <c:ptCount val="9"/>
                <c:pt idx="0">
                  <c:v>-1.9336323733564069</c:v>
                </c:pt>
                <c:pt idx="1">
                  <c:v>2.1789389357389783</c:v>
                </c:pt>
                <c:pt idx="2">
                  <c:v>-1.80100051162925</c:v>
                </c:pt>
                <c:pt idx="3">
                  <c:v>1.5821044882419293</c:v>
                </c:pt>
                <c:pt idx="4">
                  <c:v>4.2732452622432699</c:v>
                </c:pt>
                <c:pt idx="5">
                  <c:v>-6.4314870667108686</c:v>
                </c:pt>
                <c:pt idx="6">
                  <c:v>-2.1422542682403467</c:v>
                </c:pt>
                <c:pt idx="7">
                  <c:v>-2.0953829215733304</c:v>
                </c:pt>
                <c:pt idx="8">
                  <c:v>-6.5043061774866429</c:v>
                </c:pt>
              </c:numCache>
              <c:extLst/>
            </c:numRef>
          </c:val>
          <c:extLst>
            <c:ext xmlns:c16="http://schemas.microsoft.com/office/drawing/2014/chart" uri="{C3380CC4-5D6E-409C-BE32-E72D297353CC}">
              <c16:uniqueId val="{00000003-4706-4752-801F-36C504118465}"/>
            </c:ext>
          </c:extLst>
        </c:ser>
        <c:ser>
          <c:idx val="4"/>
          <c:order val="4"/>
          <c:tx>
            <c:strRef>
              <c:f>BDPQ_doprinosi!$R$12</c:f>
              <c:strCache>
                <c:ptCount val="1"/>
                <c:pt idx="0">
                  <c:v>Промена у залихама</c:v>
                </c:pt>
              </c:strCache>
            </c:strRef>
          </c:tx>
          <c:spPr>
            <a:solidFill>
              <a:srgbClr val="9ED1E6"/>
            </a:solidFill>
            <a:ln>
              <a:noFill/>
            </a:ln>
            <a:effectLst/>
          </c:spPr>
          <c:invertIfNegative val="0"/>
          <c:cat>
            <c:multiLvlStrRef>
              <c:f>BDPQ_doprinosi!$AU$5:$BG$6</c:f>
              <c:multiLvlStrCache>
                <c:ptCount val="9"/>
                <c:lvl>
                  <c:pt idx="0">
                    <c:v>Q1</c:v>
                  </c:pt>
                  <c:pt idx="1">
                    <c:v>Q2</c:v>
                  </c:pt>
                  <c:pt idx="2">
                    <c:v>Q3</c:v>
                  </c:pt>
                  <c:pt idx="3">
                    <c:v>Q4</c:v>
                  </c:pt>
                  <c:pt idx="4">
                    <c:v>Q1</c:v>
                  </c:pt>
                  <c:pt idx="5">
                    <c:v>Q2</c:v>
                  </c:pt>
                  <c:pt idx="6">
                    <c:v>Q3</c:v>
                  </c:pt>
                  <c:pt idx="7">
                    <c:v>Q4</c:v>
                  </c:pt>
                  <c:pt idx="8">
                    <c:v>Q1*</c:v>
                  </c:pt>
                </c:lvl>
                <c:lvl>
                  <c:pt idx="0">
                    <c:v>2020</c:v>
                  </c:pt>
                  <c:pt idx="4">
                    <c:v>2021</c:v>
                  </c:pt>
                  <c:pt idx="8">
                    <c:v>2022</c:v>
                  </c:pt>
                </c:lvl>
              </c:multiLvlStrCache>
              <c:extLst/>
            </c:multiLvlStrRef>
          </c:cat>
          <c:val>
            <c:numRef>
              <c:f>BDPQ_doprinosi!$AU$12:$BG$12</c:f>
              <c:numCache>
                <c:formatCode>0.0</c:formatCode>
                <c:ptCount val="9"/>
                <c:pt idx="0">
                  <c:v>0.84144676223425208</c:v>
                </c:pt>
                <c:pt idx="1">
                  <c:v>-1.4402056110141928</c:v>
                </c:pt>
                <c:pt idx="2">
                  <c:v>2.33794395376417</c:v>
                </c:pt>
                <c:pt idx="3">
                  <c:v>-0.58960235179533926</c:v>
                </c:pt>
                <c:pt idx="4">
                  <c:v>-3.2147791967388746</c:v>
                </c:pt>
                <c:pt idx="5">
                  <c:v>4.8440707395829321</c:v>
                </c:pt>
                <c:pt idx="6">
                  <c:v>0.43520749746921261</c:v>
                </c:pt>
                <c:pt idx="7">
                  <c:v>1.0753470752641761</c:v>
                </c:pt>
                <c:pt idx="8">
                  <c:v>5.2997904893631764</c:v>
                </c:pt>
              </c:numCache>
              <c:extLst/>
            </c:numRef>
          </c:val>
          <c:extLst>
            <c:ext xmlns:c16="http://schemas.microsoft.com/office/drawing/2014/chart" uri="{C3380CC4-5D6E-409C-BE32-E72D297353CC}">
              <c16:uniqueId val="{00000004-4706-4752-801F-36C504118465}"/>
            </c:ext>
          </c:extLst>
        </c:ser>
        <c:dLbls>
          <c:showLegendKey val="0"/>
          <c:showVal val="0"/>
          <c:showCatName val="0"/>
          <c:showSerName val="0"/>
          <c:showPercent val="0"/>
          <c:showBubbleSize val="0"/>
        </c:dLbls>
        <c:gapWidth val="60"/>
        <c:overlap val="100"/>
        <c:axId val="1768857248"/>
        <c:axId val="1768855072"/>
      </c:barChart>
      <c:lineChart>
        <c:grouping val="standard"/>
        <c:varyColors val="0"/>
        <c:ser>
          <c:idx val="5"/>
          <c:order val="5"/>
          <c:tx>
            <c:strRef>
              <c:f>BDPQ_doprinosi!$R$13</c:f>
              <c:strCache>
                <c:ptCount val="1"/>
                <c:pt idx="0">
                  <c:v>Реални раст БДП</c:v>
                </c:pt>
              </c:strCache>
            </c:strRef>
          </c:tx>
          <c:spPr>
            <a:ln w="28575" cap="rnd">
              <a:solidFill>
                <a:srgbClr val="FF0000"/>
              </a:solidFill>
              <a:round/>
            </a:ln>
            <a:effectLst/>
          </c:spPr>
          <c:marker>
            <c:symbol val="none"/>
          </c:marker>
          <c:dLbls>
            <c:dLbl>
              <c:idx val="1"/>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706-4752-801F-36C504118465}"/>
                </c:ext>
              </c:extLst>
            </c:dLbl>
            <c:dLbl>
              <c:idx val="2"/>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706-4752-801F-36C504118465}"/>
                </c:ext>
              </c:extLst>
            </c:dLbl>
            <c:dLbl>
              <c:idx val="3"/>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706-4752-801F-36C504118465}"/>
                </c:ext>
              </c:extLst>
            </c:dLbl>
            <c:dLbl>
              <c:idx val="4"/>
              <c:layout>
                <c:manualLayout>
                  <c:x val="-7.5474628171478569E-2"/>
                  <c:y val="-5.4495004198663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376-4A98-9BBD-5D4F297FDE71}"/>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Arial" panose="020B0604020202020204" pitchFamily="34" charset="0"/>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BDPQ_doprinosi!$AU$5:$BG$6</c:f>
              <c:multiLvlStrCache>
                <c:ptCount val="9"/>
                <c:lvl>
                  <c:pt idx="0">
                    <c:v>Q1</c:v>
                  </c:pt>
                  <c:pt idx="1">
                    <c:v>Q2</c:v>
                  </c:pt>
                  <c:pt idx="2">
                    <c:v>Q3</c:v>
                  </c:pt>
                  <c:pt idx="3">
                    <c:v>Q4</c:v>
                  </c:pt>
                  <c:pt idx="4">
                    <c:v>Q1</c:v>
                  </c:pt>
                  <c:pt idx="5">
                    <c:v>Q2</c:v>
                  </c:pt>
                  <c:pt idx="6">
                    <c:v>Q3</c:v>
                  </c:pt>
                  <c:pt idx="7">
                    <c:v>Q4</c:v>
                  </c:pt>
                  <c:pt idx="8">
                    <c:v>Q1*</c:v>
                  </c:pt>
                </c:lvl>
                <c:lvl>
                  <c:pt idx="0">
                    <c:v>2020</c:v>
                  </c:pt>
                  <c:pt idx="4">
                    <c:v>2021</c:v>
                  </c:pt>
                  <c:pt idx="8">
                    <c:v>2022</c:v>
                  </c:pt>
                </c:lvl>
              </c:multiLvlStrCache>
              <c:extLst/>
            </c:multiLvlStrRef>
          </c:cat>
          <c:val>
            <c:numRef>
              <c:f>BDPQ_doprinosi!$AU$13:$BG$13</c:f>
              <c:numCache>
                <c:formatCode>0.0</c:formatCode>
                <c:ptCount val="9"/>
                <c:pt idx="0">
                  <c:v>5.2335937415520446</c:v>
                </c:pt>
                <c:pt idx="1">
                  <c:v>-6.2542793750176395</c:v>
                </c:pt>
                <c:pt idx="2">
                  <c:v>-1.3490585642079098</c:v>
                </c:pt>
                <c:pt idx="3">
                  <c:v>-1.0002796470910538</c:v>
                </c:pt>
                <c:pt idx="4">
                  <c:v>1.518048653858189</c:v>
                </c:pt>
                <c:pt idx="5">
                  <c:v>13.742416710860567</c:v>
                </c:pt>
                <c:pt idx="6">
                  <c:v>7.6153246244277035</c:v>
                </c:pt>
                <c:pt idx="7">
                  <c:v>7.0243048760633684</c:v>
                </c:pt>
                <c:pt idx="8">
                  <c:v>4.26</c:v>
                </c:pt>
              </c:numCache>
              <c:extLst/>
            </c:numRef>
          </c:val>
          <c:smooth val="0"/>
          <c:extLst>
            <c:ext xmlns:c16="http://schemas.microsoft.com/office/drawing/2014/chart" uri="{C3380CC4-5D6E-409C-BE32-E72D297353CC}">
              <c16:uniqueId val="{00000008-4706-4752-801F-36C504118465}"/>
            </c:ext>
          </c:extLst>
        </c:ser>
        <c:dLbls>
          <c:showLegendKey val="0"/>
          <c:showVal val="0"/>
          <c:showCatName val="0"/>
          <c:showSerName val="0"/>
          <c:showPercent val="0"/>
          <c:showBubbleSize val="0"/>
        </c:dLbls>
        <c:marker val="1"/>
        <c:smooth val="0"/>
        <c:axId val="1768857248"/>
        <c:axId val="1768855072"/>
      </c:lineChart>
      <c:catAx>
        <c:axId val="1768857248"/>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768855072"/>
        <c:crosses val="autoZero"/>
        <c:auto val="1"/>
        <c:lblAlgn val="ctr"/>
        <c:lblOffset val="0"/>
        <c:noMultiLvlLbl val="0"/>
      </c:catAx>
      <c:valAx>
        <c:axId val="1768855072"/>
        <c:scaling>
          <c:orientation val="minMax"/>
          <c:max val="22"/>
          <c:min val="-12"/>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768857248"/>
        <c:crosses val="autoZero"/>
        <c:crossBetween val="between"/>
        <c:majorUnit val="4"/>
      </c:valAx>
      <c:spPr>
        <a:noFill/>
        <a:ln>
          <a:noFill/>
        </a:ln>
        <a:effectLst/>
      </c:spPr>
    </c:plotArea>
    <c:legend>
      <c:legendPos val="b"/>
      <c:layout>
        <c:manualLayout>
          <c:xMode val="edge"/>
          <c:yMode val="edge"/>
          <c:x val="0"/>
          <c:y val="0.83244109195402283"/>
          <c:w val="1"/>
          <c:h val="0.1675589080459770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sr-Latn-RS"/>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3.6634496318212327E-2"/>
          <c:w val="0.90740810185185183"/>
          <c:h val="0.59856950654277452"/>
        </c:manualLayout>
      </c:layout>
      <c:barChart>
        <c:barDir val="col"/>
        <c:grouping val="stacked"/>
        <c:varyColors val="0"/>
        <c:ser>
          <c:idx val="0"/>
          <c:order val="1"/>
          <c:tx>
            <c:strRef>
              <c:f>IPAS_doprinosi!$D$11</c:f>
              <c:strCache>
                <c:ptCount val="1"/>
                <c:pt idx="0">
                  <c:v>Пољопривреда</c:v>
                </c:pt>
              </c:strCache>
            </c:strRef>
          </c:tx>
          <c:spPr>
            <a:solidFill>
              <a:srgbClr val="10103C"/>
            </a:solidFill>
            <a:ln>
              <a:noFill/>
            </a:ln>
            <a:effectLst/>
          </c:spPr>
          <c:invertIfNegative val="0"/>
          <c:cat>
            <c:multiLvlStrRef>
              <c:f>IPAS_doprinosi!$A$36:$B$50</c:f>
              <c:multiLvlStrCache>
                <c:ptCount val="1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lvl>
                <c:lvl>
                  <c:pt idx="0">
                    <c:v>2021</c:v>
                  </c:pt>
                  <c:pt idx="12">
                    <c:v>2022</c:v>
                  </c:pt>
                </c:lvl>
              </c:multiLvlStrCache>
            </c:multiLvlStrRef>
          </c:cat>
          <c:val>
            <c:numRef>
              <c:f>IPAS_doprinosi!$D$36:$D$50</c:f>
              <c:numCache>
                <c:formatCode>0.0</c:formatCode>
                <c:ptCount val="15"/>
                <c:pt idx="0">
                  <c:v>-0.34815402093096481</c:v>
                </c:pt>
                <c:pt idx="1">
                  <c:v>-0.31570686187297242</c:v>
                </c:pt>
                <c:pt idx="2">
                  <c:v>-0.31095913238352862</c:v>
                </c:pt>
                <c:pt idx="3">
                  <c:v>-0.31990324364447587</c:v>
                </c:pt>
                <c:pt idx="4">
                  <c:v>-0.31406643136968138</c:v>
                </c:pt>
                <c:pt idx="5">
                  <c:v>-0.31450565335685265</c:v>
                </c:pt>
                <c:pt idx="6">
                  <c:v>-0.37096413831934238</c:v>
                </c:pt>
                <c:pt idx="7">
                  <c:v>-0.37865874070411537</c:v>
                </c:pt>
                <c:pt idx="8">
                  <c:v>-0.34769130431950102</c:v>
                </c:pt>
                <c:pt idx="9">
                  <c:v>-0.28721671397563725</c:v>
                </c:pt>
                <c:pt idx="10">
                  <c:v>-0.3559173835320093</c:v>
                </c:pt>
                <c:pt idx="11">
                  <c:v>-0.4234016356436428</c:v>
                </c:pt>
                <c:pt idx="12">
                  <c:v>-0.14208377477683787</c:v>
                </c:pt>
                <c:pt idx="13">
                  <c:v>-0.14001237868622179</c:v>
                </c:pt>
                <c:pt idx="14">
                  <c:v>-0.1758952713150814</c:v>
                </c:pt>
              </c:numCache>
            </c:numRef>
          </c:val>
          <c:extLst>
            <c:ext xmlns:c16="http://schemas.microsoft.com/office/drawing/2014/chart" uri="{C3380CC4-5D6E-409C-BE32-E72D297353CC}">
              <c16:uniqueId val="{00000000-061E-41DD-AC16-E12923AC6B6D}"/>
            </c:ext>
          </c:extLst>
        </c:ser>
        <c:ser>
          <c:idx val="1"/>
          <c:order val="2"/>
          <c:tx>
            <c:strRef>
              <c:f>IPAS_doprinosi!$E$11</c:f>
              <c:strCache>
                <c:ptCount val="1"/>
                <c:pt idx="0">
                  <c:v>Индустрија</c:v>
                </c:pt>
              </c:strCache>
            </c:strRef>
          </c:tx>
          <c:spPr>
            <a:solidFill>
              <a:srgbClr val="2183C4"/>
            </a:solidFill>
            <a:ln>
              <a:noFill/>
            </a:ln>
            <a:effectLst/>
          </c:spPr>
          <c:invertIfNegative val="0"/>
          <c:cat>
            <c:multiLvlStrRef>
              <c:f>IPAS_doprinosi!$A$36:$B$50</c:f>
              <c:multiLvlStrCache>
                <c:ptCount val="1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lvl>
                <c:lvl>
                  <c:pt idx="0">
                    <c:v>2021</c:v>
                  </c:pt>
                  <c:pt idx="12">
                    <c:v>2022</c:v>
                  </c:pt>
                </c:lvl>
              </c:multiLvlStrCache>
            </c:multiLvlStrRef>
          </c:cat>
          <c:val>
            <c:numRef>
              <c:f>IPAS_doprinosi!$E$36:$E$50</c:f>
              <c:numCache>
                <c:formatCode>0.0</c:formatCode>
                <c:ptCount val="15"/>
                <c:pt idx="0">
                  <c:v>0.14561747280227658</c:v>
                </c:pt>
                <c:pt idx="1">
                  <c:v>0.55542214528194445</c:v>
                </c:pt>
                <c:pt idx="2">
                  <c:v>1.5832994460273777</c:v>
                </c:pt>
                <c:pt idx="3">
                  <c:v>6.1376257058138322</c:v>
                </c:pt>
                <c:pt idx="4">
                  <c:v>2.0766872349487824</c:v>
                </c:pt>
                <c:pt idx="5">
                  <c:v>1.0128176107190121</c:v>
                </c:pt>
                <c:pt idx="6">
                  <c:v>0.41364342230072798</c:v>
                </c:pt>
                <c:pt idx="7">
                  <c:v>0.55826169201676457</c:v>
                </c:pt>
                <c:pt idx="8">
                  <c:v>0.38270795487932724</c:v>
                </c:pt>
                <c:pt idx="9">
                  <c:v>0.68390146415904884</c:v>
                </c:pt>
                <c:pt idx="10">
                  <c:v>1.3278407767687141</c:v>
                </c:pt>
                <c:pt idx="11">
                  <c:v>0.48402819579853429</c:v>
                </c:pt>
                <c:pt idx="12">
                  <c:v>-0.38702524753204892</c:v>
                </c:pt>
                <c:pt idx="13">
                  <c:v>-0.11425213946892231</c:v>
                </c:pt>
                <c:pt idx="14">
                  <c:v>1.5983300834269183</c:v>
                </c:pt>
              </c:numCache>
            </c:numRef>
          </c:val>
          <c:extLst>
            <c:ext xmlns:c16="http://schemas.microsoft.com/office/drawing/2014/chart" uri="{C3380CC4-5D6E-409C-BE32-E72D297353CC}">
              <c16:uniqueId val="{00000001-061E-41DD-AC16-E12923AC6B6D}"/>
            </c:ext>
          </c:extLst>
        </c:ser>
        <c:ser>
          <c:idx val="2"/>
          <c:order val="3"/>
          <c:tx>
            <c:strRef>
              <c:f>IPAS_doprinosi!$F$11</c:f>
              <c:strCache>
                <c:ptCount val="1"/>
                <c:pt idx="0">
                  <c:v>Грађевинарство</c:v>
                </c:pt>
              </c:strCache>
            </c:strRef>
          </c:tx>
          <c:spPr>
            <a:solidFill>
              <a:srgbClr val="51BBE7"/>
            </a:solidFill>
            <a:ln>
              <a:noFill/>
            </a:ln>
            <a:effectLst/>
          </c:spPr>
          <c:invertIfNegative val="0"/>
          <c:cat>
            <c:multiLvlStrRef>
              <c:f>IPAS_doprinosi!$A$36:$B$50</c:f>
              <c:multiLvlStrCache>
                <c:ptCount val="1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lvl>
                <c:lvl>
                  <c:pt idx="0">
                    <c:v>2021</c:v>
                  </c:pt>
                  <c:pt idx="12">
                    <c:v>2022</c:v>
                  </c:pt>
                </c:lvl>
              </c:multiLvlStrCache>
            </c:multiLvlStrRef>
          </c:cat>
          <c:val>
            <c:numRef>
              <c:f>IPAS_doprinosi!$F$36:$F$50</c:f>
              <c:numCache>
                <c:formatCode>0.0</c:formatCode>
                <c:ptCount val="15"/>
                <c:pt idx="0">
                  <c:v>-0.46747200460638944</c:v>
                </c:pt>
                <c:pt idx="1">
                  <c:v>0.66048280154885397</c:v>
                </c:pt>
                <c:pt idx="2">
                  <c:v>1.9386126041059912</c:v>
                </c:pt>
                <c:pt idx="3">
                  <c:v>1.3718174215460777</c:v>
                </c:pt>
                <c:pt idx="4">
                  <c:v>0.43670310231056403</c:v>
                </c:pt>
                <c:pt idx="5">
                  <c:v>0.60560501068286088</c:v>
                </c:pt>
                <c:pt idx="6">
                  <c:v>0.70425096890328887</c:v>
                </c:pt>
                <c:pt idx="7">
                  <c:v>0.96360782889178753</c:v>
                </c:pt>
                <c:pt idx="8">
                  <c:v>0.91301814194360376</c:v>
                </c:pt>
                <c:pt idx="9">
                  <c:v>0.94080882910733843</c:v>
                </c:pt>
                <c:pt idx="10">
                  <c:v>1.4313914095027949</c:v>
                </c:pt>
                <c:pt idx="11">
                  <c:v>-0.30142113458827791</c:v>
                </c:pt>
                <c:pt idx="12">
                  <c:v>-9.9918198619268456E-2</c:v>
                </c:pt>
                <c:pt idx="13">
                  <c:v>-9.054361049049596E-2</c:v>
                </c:pt>
                <c:pt idx="14">
                  <c:v>-0.22552943678618137</c:v>
                </c:pt>
              </c:numCache>
            </c:numRef>
          </c:val>
          <c:extLst>
            <c:ext xmlns:c16="http://schemas.microsoft.com/office/drawing/2014/chart" uri="{C3380CC4-5D6E-409C-BE32-E72D297353CC}">
              <c16:uniqueId val="{00000002-061E-41DD-AC16-E12923AC6B6D}"/>
            </c:ext>
          </c:extLst>
        </c:ser>
        <c:ser>
          <c:idx val="3"/>
          <c:order val="4"/>
          <c:tx>
            <c:strRef>
              <c:f>IPAS_doprinosi!$G$11</c:f>
              <c:strCache>
                <c:ptCount val="1"/>
                <c:pt idx="0">
                  <c:v>Услуге</c:v>
                </c:pt>
              </c:strCache>
            </c:strRef>
          </c:tx>
          <c:spPr>
            <a:solidFill>
              <a:srgbClr val="90CAE2"/>
            </a:solidFill>
            <a:ln>
              <a:noFill/>
            </a:ln>
            <a:effectLst/>
          </c:spPr>
          <c:invertIfNegative val="0"/>
          <c:cat>
            <c:multiLvlStrRef>
              <c:f>IPAS_doprinosi!$A$36:$B$50</c:f>
              <c:multiLvlStrCache>
                <c:ptCount val="1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lvl>
                <c:lvl>
                  <c:pt idx="0">
                    <c:v>2021</c:v>
                  </c:pt>
                  <c:pt idx="12">
                    <c:v>2022</c:v>
                  </c:pt>
                </c:lvl>
              </c:multiLvlStrCache>
            </c:multiLvlStrRef>
          </c:cat>
          <c:val>
            <c:numRef>
              <c:f>IPAS_doprinosi!$G$36:$G$50</c:f>
              <c:numCache>
                <c:formatCode>0.0</c:formatCode>
                <c:ptCount val="15"/>
                <c:pt idx="0">
                  <c:v>-0.20227832457896427</c:v>
                </c:pt>
                <c:pt idx="1">
                  <c:v>-0.22122467023832146</c:v>
                </c:pt>
                <c:pt idx="2">
                  <c:v>2.1011575517731051</c:v>
                </c:pt>
                <c:pt idx="3">
                  <c:v>9.5779655085579964</c:v>
                </c:pt>
                <c:pt idx="4">
                  <c:v>7.7620230500869116</c:v>
                </c:pt>
                <c:pt idx="5">
                  <c:v>5.7408638791491429</c:v>
                </c:pt>
                <c:pt idx="6">
                  <c:v>6.1276868956141488</c:v>
                </c:pt>
                <c:pt idx="7">
                  <c:v>4.7724108585852534</c:v>
                </c:pt>
                <c:pt idx="8">
                  <c:v>4.7236032613550512</c:v>
                </c:pt>
                <c:pt idx="9">
                  <c:v>3.7993055702999672</c:v>
                </c:pt>
                <c:pt idx="10">
                  <c:v>5.2643844345692274</c:v>
                </c:pt>
                <c:pt idx="11">
                  <c:v>4.6798011886736814</c:v>
                </c:pt>
                <c:pt idx="12">
                  <c:v>3.4443141448356465</c:v>
                </c:pt>
                <c:pt idx="13">
                  <c:v>3.121274384693959</c:v>
                </c:pt>
                <c:pt idx="14">
                  <c:v>3.012377593333547</c:v>
                </c:pt>
              </c:numCache>
            </c:numRef>
          </c:val>
          <c:extLst>
            <c:ext xmlns:c16="http://schemas.microsoft.com/office/drawing/2014/chart" uri="{C3380CC4-5D6E-409C-BE32-E72D297353CC}">
              <c16:uniqueId val="{00000003-061E-41DD-AC16-E12923AC6B6D}"/>
            </c:ext>
          </c:extLst>
        </c:ser>
        <c:ser>
          <c:idx val="4"/>
          <c:order val="5"/>
          <c:tx>
            <c:strRef>
              <c:f>IPAS_doprinosi!$H$11</c:f>
              <c:strCache>
                <c:ptCount val="1"/>
                <c:pt idx="0">
                  <c:v>Нето порези</c:v>
                </c:pt>
              </c:strCache>
            </c:strRef>
          </c:tx>
          <c:spPr>
            <a:solidFill>
              <a:srgbClr val="C9E4EB"/>
            </a:solidFill>
            <a:ln>
              <a:noFill/>
            </a:ln>
            <a:effectLst/>
          </c:spPr>
          <c:invertIfNegative val="0"/>
          <c:cat>
            <c:multiLvlStrRef>
              <c:f>IPAS_doprinosi!$A$36:$B$50</c:f>
              <c:multiLvlStrCache>
                <c:ptCount val="1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lvl>
                <c:lvl>
                  <c:pt idx="0">
                    <c:v>2021</c:v>
                  </c:pt>
                  <c:pt idx="12">
                    <c:v>2022</c:v>
                  </c:pt>
                </c:lvl>
              </c:multiLvlStrCache>
            </c:multiLvlStrRef>
          </c:cat>
          <c:val>
            <c:numRef>
              <c:f>IPAS_doprinosi!$H$36:$H$50</c:f>
              <c:numCache>
                <c:formatCode>0.0</c:formatCode>
                <c:ptCount val="15"/>
                <c:pt idx="0">
                  <c:v>-0.63545140265274624</c:v>
                </c:pt>
                <c:pt idx="1">
                  <c:v>-0.11913211549119844</c:v>
                </c:pt>
                <c:pt idx="2">
                  <c:v>0.13661502781751705</c:v>
                </c:pt>
                <c:pt idx="3">
                  <c:v>3.7869182145407567</c:v>
                </c:pt>
                <c:pt idx="4">
                  <c:v>2.7783619284384673</c:v>
                </c:pt>
                <c:pt idx="5">
                  <c:v>1.9741493064787063</c:v>
                </c:pt>
                <c:pt idx="6">
                  <c:v>1.6772427320548839</c:v>
                </c:pt>
                <c:pt idx="7">
                  <c:v>1.5940108724564048</c:v>
                </c:pt>
                <c:pt idx="8">
                  <c:v>1.1493769595848811</c:v>
                </c:pt>
                <c:pt idx="9">
                  <c:v>0.98578201591164216</c:v>
                </c:pt>
                <c:pt idx="10">
                  <c:v>1.339166306482293</c:v>
                </c:pt>
                <c:pt idx="11">
                  <c:v>1.5180587060819986</c:v>
                </c:pt>
                <c:pt idx="12">
                  <c:v>0.70655709331779859</c:v>
                </c:pt>
                <c:pt idx="13">
                  <c:v>1.0993531330780779</c:v>
                </c:pt>
                <c:pt idx="14">
                  <c:v>1.0878709783415899</c:v>
                </c:pt>
              </c:numCache>
            </c:numRef>
          </c:val>
          <c:extLst>
            <c:ext xmlns:c16="http://schemas.microsoft.com/office/drawing/2014/chart" uri="{C3380CC4-5D6E-409C-BE32-E72D297353CC}">
              <c16:uniqueId val="{00000004-061E-41DD-AC16-E12923AC6B6D}"/>
            </c:ext>
          </c:extLst>
        </c:ser>
        <c:dLbls>
          <c:showLegendKey val="0"/>
          <c:showVal val="0"/>
          <c:showCatName val="0"/>
          <c:showSerName val="0"/>
          <c:showPercent val="0"/>
          <c:showBubbleSize val="0"/>
        </c:dLbls>
        <c:gapWidth val="60"/>
        <c:overlap val="100"/>
        <c:axId val="1961434128"/>
        <c:axId val="1961419984"/>
      </c:barChart>
      <c:lineChart>
        <c:grouping val="standard"/>
        <c:varyColors val="0"/>
        <c:ser>
          <c:idx val="5"/>
          <c:order val="0"/>
          <c:tx>
            <c:strRef>
              <c:f>IPAS_doprinosi!$C$11</c:f>
              <c:strCache>
                <c:ptCount val="1"/>
                <c:pt idx="0">
                  <c:v>БДП</c:v>
                </c:pt>
              </c:strCache>
            </c:strRef>
          </c:tx>
          <c:spPr>
            <a:ln w="22225" cap="rnd">
              <a:solidFill>
                <a:srgbClr val="FF0000"/>
              </a:solidFill>
              <a:round/>
            </a:ln>
            <a:effectLst/>
          </c:spPr>
          <c:marker>
            <c:symbol val="none"/>
          </c:marker>
          <c:dLbls>
            <c:dLbl>
              <c:idx val="0"/>
              <c:layout>
                <c:manualLayout>
                  <c:x val="-6.5081291921843185E-2"/>
                  <c:y val="4.46255451906059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61E-41DD-AC16-E12923AC6B6D}"/>
                </c:ext>
              </c:extLst>
            </c:dLbl>
            <c:dLbl>
              <c:idx val="1"/>
              <c:layout>
                <c:manualLayout>
                  <c:x val="-6.9375182268883062E-2"/>
                  <c:y val="-5.68979204121971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61E-41DD-AC16-E12923AC6B6D}"/>
                </c:ext>
              </c:extLst>
            </c:dLbl>
            <c:dLbl>
              <c:idx val="2"/>
              <c:layout>
                <c:manualLayout>
                  <c:x val="-8.789370078740158E-2"/>
                  <c:y val="-5.68979204121971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61E-41DD-AC16-E12923AC6B6D}"/>
                </c:ext>
              </c:extLst>
            </c:dLbl>
            <c:dLbl>
              <c:idx val="4"/>
              <c:layout>
                <c:manualLayout>
                  <c:x val="-5.4444444444444441E-2"/>
                  <c:y val="-6.30341080229928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61E-41DD-AC16-E12923AC6B6D}"/>
                </c:ext>
              </c:extLst>
            </c:dLbl>
            <c:dLbl>
              <c:idx val="6"/>
              <c:layout>
                <c:manualLayout>
                  <c:x val="-5.0283245844269464E-2"/>
                  <c:y val="-5.87692160513004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61E-41DD-AC16-E12923AC6B6D}"/>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Arial" panose="020B0604020202020204" pitchFamily="34" charset="0"/>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IPAS_doprinosi!$A$36:$B$50</c:f>
              <c:multiLvlStrCache>
                <c:ptCount val="1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lvl>
                <c:lvl>
                  <c:pt idx="0">
                    <c:v>2021</c:v>
                  </c:pt>
                  <c:pt idx="12">
                    <c:v>2022</c:v>
                  </c:pt>
                </c:lvl>
              </c:multiLvlStrCache>
            </c:multiLvlStrRef>
          </c:cat>
          <c:val>
            <c:numRef>
              <c:f>IPAS_doprinosi!$C$36:$C$50</c:f>
              <c:numCache>
                <c:formatCode>0.0</c:formatCode>
                <c:ptCount val="15"/>
                <c:pt idx="0">
                  <c:v>-1.5077383162264328</c:v>
                </c:pt>
                <c:pt idx="1">
                  <c:v>0.55984110572000578</c:v>
                </c:pt>
                <c:pt idx="2">
                  <c:v>5.4487253621332856</c:v>
                </c:pt>
                <c:pt idx="3">
                  <c:v>20.554422973665861</c:v>
                </c:pt>
                <c:pt idx="4">
                  <c:v>12.739708470720847</c:v>
                </c:pt>
                <c:pt idx="5">
                  <c:v>9.0189297393009724</c:v>
                </c:pt>
                <c:pt idx="6">
                  <c:v>8.5518596685702271</c:v>
                </c:pt>
                <c:pt idx="7">
                  <c:v>7.5096321160021349</c:v>
                </c:pt>
                <c:pt idx="8">
                  <c:v>6.8210147555701397</c:v>
                </c:pt>
                <c:pt idx="9">
                  <c:v>6.1225809278139431</c:v>
                </c:pt>
                <c:pt idx="10">
                  <c:v>9.0068651822510191</c:v>
                </c:pt>
                <c:pt idx="11">
                  <c:v>5.9570650578135274</c:v>
                </c:pt>
                <c:pt idx="12">
                  <c:v>3.5218437518601209</c:v>
                </c:pt>
                <c:pt idx="13">
                  <c:v>3.8758193034261881</c:v>
                </c:pt>
                <c:pt idx="14">
                  <c:v>5.2971536305057949</c:v>
                </c:pt>
              </c:numCache>
            </c:numRef>
          </c:val>
          <c:smooth val="0"/>
          <c:extLst>
            <c:ext xmlns:c16="http://schemas.microsoft.com/office/drawing/2014/chart" uri="{C3380CC4-5D6E-409C-BE32-E72D297353CC}">
              <c16:uniqueId val="{0000000A-061E-41DD-AC16-E12923AC6B6D}"/>
            </c:ext>
          </c:extLst>
        </c:ser>
        <c:dLbls>
          <c:showLegendKey val="0"/>
          <c:showVal val="0"/>
          <c:showCatName val="0"/>
          <c:showSerName val="0"/>
          <c:showPercent val="0"/>
          <c:showBubbleSize val="0"/>
        </c:dLbls>
        <c:marker val="1"/>
        <c:smooth val="0"/>
        <c:axId val="1961434128"/>
        <c:axId val="1961419984"/>
      </c:lineChart>
      <c:catAx>
        <c:axId val="1961434128"/>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00" b="0" i="0" u="none" strike="noStrike" kern="1200" baseline="0">
                <a:solidFill>
                  <a:schemeClr val="tx2"/>
                </a:solidFill>
                <a:latin typeface="+mn-lt"/>
                <a:ea typeface="+mn-ea"/>
                <a:cs typeface="Arial" panose="020B0604020202020204" pitchFamily="34" charset="0"/>
              </a:defRPr>
            </a:pPr>
            <a:endParaRPr lang="sr-Latn-RS"/>
          </a:p>
        </c:txPr>
        <c:crossAx val="1961419984"/>
        <c:crosses val="autoZero"/>
        <c:auto val="1"/>
        <c:lblAlgn val="ctr"/>
        <c:lblOffset val="0"/>
        <c:noMultiLvlLbl val="0"/>
      </c:catAx>
      <c:valAx>
        <c:axId val="196141998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961434128"/>
        <c:crosses val="autoZero"/>
        <c:crossBetween val="between"/>
        <c:majorUnit val="4"/>
        <c:minorUnit val="0.4"/>
      </c:valAx>
      <c:spPr>
        <a:noFill/>
        <a:ln>
          <a:noFill/>
        </a:ln>
        <a:effectLst/>
      </c:spPr>
    </c:plotArea>
    <c:legend>
      <c:legendPos val="b"/>
      <c:layout>
        <c:manualLayout>
          <c:xMode val="edge"/>
          <c:yMode val="edge"/>
          <c:x val="7.1965223097112854E-2"/>
          <c:y val="0.81530305153136984"/>
          <c:w val="0.88171770195392241"/>
          <c:h val="0.18469694846863002"/>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legend>
    <c:plotVisOnly val="1"/>
    <c:dispBlanksAs val="gap"/>
    <c:showDLblsOverMax val="0"/>
  </c:chart>
  <c:spPr>
    <a:noFill/>
    <a:ln w="9525" cap="flat" cmpd="sng" algn="ctr">
      <a:noFill/>
      <a:round/>
    </a:ln>
    <a:effectLst/>
  </c:spPr>
  <c:txPr>
    <a:bodyPr/>
    <a:lstStyle/>
    <a:p>
      <a:pPr>
        <a:defRPr sz="750">
          <a:solidFill>
            <a:schemeClr val="tx2"/>
          </a:solidFill>
          <a:latin typeface="+mn-lt"/>
          <a:cs typeface="Arial" panose="020B0604020202020204" pitchFamily="34" charset="0"/>
        </a:defRPr>
      </a:pPr>
      <a:endParaRPr lang="sr-Latn-RS"/>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6824305555555574E-2"/>
          <c:y val="2.2302910052910054E-2"/>
          <c:w val="0.88431506235448831"/>
          <c:h val="0.65789159263884123"/>
        </c:manualLayout>
      </c:layout>
      <c:lineChart>
        <c:grouping val="standard"/>
        <c:varyColors val="0"/>
        <c:ser>
          <c:idx val="0"/>
          <c:order val="0"/>
          <c:tx>
            <c:strRef>
              <c:f>IPAS_doprinosi!$W$11</c:f>
              <c:strCache>
                <c:ptCount val="1"/>
                <c:pt idx="0">
                  <c:v>Оригинални подаци</c:v>
                </c:pt>
              </c:strCache>
            </c:strRef>
          </c:tx>
          <c:spPr>
            <a:ln w="15875">
              <a:solidFill>
                <a:srgbClr val="A44AA4"/>
              </a:solidFill>
              <a:prstDash val="sysDot"/>
            </a:ln>
          </c:spPr>
          <c:marker>
            <c:symbol val="none"/>
          </c:marker>
          <c:cat>
            <c:multiLvlStrRef>
              <c:f>IPAS_doprinosi!$U$12:$V$50</c:f>
              <c:multiLvlStrCache>
                <c:ptCount val="39"/>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lvl>
                <c:lvl>
                  <c:pt idx="0">
                    <c:v>2019</c:v>
                  </c:pt>
                  <c:pt idx="12">
                    <c:v>2020</c:v>
                  </c:pt>
                  <c:pt idx="24">
                    <c:v>2021</c:v>
                  </c:pt>
                  <c:pt idx="36">
                    <c:v>2022</c:v>
                  </c:pt>
                </c:lvl>
              </c:multiLvlStrCache>
            </c:multiLvlStrRef>
          </c:cat>
          <c:val>
            <c:numRef>
              <c:f>IPAS_doprinosi!$W$12:$W$50</c:f>
              <c:numCache>
                <c:formatCode>0.0</c:formatCode>
                <c:ptCount val="39"/>
                <c:pt idx="0">
                  <c:v>371989.875497995</c:v>
                </c:pt>
                <c:pt idx="1">
                  <c:v>377047.04322497098</c:v>
                </c:pt>
                <c:pt idx="2">
                  <c:v>391971.849125407</c:v>
                </c:pt>
                <c:pt idx="3">
                  <c:v>394479.19465669099</c:v>
                </c:pt>
                <c:pt idx="4">
                  <c:v>409870.19305471098</c:v>
                </c:pt>
                <c:pt idx="5">
                  <c:v>411949.13565876702</c:v>
                </c:pt>
                <c:pt idx="6">
                  <c:v>422318.31007111399</c:v>
                </c:pt>
                <c:pt idx="7">
                  <c:v>422802.50958149403</c:v>
                </c:pt>
                <c:pt idx="8">
                  <c:v>433902.38336724503</c:v>
                </c:pt>
                <c:pt idx="9">
                  <c:v>441746.16527490102</c:v>
                </c:pt>
                <c:pt idx="10">
                  <c:v>442402.55281284603</c:v>
                </c:pt>
                <c:pt idx="11">
                  <c:v>443026.20699991798</c:v>
                </c:pt>
                <c:pt idx="12">
                  <c:v>399462.47864304902</c:v>
                </c:pt>
                <c:pt idx="13">
                  <c:v>396985.022201841</c:v>
                </c:pt>
                <c:pt idx="14">
                  <c:v>404277.03020502999</c:v>
                </c:pt>
                <c:pt idx="15">
                  <c:v>343091.01564788801</c:v>
                </c:pt>
                <c:pt idx="16">
                  <c:v>383824.75699269999</c:v>
                </c:pt>
                <c:pt idx="17">
                  <c:v>413312.04305295099</c:v>
                </c:pt>
                <c:pt idx="18">
                  <c:v>412437.108378025</c:v>
                </c:pt>
                <c:pt idx="19">
                  <c:v>418767.15218894201</c:v>
                </c:pt>
                <c:pt idx="20">
                  <c:v>430564.16682356998</c:v>
                </c:pt>
                <c:pt idx="21">
                  <c:v>436684.432947708</c:v>
                </c:pt>
                <c:pt idx="22">
                  <c:v>436083.48997121199</c:v>
                </c:pt>
                <c:pt idx="23">
                  <c:v>441131.54175739002</c:v>
                </c:pt>
                <c:pt idx="24">
                  <c:v>393439.62979359902</c:v>
                </c:pt>
                <c:pt idx="25">
                  <c:v>399207.50753967901</c:v>
                </c:pt>
                <c:pt idx="26">
                  <c:v>426304.97528309101</c:v>
                </c:pt>
                <c:pt idx="27">
                  <c:v>413611.394188801</c:v>
                </c:pt>
                <c:pt idx="28">
                  <c:v>432722.91207202303</c:v>
                </c:pt>
                <c:pt idx="29">
                  <c:v>450588.36581996601</c:v>
                </c:pt>
                <c:pt idx="30">
                  <c:v>447708.15110762301</c:v>
                </c:pt>
                <c:pt idx="31">
                  <c:v>450215.02474099101</c:v>
                </c:pt>
                <c:pt idx="32">
                  <c:v>459933.01217480301</c:v>
                </c:pt>
                <c:pt idx="33">
                  <c:v>463420.790754096</c:v>
                </c:pt>
                <c:pt idx="34">
                  <c:v>475360.94199497398</c:v>
                </c:pt>
                <c:pt idx="35">
                  <c:v>467410.03469041298</c:v>
                </c:pt>
                <c:pt idx="36">
                  <c:v>407295.95881282701</c:v>
                </c:pt>
                <c:pt idx="37">
                  <c:v>414680.06917762797</c:v>
                </c:pt>
                <c:pt idx="38" formatCode="General">
                  <c:v>448887.00475832599</c:v>
                </c:pt>
              </c:numCache>
            </c:numRef>
          </c:val>
          <c:smooth val="0"/>
          <c:extLst>
            <c:ext xmlns:c16="http://schemas.microsoft.com/office/drawing/2014/chart" uri="{C3380CC4-5D6E-409C-BE32-E72D297353CC}">
              <c16:uniqueId val="{00000000-CED2-4CDE-9D02-5B52CD61E60F}"/>
            </c:ext>
          </c:extLst>
        </c:ser>
        <c:ser>
          <c:idx val="1"/>
          <c:order val="1"/>
          <c:tx>
            <c:strRef>
              <c:f>IPAS_doprinosi!$X$11</c:f>
              <c:strCache>
                <c:ptCount val="1"/>
                <c:pt idx="0">
                  <c:v>Тренд циклус</c:v>
                </c:pt>
              </c:strCache>
            </c:strRef>
          </c:tx>
          <c:spPr>
            <a:ln w="25400">
              <a:solidFill>
                <a:srgbClr val="FF0000"/>
              </a:solidFill>
            </a:ln>
          </c:spPr>
          <c:marker>
            <c:symbol val="none"/>
          </c:marker>
          <c:cat>
            <c:multiLvlStrRef>
              <c:f>IPAS_doprinosi!$U$12:$V$50</c:f>
              <c:multiLvlStrCache>
                <c:ptCount val="39"/>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lvl>
                <c:lvl>
                  <c:pt idx="0">
                    <c:v>2019</c:v>
                  </c:pt>
                  <c:pt idx="12">
                    <c:v>2020</c:v>
                  </c:pt>
                  <c:pt idx="24">
                    <c:v>2021</c:v>
                  </c:pt>
                  <c:pt idx="36">
                    <c:v>2022</c:v>
                  </c:pt>
                </c:lvl>
              </c:multiLvlStrCache>
            </c:multiLvlStrRef>
          </c:cat>
          <c:val>
            <c:numRef>
              <c:f>IPAS_doprinosi!$X$12:$X$50</c:f>
              <c:numCache>
                <c:formatCode>0.0</c:formatCode>
                <c:ptCount val="39"/>
                <c:pt idx="0">
                  <c:v>399881.30930590001</c:v>
                </c:pt>
                <c:pt idx="1">
                  <c:v>401780.36375542398</c:v>
                </c:pt>
                <c:pt idx="2">
                  <c:v>404178.04217005702</c:v>
                </c:pt>
                <c:pt idx="3">
                  <c:v>406881.92216569401</c:v>
                </c:pt>
                <c:pt idx="4">
                  <c:v>409585.45440214901</c:v>
                </c:pt>
                <c:pt idx="5">
                  <c:v>412190.96720374899</c:v>
                </c:pt>
                <c:pt idx="6">
                  <c:v>414837.99673070799</c:v>
                </c:pt>
                <c:pt idx="7">
                  <c:v>417571.31349414401</c:v>
                </c:pt>
                <c:pt idx="8">
                  <c:v>420224.99004638602</c:v>
                </c:pt>
                <c:pt idx="9">
                  <c:v>422670.88490116299</c:v>
                </c:pt>
                <c:pt idx="10">
                  <c:v>424854.02476830001</c:v>
                </c:pt>
                <c:pt idx="11">
                  <c:v>426545.30486097798</c:v>
                </c:pt>
                <c:pt idx="12">
                  <c:v>427592.53459178098</c:v>
                </c:pt>
                <c:pt idx="13">
                  <c:v>428048.25540838001</c:v>
                </c:pt>
                <c:pt idx="14">
                  <c:v>410196.47235568898</c:v>
                </c:pt>
                <c:pt idx="15">
                  <c:v>410085.13482027402</c:v>
                </c:pt>
                <c:pt idx="16">
                  <c:v>410215.39202175901</c:v>
                </c:pt>
                <c:pt idx="17">
                  <c:v>410790.84693804599</c:v>
                </c:pt>
                <c:pt idx="18">
                  <c:v>411895.03506023501</c:v>
                </c:pt>
                <c:pt idx="19">
                  <c:v>413482.84097085602</c:v>
                </c:pt>
                <c:pt idx="20">
                  <c:v>415431.72488828702</c:v>
                </c:pt>
                <c:pt idx="21">
                  <c:v>417625.60923604202</c:v>
                </c:pt>
                <c:pt idx="22">
                  <c:v>419963.62422777299</c:v>
                </c:pt>
                <c:pt idx="23">
                  <c:v>422498.74344344198</c:v>
                </c:pt>
                <c:pt idx="24">
                  <c:v>425245.43197146902</c:v>
                </c:pt>
                <c:pt idx="25">
                  <c:v>428194.90642819001</c:v>
                </c:pt>
                <c:pt idx="26">
                  <c:v>431287.57414549298</c:v>
                </c:pt>
                <c:pt idx="27">
                  <c:v>434396.67757949</c:v>
                </c:pt>
                <c:pt idx="28">
                  <c:v>437325.62193521601</c:v>
                </c:pt>
                <c:pt idx="29">
                  <c:v>439921.36088549899</c:v>
                </c:pt>
                <c:pt idx="30">
                  <c:v>442123.60987254698</c:v>
                </c:pt>
                <c:pt idx="31">
                  <c:v>443929.3933695</c:v>
                </c:pt>
                <c:pt idx="32">
                  <c:v>445435.445229184</c:v>
                </c:pt>
                <c:pt idx="33">
                  <c:v>446737.08518689999</c:v>
                </c:pt>
                <c:pt idx="34">
                  <c:v>447918.36839769699</c:v>
                </c:pt>
                <c:pt idx="35">
                  <c:v>448968.74285964499</c:v>
                </c:pt>
                <c:pt idx="36">
                  <c:v>450003.62322746898</c:v>
                </c:pt>
                <c:pt idx="37">
                  <c:v>451011.88559692301</c:v>
                </c:pt>
                <c:pt idx="38" formatCode="General">
                  <c:v>452027.43660398398</c:v>
                </c:pt>
              </c:numCache>
            </c:numRef>
          </c:val>
          <c:smooth val="0"/>
          <c:extLst>
            <c:ext xmlns:c16="http://schemas.microsoft.com/office/drawing/2014/chart" uri="{C3380CC4-5D6E-409C-BE32-E72D297353CC}">
              <c16:uniqueId val="{00000001-CED2-4CDE-9D02-5B52CD61E60F}"/>
            </c:ext>
          </c:extLst>
        </c:ser>
        <c:ser>
          <c:idx val="2"/>
          <c:order val="2"/>
          <c:tx>
            <c:strRef>
              <c:f>IPAS_doprinosi!$Y$11</c:f>
              <c:strCache>
                <c:ptCount val="1"/>
                <c:pt idx="0">
                  <c:v>Десезонирани подаци</c:v>
                </c:pt>
              </c:strCache>
            </c:strRef>
          </c:tx>
          <c:spPr>
            <a:ln w="22225">
              <a:solidFill>
                <a:srgbClr val="002060"/>
              </a:solidFill>
            </a:ln>
          </c:spPr>
          <c:marker>
            <c:symbol val="none"/>
          </c:marker>
          <c:cat>
            <c:multiLvlStrRef>
              <c:f>IPAS_doprinosi!$U$12:$V$50</c:f>
              <c:multiLvlStrCache>
                <c:ptCount val="39"/>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lvl>
                <c:lvl>
                  <c:pt idx="0">
                    <c:v>2019</c:v>
                  </c:pt>
                  <c:pt idx="12">
                    <c:v>2020</c:v>
                  </c:pt>
                  <c:pt idx="24">
                    <c:v>2021</c:v>
                  </c:pt>
                  <c:pt idx="36">
                    <c:v>2022</c:v>
                  </c:pt>
                </c:lvl>
              </c:multiLvlStrCache>
            </c:multiLvlStrRef>
          </c:cat>
          <c:val>
            <c:numRef>
              <c:f>IPAS_doprinosi!$Y$12:$Y$50</c:f>
              <c:numCache>
                <c:formatCode>0.0</c:formatCode>
                <c:ptCount val="39"/>
                <c:pt idx="0">
                  <c:v>399168.99758427398</c:v>
                </c:pt>
                <c:pt idx="1">
                  <c:v>404530.36233353399</c:v>
                </c:pt>
                <c:pt idx="2">
                  <c:v>402758.49393679202</c:v>
                </c:pt>
                <c:pt idx="3">
                  <c:v>406658.41615095199</c:v>
                </c:pt>
                <c:pt idx="4">
                  <c:v>411122.541746601</c:v>
                </c:pt>
                <c:pt idx="5">
                  <c:v>410945.25450339803</c:v>
                </c:pt>
                <c:pt idx="6">
                  <c:v>415723.38367734198</c:v>
                </c:pt>
                <c:pt idx="7">
                  <c:v>416851.55223523901</c:v>
                </c:pt>
                <c:pt idx="8">
                  <c:v>420513.02725827601</c:v>
                </c:pt>
                <c:pt idx="9">
                  <c:v>421377.63594709203</c:v>
                </c:pt>
                <c:pt idx="10">
                  <c:v>426214.97881841898</c:v>
                </c:pt>
                <c:pt idx="11">
                  <c:v>427107.09982563002</c:v>
                </c:pt>
                <c:pt idx="12">
                  <c:v>427864.478082577</c:v>
                </c:pt>
                <c:pt idx="13">
                  <c:v>424177.49849541701</c:v>
                </c:pt>
                <c:pt idx="14">
                  <c:v>412237.77712923102</c:v>
                </c:pt>
                <c:pt idx="15">
                  <c:v>356266.39270489698</c:v>
                </c:pt>
                <c:pt idx="16">
                  <c:v>386220.82319900399</c:v>
                </c:pt>
                <c:pt idx="17">
                  <c:v>410271.58646060899</c:v>
                </c:pt>
                <c:pt idx="18">
                  <c:v>406293.71815663198</c:v>
                </c:pt>
                <c:pt idx="19">
                  <c:v>413648.72366698401</c:v>
                </c:pt>
                <c:pt idx="20">
                  <c:v>416056.21023455699</c:v>
                </c:pt>
                <c:pt idx="21">
                  <c:v>417797.28612104</c:v>
                </c:pt>
                <c:pt idx="22">
                  <c:v>419128.01883799903</c:v>
                </c:pt>
                <c:pt idx="23">
                  <c:v>423781.00449866999</c:v>
                </c:pt>
                <c:pt idx="24">
                  <c:v>423465.60126732301</c:v>
                </c:pt>
                <c:pt idx="25">
                  <c:v>428691.03943045298</c:v>
                </c:pt>
                <c:pt idx="26">
                  <c:v>431745.40660600102</c:v>
                </c:pt>
                <c:pt idx="27">
                  <c:v>427680.73515842098</c:v>
                </c:pt>
                <c:pt idx="28">
                  <c:v>433901.21514960099</c:v>
                </c:pt>
                <c:pt idx="29">
                  <c:v>447253.33956892003</c:v>
                </c:pt>
                <c:pt idx="30">
                  <c:v>442808.24900083698</c:v>
                </c:pt>
                <c:pt idx="31">
                  <c:v>444261.60251938301</c:v>
                </c:pt>
                <c:pt idx="32">
                  <c:v>445317.42170778301</c:v>
                </c:pt>
                <c:pt idx="33">
                  <c:v>445861.72528947599</c:v>
                </c:pt>
                <c:pt idx="34">
                  <c:v>456894.18839377002</c:v>
                </c:pt>
                <c:pt idx="35">
                  <c:v>449460.80847174802</c:v>
                </c:pt>
                <c:pt idx="36">
                  <c:v>436571.47154292499</c:v>
                </c:pt>
                <c:pt idx="37">
                  <c:v>444589.61784018797</c:v>
                </c:pt>
                <c:pt idx="38" formatCode="General">
                  <c:v>453158.39541414299</c:v>
                </c:pt>
              </c:numCache>
            </c:numRef>
          </c:val>
          <c:smooth val="0"/>
          <c:extLst>
            <c:ext xmlns:c16="http://schemas.microsoft.com/office/drawing/2014/chart" uri="{C3380CC4-5D6E-409C-BE32-E72D297353CC}">
              <c16:uniqueId val="{00000002-CED2-4CDE-9D02-5B52CD61E60F}"/>
            </c:ext>
          </c:extLst>
        </c:ser>
        <c:dLbls>
          <c:showLegendKey val="0"/>
          <c:showVal val="0"/>
          <c:showCatName val="0"/>
          <c:showSerName val="0"/>
          <c:showPercent val="0"/>
          <c:showBubbleSize val="0"/>
        </c:dLbls>
        <c:smooth val="0"/>
        <c:axId val="761081920"/>
        <c:axId val="761082480"/>
      </c:lineChart>
      <c:catAx>
        <c:axId val="761081920"/>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0" vert="horz"/>
          <a:lstStyle/>
          <a:p>
            <a:pPr>
              <a:defRPr sz="750">
                <a:latin typeface="+mn-lt"/>
              </a:defRPr>
            </a:pPr>
            <a:endParaRPr lang="sr-Latn-RS"/>
          </a:p>
        </c:txPr>
        <c:crossAx val="761082480"/>
        <c:crosses val="autoZero"/>
        <c:auto val="1"/>
        <c:lblAlgn val="ctr"/>
        <c:lblOffset val="100"/>
        <c:tickMarkSkip val="1"/>
        <c:noMultiLvlLbl val="1"/>
      </c:catAx>
      <c:valAx>
        <c:axId val="761082480"/>
        <c:scaling>
          <c:orientation val="minMax"/>
          <c:max val="475000"/>
          <c:min val="325000"/>
        </c:scaling>
        <c:delete val="0"/>
        <c:axPos val="l"/>
        <c:numFmt formatCode="#,##0" sourceLinked="0"/>
        <c:majorTickMark val="none"/>
        <c:minorTickMark val="none"/>
        <c:tickLblPos val="nextTo"/>
        <c:spPr>
          <a:noFill/>
          <a:ln>
            <a:noFill/>
          </a:ln>
          <a:effectLst/>
        </c:spPr>
        <c:txPr>
          <a:bodyPr rot="-60000000" vert="horz"/>
          <a:lstStyle/>
          <a:p>
            <a:pPr>
              <a:defRPr sz="750">
                <a:latin typeface="+mn-lt"/>
              </a:defRPr>
            </a:pPr>
            <a:endParaRPr lang="sr-Latn-RS"/>
          </a:p>
        </c:txPr>
        <c:crossAx val="761081920"/>
        <c:crossesAt val="1"/>
        <c:crossBetween val="between"/>
        <c:majorUnit val="50000"/>
      </c:valAx>
      <c:spPr>
        <a:noFill/>
        <a:ln>
          <a:noFill/>
        </a:ln>
        <a:effectLst/>
      </c:spPr>
    </c:plotArea>
    <c:legend>
      <c:legendPos val="b"/>
      <c:layout>
        <c:manualLayout>
          <c:xMode val="edge"/>
          <c:yMode val="edge"/>
          <c:x val="6.2037037037037029E-2"/>
          <c:y val="0.82083867521367515"/>
          <c:w val="0.88055555555555554"/>
          <c:h val="0.17916132478632482"/>
        </c:manualLayout>
      </c:layout>
      <c:overlay val="0"/>
      <c:spPr>
        <a:noFill/>
        <a:ln>
          <a:noFill/>
        </a:ln>
        <a:effectLst/>
      </c:spPr>
      <c:txPr>
        <a:bodyPr rot="0" vert="horz"/>
        <a:lstStyle/>
        <a:p>
          <a:pPr>
            <a:defRPr sz="750">
              <a:latin typeface="+mn-lt"/>
            </a:defRPr>
          </a:pPr>
          <a:endParaRPr lang="sr-Latn-RS"/>
        </a:p>
      </c:txPr>
    </c:legend>
    <c:plotVisOnly val="1"/>
    <c:dispBlanksAs val="gap"/>
    <c:showDLblsOverMax val="0"/>
  </c:chart>
  <c:spPr>
    <a:noFill/>
    <a:ln w="9525" cap="flat" cmpd="sng" algn="ctr">
      <a:noFill/>
      <a:round/>
    </a:ln>
    <a:effectLst/>
  </c:spPr>
  <c:txPr>
    <a:bodyPr/>
    <a:lstStyle/>
    <a:p>
      <a:pPr>
        <a:defRPr sz="800">
          <a:solidFill>
            <a:schemeClr val="tx2"/>
          </a:solidFill>
          <a:latin typeface="Arial" panose="020B0604020202020204" pitchFamily="34" charset="0"/>
          <a:cs typeface="Arial" panose="020B0604020202020204" pitchFamily="34" charset="0"/>
        </a:defRPr>
      </a:pPr>
      <a:endParaRPr lang="sr-Latn-RS"/>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graf'!$G$7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8.0960392284069399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505-42E8-96F0-AA14ED4C76C7}"/>
                </c:ext>
              </c:extLst>
            </c:dLbl>
            <c:dLbl>
              <c:idx val="12"/>
              <c:layout>
                <c:manualLayout>
                  <c:x val="8.1043833308474866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05-42E8-96F0-AA14ED4C76C7}"/>
                </c:ext>
              </c:extLst>
            </c:dLbl>
            <c:dLbl>
              <c:idx val="24"/>
              <c:layout>
                <c:manualLayout>
                  <c:x val="7.9938239735102404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505-42E8-96F0-AA14ED4C76C7}"/>
                </c:ext>
              </c:extLst>
            </c:dLbl>
            <c:dLbl>
              <c:idx val="36"/>
              <c:layout>
                <c:manualLayout>
                  <c:x val="-3.0250000000001617E-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05-42E8-96F0-AA14ED4C76C7}"/>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graf'!$G$32:$G$70</c:f>
              <c:numCache>
                <c:formatCode>General</c:formatCode>
                <c:ptCount val="39"/>
                <c:pt idx="0">
                  <c:v>70</c:v>
                </c:pt>
                <c:pt idx="12">
                  <c:v>70</c:v>
                </c:pt>
                <c:pt idx="24">
                  <c:v>70</c:v>
                </c:pt>
                <c:pt idx="36">
                  <c:v>70</c:v>
                </c:pt>
              </c:numCache>
            </c:numRef>
          </c:val>
          <c:smooth val="0"/>
          <c:extLst>
            <c:ext xmlns:c16="http://schemas.microsoft.com/office/drawing/2014/chart" uri="{C3380CC4-5D6E-409C-BE32-E72D297353CC}">
              <c16:uniqueId val="{00000004-A505-42E8-96F0-AA14ED4C76C7}"/>
            </c:ext>
          </c:extLst>
        </c:ser>
        <c:ser>
          <c:idx val="4"/>
          <c:order val="1"/>
          <c:tx>
            <c:strRef>
              <c:f>'Prerađivačka_6 graf'!$H$7</c:f>
              <c:strCache>
                <c:ptCount val="1"/>
                <c:pt idx="0">
                  <c:v>Series5</c:v>
                </c:pt>
              </c:strCache>
            </c:strRef>
          </c:tx>
          <c:spPr>
            <a:ln w="25400" cap="rnd">
              <a:noFill/>
              <a:round/>
            </a:ln>
            <a:effectLst/>
          </c:spPr>
          <c:marker>
            <c:symbol val="none"/>
          </c:marker>
          <c:dLbls>
            <c:dLbl>
              <c:idx val="0"/>
              <c:tx>
                <c:rich>
                  <a:bodyPr/>
                  <a:lstStyle/>
                  <a:p>
                    <a:fld id="{E1B4AA9E-78B4-459B-A3CB-7EFA8F0994B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A505-42E8-96F0-AA14ED4C76C7}"/>
                </c:ext>
              </c:extLst>
            </c:dLbl>
            <c:dLbl>
              <c:idx val="1"/>
              <c:tx>
                <c:rich>
                  <a:bodyPr/>
                  <a:lstStyle/>
                  <a:p>
                    <a:fld id="{59B09536-D8A6-4DE1-B9CE-D92307F2250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A505-42E8-96F0-AA14ED4C76C7}"/>
                </c:ext>
              </c:extLst>
            </c:dLbl>
            <c:dLbl>
              <c:idx val="2"/>
              <c:tx>
                <c:rich>
                  <a:bodyPr/>
                  <a:lstStyle/>
                  <a:p>
                    <a:fld id="{729140DA-3BA1-43A1-8853-08DB2D6386E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A505-42E8-96F0-AA14ED4C76C7}"/>
                </c:ext>
              </c:extLst>
            </c:dLbl>
            <c:dLbl>
              <c:idx val="3"/>
              <c:tx>
                <c:rich>
                  <a:bodyPr/>
                  <a:lstStyle/>
                  <a:p>
                    <a:fld id="{810F1CAF-8011-42ED-A23A-C65AB069091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A505-42E8-96F0-AA14ED4C76C7}"/>
                </c:ext>
              </c:extLst>
            </c:dLbl>
            <c:dLbl>
              <c:idx val="4"/>
              <c:tx>
                <c:rich>
                  <a:bodyPr/>
                  <a:lstStyle/>
                  <a:p>
                    <a:fld id="{8BD652C4-983D-43D1-AAC7-75A539A6CB4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A505-42E8-96F0-AA14ED4C76C7}"/>
                </c:ext>
              </c:extLst>
            </c:dLbl>
            <c:dLbl>
              <c:idx val="5"/>
              <c:tx>
                <c:rich>
                  <a:bodyPr/>
                  <a:lstStyle/>
                  <a:p>
                    <a:fld id="{F704084C-9398-4F71-A867-49F4A1A3234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A505-42E8-96F0-AA14ED4C76C7}"/>
                </c:ext>
              </c:extLst>
            </c:dLbl>
            <c:dLbl>
              <c:idx val="6"/>
              <c:tx>
                <c:rich>
                  <a:bodyPr/>
                  <a:lstStyle/>
                  <a:p>
                    <a:fld id="{3CD98BFE-40F0-46C7-91CE-FE4C5C62531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A505-42E8-96F0-AA14ED4C76C7}"/>
                </c:ext>
              </c:extLst>
            </c:dLbl>
            <c:dLbl>
              <c:idx val="7"/>
              <c:tx>
                <c:rich>
                  <a:bodyPr/>
                  <a:lstStyle/>
                  <a:p>
                    <a:fld id="{6FD648B1-1338-4557-837C-65944F2712B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A505-42E8-96F0-AA14ED4C76C7}"/>
                </c:ext>
              </c:extLst>
            </c:dLbl>
            <c:dLbl>
              <c:idx val="8"/>
              <c:tx>
                <c:rich>
                  <a:bodyPr/>
                  <a:lstStyle/>
                  <a:p>
                    <a:fld id="{32C28AE6-129B-4583-A3F3-6FAB813EE24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A505-42E8-96F0-AA14ED4C76C7}"/>
                </c:ext>
              </c:extLst>
            </c:dLbl>
            <c:dLbl>
              <c:idx val="9"/>
              <c:tx>
                <c:rich>
                  <a:bodyPr/>
                  <a:lstStyle/>
                  <a:p>
                    <a:fld id="{369A80B7-F87B-4785-BFFB-2FC33A292AD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A505-42E8-96F0-AA14ED4C76C7}"/>
                </c:ext>
              </c:extLst>
            </c:dLbl>
            <c:dLbl>
              <c:idx val="10"/>
              <c:tx>
                <c:rich>
                  <a:bodyPr/>
                  <a:lstStyle/>
                  <a:p>
                    <a:fld id="{6CE3A52F-AA8B-4AEF-A454-D3B097D3FEC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A505-42E8-96F0-AA14ED4C76C7}"/>
                </c:ext>
              </c:extLst>
            </c:dLbl>
            <c:dLbl>
              <c:idx val="11"/>
              <c:tx>
                <c:rich>
                  <a:bodyPr/>
                  <a:lstStyle/>
                  <a:p>
                    <a:fld id="{8FAFE05D-BE7C-4D5E-92BB-4574E5CF96B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A505-42E8-96F0-AA14ED4C76C7}"/>
                </c:ext>
              </c:extLst>
            </c:dLbl>
            <c:dLbl>
              <c:idx val="12"/>
              <c:tx>
                <c:rich>
                  <a:bodyPr/>
                  <a:lstStyle/>
                  <a:p>
                    <a:fld id="{A5FFE7A3-BECC-429E-997E-0FAA36540B8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A505-42E8-96F0-AA14ED4C76C7}"/>
                </c:ext>
              </c:extLst>
            </c:dLbl>
            <c:dLbl>
              <c:idx val="13"/>
              <c:tx>
                <c:rich>
                  <a:bodyPr/>
                  <a:lstStyle/>
                  <a:p>
                    <a:fld id="{A3B981AC-8F59-41FA-A63B-196103733B5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A505-42E8-96F0-AA14ED4C76C7}"/>
                </c:ext>
              </c:extLst>
            </c:dLbl>
            <c:dLbl>
              <c:idx val="14"/>
              <c:tx>
                <c:rich>
                  <a:bodyPr/>
                  <a:lstStyle/>
                  <a:p>
                    <a:fld id="{E537483B-A349-4AC0-9641-A185DB2182F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A505-42E8-96F0-AA14ED4C76C7}"/>
                </c:ext>
              </c:extLst>
            </c:dLbl>
            <c:dLbl>
              <c:idx val="15"/>
              <c:tx>
                <c:rich>
                  <a:bodyPr/>
                  <a:lstStyle/>
                  <a:p>
                    <a:fld id="{76215920-2BD7-4B58-A275-79A30FC4921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A505-42E8-96F0-AA14ED4C76C7}"/>
                </c:ext>
              </c:extLst>
            </c:dLbl>
            <c:dLbl>
              <c:idx val="16"/>
              <c:tx>
                <c:rich>
                  <a:bodyPr/>
                  <a:lstStyle/>
                  <a:p>
                    <a:fld id="{1D343A8F-EE95-441F-BF6A-EF4DE14BBD4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A505-42E8-96F0-AA14ED4C76C7}"/>
                </c:ext>
              </c:extLst>
            </c:dLbl>
            <c:dLbl>
              <c:idx val="17"/>
              <c:tx>
                <c:rich>
                  <a:bodyPr/>
                  <a:lstStyle/>
                  <a:p>
                    <a:fld id="{D4E69AEF-85D2-4F30-A803-4A4CC579CC7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A505-42E8-96F0-AA14ED4C76C7}"/>
                </c:ext>
              </c:extLst>
            </c:dLbl>
            <c:dLbl>
              <c:idx val="18"/>
              <c:tx>
                <c:rich>
                  <a:bodyPr/>
                  <a:lstStyle/>
                  <a:p>
                    <a:fld id="{711DFDA6-5EE6-4290-90C4-D48ADD01EC5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A505-42E8-96F0-AA14ED4C76C7}"/>
                </c:ext>
              </c:extLst>
            </c:dLbl>
            <c:dLbl>
              <c:idx val="19"/>
              <c:tx>
                <c:rich>
                  <a:bodyPr/>
                  <a:lstStyle/>
                  <a:p>
                    <a:fld id="{3CB6F9B2-6B27-49A7-804A-049644DC6EA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A505-42E8-96F0-AA14ED4C76C7}"/>
                </c:ext>
              </c:extLst>
            </c:dLbl>
            <c:dLbl>
              <c:idx val="20"/>
              <c:tx>
                <c:rich>
                  <a:bodyPr/>
                  <a:lstStyle/>
                  <a:p>
                    <a:fld id="{9F918B87-456D-4942-AC6A-6182E06D7A4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A505-42E8-96F0-AA14ED4C76C7}"/>
                </c:ext>
              </c:extLst>
            </c:dLbl>
            <c:dLbl>
              <c:idx val="21"/>
              <c:tx>
                <c:rich>
                  <a:bodyPr/>
                  <a:lstStyle/>
                  <a:p>
                    <a:fld id="{9F06F3E4-DC1D-47C5-BD76-9D888E9C53E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A505-42E8-96F0-AA14ED4C76C7}"/>
                </c:ext>
              </c:extLst>
            </c:dLbl>
            <c:dLbl>
              <c:idx val="22"/>
              <c:tx>
                <c:rich>
                  <a:bodyPr/>
                  <a:lstStyle/>
                  <a:p>
                    <a:fld id="{D1C368EB-CA51-4461-BBC6-98E5FF64C00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A505-42E8-96F0-AA14ED4C76C7}"/>
                </c:ext>
              </c:extLst>
            </c:dLbl>
            <c:dLbl>
              <c:idx val="23"/>
              <c:tx>
                <c:rich>
                  <a:bodyPr/>
                  <a:lstStyle/>
                  <a:p>
                    <a:fld id="{B2BB3871-441E-4D05-B547-7B327F7DC14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A505-42E8-96F0-AA14ED4C76C7}"/>
                </c:ext>
              </c:extLst>
            </c:dLbl>
            <c:dLbl>
              <c:idx val="24"/>
              <c:tx>
                <c:rich>
                  <a:bodyPr/>
                  <a:lstStyle/>
                  <a:p>
                    <a:fld id="{CA929F3F-C772-4CF5-B5E4-390CCA04B2F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A505-42E8-96F0-AA14ED4C76C7}"/>
                </c:ext>
              </c:extLst>
            </c:dLbl>
            <c:dLbl>
              <c:idx val="25"/>
              <c:tx>
                <c:rich>
                  <a:bodyPr/>
                  <a:lstStyle/>
                  <a:p>
                    <a:fld id="{549ECB18-8C8D-4D5A-B99B-13A661D0B3D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A505-42E8-96F0-AA14ED4C76C7}"/>
                </c:ext>
              </c:extLst>
            </c:dLbl>
            <c:dLbl>
              <c:idx val="26"/>
              <c:tx>
                <c:rich>
                  <a:bodyPr/>
                  <a:lstStyle/>
                  <a:p>
                    <a:fld id="{7E83BCE6-A22B-4C3D-8767-B06A907739E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A505-42E8-96F0-AA14ED4C76C7}"/>
                </c:ext>
              </c:extLst>
            </c:dLbl>
            <c:dLbl>
              <c:idx val="27"/>
              <c:tx>
                <c:rich>
                  <a:bodyPr/>
                  <a:lstStyle/>
                  <a:p>
                    <a:fld id="{5BA23EE1-CE50-42D4-B202-6EB74C62C31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A505-42E8-96F0-AA14ED4C76C7}"/>
                </c:ext>
              </c:extLst>
            </c:dLbl>
            <c:dLbl>
              <c:idx val="28"/>
              <c:tx>
                <c:rich>
                  <a:bodyPr/>
                  <a:lstStyle/>
                  <a:p>
                    <a:fld id="{0B3DA875-DC10-4493-839F-332A52F13CE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A505-42E8-96F0-AA14ED4C76C7}"/>
                </c:ext>
              </c:extLst>
            </c:dLbl>
            <c:dLbl>
              <c:idx val="29"/>
              <c:tx>
                <c:rich>
                  <a:bodyPr/>
                  <a:lstStyle/>
                  <a:p>
                    <a:fld id="{3A1C4F4B-82AD-4340-ADF8-EC0AD41B28A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A505-42E8-96F0-AA14ED4C76C7}"/>
                </c:ext>
              </c:extLst>
            </c:dLbl>
            <c:dLbl>
              <c:idx val="30"/>
              <c:tx>
                <c:rich>
                  <a:bodyPr/>
                  <a:lstStyle/>
                  <a:p>
                    <a:fld id="{6507CB75-0B31-4C54-BA6A-6081C3E1BF3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A505-42E8-96F0-AA14ED4C76C7}"/>
                </c:ext>
              </c:extLst>
            </c:dLbl>
            <c:dLbl>
              <c:idx val="31"/>
              <c:tx>
                <c:rich>
                  <a:bodyPr/>
                  <a:lstStyle/>
                  <a:p>
                    <a:fld id="{4C03AEDF-6314-4324-93EA-0A2109A8A83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4-A505-42E8-96F0-AA14ED4C76C7}"/>
                </c:ext>
              </c:extLst>
            </c:dLbl>
            <c:dLbl>
              <c:idx val="32"/>
              <c:tx>
                <c:rich>
                  <a:bodyPr/>
                  <a:lstStyle/>
                  <a:p>
                    <a:fld id="{B999CDFD-F51A-4A3C-AF31-2B6B01E287C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A505-42E8-96F0-AA14ED4C76C7}"/>
                </c:ext>
              </c:extLst>
            </c:dLbl>
            <c:dLbl>
              <c:idx val="33"/>
              <c:tx>
                <c:rich>
                  <a:bodyPr/>
                  <a:lstStyle/>
                  <a:p>
                    <a:fld id="{66AEDAD4-9E1E-46C0-A63D-F77475D0543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A505-42E8-96F0-AA14ED4C76C7}"/>
                </c:ext>
              </c:extLst>
            </c:dLbl>
            <c:dLbl>
              <c:idx val="34"/>
              <c:tx>
                <c:rich>
                  <a:bodyPr/>
                  <a:lstStyle/>
                  <a:p>
                    <a:fld id="{6DC84E9B-9155-4C10-B0E8-2950A4FF497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7-A505-42E8-96F0-AA14ED4C76C7}"/>
                </c:ext>
              </c:extLst>
            </c:dLbl>
            <c:dLbl>
              <c:idx val="35"/>
              <c:tx>
                <c:rich>
                  <a:bodyPr/>
                  <a:lstStyle/>
                  <a:p>
                    <a:fld id="{7EA00D2E-012D-480E-BAC7-CC14345EFA1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A505-42E8-96F0-AA14ED4C76C7}"/>
                </c:ext>
              </c:extLst>
            </c:dLbl>
            <c:dLbl>
              <c:idx val="36"/>
              <c:tx>
                <c:rich>
                  <a:bodyPr/>
                  <a:lstStyle/>
                  <a:p>
                    <a:fld id="{0D052367-8C9F-41B3-AC20-BF2C36FBA06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A505-42E8-96F0-AA14ED4C76C7}"/>
                </c:ext>
              </c:extLst>
            </c:dLbl>
            <c:dLbl>
              <c:idx val="37"/>
              <c:tx>
                <c:rich>
                  <a:bodyPr/>
                  <a:lstStyle/>
                  <a:p>
                    <a:fld id="{9B451683-F26A-42CE-B62F-C8C1113B611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A-A505-42E8-96F0-AA14ED4C76C7}"/>
                </c:ext>
              </c:extLst>
            </c:dLbl>
            <c:dLbl>
              <c:idx val="38"/>
              <c:tx>
                <c:rich>
                  <a:bodyPr/>
                  <a:lstStyle/>
                  <a:p>
                    <a:fld id="{0C49F949-C77B-41FF-A54D-2B2811123B1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A505-42E8-96F0-AA14ED4C76C7}"/>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graf'!$H$32:$H$70</c:f>
              <c:numCache>
                <c:formatCode>General</c:formatCode>
                <c:ptCount val="39"/>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pt idx="15">
                  <c:v>70</c:v>
                </c:pt>
                <c:pt idx="16">
                  <c:v>70</c:v>
                </c:pt>
                <c:pt idx="17">
                  <c:v>70</c:v>
                </c:pt>
                <c:pt idx="18">
                  <c:v>70</c:v>
                </c:pt>
                <c:pt idx="19">
                  <c:v>70</c:v>
                </c:pt>
                <c:pt idx="20">
                  <c:v>70</c:v>
                </c:pt>
                <c:pt idx="21">
                  <c:v>70</c:v>
                </c:pt>
                <c:pt idx="22">
                  <c:v>70</c:v>
                </c:pt>
                <c:pt idx="23">
                  <c:v>70</c:v>
                </c:pt>
                <c:pt idx="24">
                  <c:v>70</c:v>
                </c:pt>
                <c:pt idx="25">
                  <c:v>70</c:v>
                </c:pt>
                <c:pt idx="26">
                  <c:v>70</c:v>
                </c:pt>
                <c:pt idx="27">
                  <c:v>70</c:v>
                </c:pt>
                <c:pt idx="28">
                  <c:v>70</c:v>
                </c:pt>
                <c:pt idx="29">
                  <c:v>70</c:v>
                </c:pt>
                <c:pt idx="30">
                  <c:v>70</c:v>
                </c:pt>
                <c:pt idx="31">
                  <c:v>70</c:v>
                </c:pt>
                <c:pt idx="32">
                  <c:v>70</c:v>
                </c:pt>
                <c:pt idx="33">
                  <c:v>70</c:v>
                </c:pt>
                <c:pt idx="34">
                  <c:v>70</c:v>
                </c:pt>
                <c:pt idx="35">
                  <c:v>70</c:v>
                </c:pt>
                <c:pt idx="36">
                  <c:v>70</c:v>
                </c:pt>
                <c:pt idx="37">
                  <c:v>70</c:v>
                </c:pt>
                <c:pt idx="38">
                  <c:v>70</c:v>
                </c:pt>
              </c:numCache>
            </c:numRef>
          </c:val>
          <c:smooth val="0"/>
          <c:extLst>
            <c:ext xmlns:c15="http://schemas.microsoft.com/office/drawing/2012/chart" uri="{02D57815-91ED-43cb-92C2-25804820EDAC}">
              <c15:datalabelsRange>
                <c15:f>'Prerađivačka_6 graf'!$E$32:$E$70</c15:f>
                <c15:dlblRangeCache>
                  <c:ptCount val="3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15:dlblRangeCache>
              </c15:datalabelsRange>
            </c:ext>
            <c:ext xmlns:c16="http://schemas.microsoft.com/office/drawing/2014/chart" uri="{C3380CC4-5D6E-409C-BE32-E72D297353CC}">
              <c16:uniqueId val="{0000002C-A505-42E8-96F0-AA14ED4C76C7}"/>
            </c:ext>
          </c:extLst>
        </c:ser>
        <c:ser>
          <c:idx val="0"/>
          <c:order val="2"/>
          <c:tx>
            <c:strRef>
              <c:f>'Prerađivačka_6 graf'!$I$7</c:f>
              <c:strCache>
                <c:ptCount val="1"/>
                <c:pt idx="0">
                  <c:v>y</c:v>
                </c:pt>
              </c:strCache>
            </c:strRef>
          </c:tx>
          <c:spPr>
            <a:ln w="12700" cap="rnd">
              <a:solidFill>
                <a:srgbClr val="7F3F98"/>
              </a:solidFill>
              <a:prstDash val="sysDash"/>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graf'!$I$32:$I$70</c:f>
              <c:numCache>
                <c:formatCode>0.0</c:formatCode>
                <c:ptCount val="39"/>
                <c:pt idx="0">
                  <c:v>77.790721578839154</c:v>
                </c:pt>
                <c:pt idx="1">
                  <c:v>84.286986911532907</c:v>
                </c:pt>
                <c:pt idx="2">
                  <c:v>90.865483450969634</c:v>
                </c:pt>
                <c:pt idx="3">
                  <c:v>89.138628109367502</c:v>
                </c:pt>
                <c:pt idx="4">
                  <c:v>97.608442403892269</c:v>
                </c:pt>
                <c:pt idx="5">
                  <c:v>94.07250051394503</c:v>
                </c:pt>
                <c:pt idx="6">
                  <c:v>100.23984101966697</c:v>
                </c:pt>
                <c:pt idx="7">
                  <c:v>90.947714657712581</c:v>
                </c:pt>
                <c:pt idx="8">
                  <c:v>101.5555403275543</c:v>
                </c:pt>
                <c:pt idx="9">
                  <c:v>108.54519290070581</c:v>
                </c:pt>
                <c:pt idx="10">
                  <c:v>103.28239566915643</c:v>
                </c:pt>
                <c:pt idx="11">
                  <c:v>97.526211197149308</c:v>
                </c:pt>
                <c:pt idx="12">
                  <c:v>83.546906050846275</c:v>
                </c:pt>
                <c:pt idx="13">
                  <c:v>91.358870691427384</c:v>
                </c:pt>
                <c:pt idx="14">
                  <c:v>93.167957239772477</c:v>
                </c:pt>
                <c:pt idx="15">
                  <c:v>71.212225039402441</c:v>
                </c:pt>
                <c:pt idx="16">
                  <c:v>88.480778455423817</c:v>
                </c:pt>
                <c:pt idx="17">
                  <c:v>98.67744809155073</c:v>
                </c:pt>
                <c:pt idx="18">
                  <c:v>99.746453779209205</c:v>
                </c:pt>
                <c:pt idx="19">
                  <c:v>94.401425340916873</c:v>
                </c:pt>
                <c:pt idx="20">
                  <c:v>106.16048790516</c:v>
                </c:pt>
                <c:pt idx="21">
                  <c:v>107.9695744535051</c:v>
                </c:pt>
                <c:pt idx="22">
                  <c:v>99.581991365723283</c:v>
                </c:pt>
                <c:pt idx="23">
                  <c:v>102.87123963544163</c:v>
                </c:pt>
                <c:pt idx="24">
                  <c:v>83.06451612903227</c:v>
                </c:pt>
                <c:pt idx="25">
                  <c:v>92.164544564152791</c:v>
                </c:pt>
                <c:pt idx="26">
                  <c:v>100.00000000000001</c:v>
                </c:pt>
                <c:pt idx="27">
                  <c:v>100.97992188035359</c:v>
                </c:pt>
                <c:pt idx="28">
                  <c:v>97.197286370177466</c:v>
                </c:pt>
                <c:pt idx="29">
                  <c:v>104.9270198040156</c:v>
                </c:pt>
                <c:pt idx="30">
                  <c:v>101.47330912081134</c:v>
                </c:pt>
                <c:pt idx="31">
                  <c:v>95.552662235318294</c:v>
                </c:pt>
                <c:pt idx="32">
                  <c:v>104.02247652984306</c:v>
                </c:pt>
                <c:pt idx="33">
                  <c:v>107.88734324676213</c:v>
                </c:pt>
                <c:pt idx="34">
                  <c:v>106.07825669841704</c:v>
                </c:pt>
                <c:pt idx="35">
                  <c:v>105.42040704447335</c:v>
                </c:pt>
                <c:pt idx="36">
                  <c:v>82.8</c:v>
                </c:pt>
                <c:pt idx="37">
                  <c:v>94</c:v>
                </c:pt>
                <c:pt idx="38">
                  <c:v>109.9</c:v>
                </c:pt>
              </c:numCache>
            </c:numRef>
          </c:val>
          <c:smooth val="0"/>
          <c:extLst>
            <c:ext xmlns:c16="http://schemas.microsoft.com/office/drawing/2014/chart" uri="{C3380CC4-5D6E-409C-BE32-E72D297353CC}">
              <c16:uniqueId val="{0000002D-A505-42E8-96F0-AA14ED4C76C7}"/>
            </c:ext>
          </c:extLst>
        </c:ser>
        <c:ser>
          <c:idx val="1"/>
          <c:order val="3"/>
          <c:tx>
            <c:strRef>
              <c:f>'Prerađivačka_6 graf'!$J$7</c:f>
              <c:strCache>
                <c:ptCount val="1"/>
                <c:pt idx="0">
                  <c:v>sa</c:v>
                </c:pt>
              </c:strCache>
            </c:strRef>
          </c:tx>
          <c:spPr>
            <a:ln w="22225" cap="rnd">
              <a:solidFill>
                <a:srgbClr val="25AAE1"/>
              </a:solidFill>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graf'!$J$32:$J$70</c:f>
              <c:numCache>
                <c:formatCode>0.0</c:formatCode>
                <c:ptCount val="39"/>
                <c:pt idx="0">
                  <c:v>93.394303207472873</c:v>
                </c:pt>
                <c:pt idx="1">
                  <c:v>94.071098226048605</c:v>
                </c:pt>
                <c:pt idx="2">
                  <c:v>91.486180321229611</c:v>
                </c:pt>
                <c:pt idx="3">
                  <c:v>90.5401661619469</c:v>
                </c:pt>
                <c:pt idx="4">
                  <c:v>94.948986431060476</c:v>
                </c:pt>
                <c:pt idx="5">
                  <c:v>91.844649988959077</c:v>
                </c:pt>
                <c:pt idx="6">
                  <c:v>97.461245842558867</c:v>
                </c:pt>
                <c:pt idx="7">
                  <c:v>94.173230991592277</c:v>
                </c:pt>
                <c:pt idx="8">
                  <c:v>96.285138655496937</c:v>
                </c:pt>
                <c:pt idx="9">
                  <c:v>97.411233595695364</c:v>
                </c:pt>
                <c:pt idx="10">
                  <c:v>98.594387691463695</c:v>
                </c:pt>
                <c:pt idx="11">
                  <c:v>96.423835121617131</c:v>
                </c:pt>
                <c:pt idx="12">
                  <c:v>99.933355565467963</c:v>
                </c:pt>
                <c:pt idx="13">
                  <c:v>95.002145568522394</c:v>
                </c:pt>
                <c:pt idx="14">
                  <c:v>92.997452594442606</c:v>
                </c:pt>
                <c:pt idx="15">
                  <c:v>72.26181715375246</c:v>
                </c:pt>
                <c:pt idx="16">
                  <c:v>87.652242690861542</c:v>
                </c:pt>
                <c:pt idx="17">
                  <c:v>94.306997125635306</c:v>
                </c:pt>
                <c:pt idx="18">
                  <c:v>96.72657652500547</c:v>
                </c:pt>
                <c:pt idx="19">
                  <c:v>99.068887153211776</c:v>
                </c:pt>
                <c:pt idx="20">
                  <c:v>99.449567295288531</c:v>
                </c:pt>
                <c:pt idx="21">
                  <c:v>98.139789342246971</c:v>
                </c:pt>
                <c:pt idx="22">
                  <c:v>95.178652661496869</c:v>
                </c:pt>
                <c:pt idx="23">
                  <c:v>100.13947222707147</c:v>
                </c:pt>
                <c:pt idx="24">
                  <c:v>100.60116626706269</c:v>
                </c:pt>
                <c:pt idx="25">
                  <c:v>102.45472542497671</c:v>
                </c:pt>
                <c:pt idx="26">
                  <c:v>98.646296148493363</c:v>
                </c:pt>
                <c:pt idx="27">
                  <c:v>102.57225930174693</c:v>
                </c:pt>
                <c:pt idx="28">
                  <c:v>94.334173189533999</c:v>
                </c:pt>
                <c:pt idx="29">
                  <c:v>100.51647412936768</c:v>
                </c:pt>
                <c:pt idx="30">
                  <c:v>99.459739255017226</c:v>
                </c:pt>
                <c:pt idx="31">
                  <c:v>98.970245850409498</c:v>
                </c:pt>
                <c:pt idx="32">
                  <c:v>97.645533617163437</c:v>
                </c:pt>
                <c:pt idx="33">
                  <c:v>99.39487118052935</c:v>
                </c:pt>
                <c:pt idx="34">
                  <c:v>100.26240156080475</c:v>
                </c:pt>
                <c:pt idx="35">
                  <c:v>102.28428633587055</c:v>
                </c:pt>
                <c:pt idx="36">
                  <c:v>98.185527229552804</c:v>
                </c:pt>
                <c:pt idx="37">
                  <c:v>104.05442741889624</c:v>
                </c:pt>
                <c:pt idx="38">
                  <c:v>108.11066173802338</c:v>
                </c:pt>
              </c:numCache>
            </c:numRef>
          </c:val>
          <c:smooth val="0"/>
          <c:extLst>
            <c:ext xmlns:c16="http://schemas.microsoft.com/office/drawing/2014/chart" uri="{C3380CC4-5D6E-409C-BE32-E72D297353CC}">
              <c16:uniqueId val="{0000002E-A505-42E8-96F0-AA14ED4C76C7}"/>
            </c:ext>
          </c:extLst>
        </c:ser>
        <c:ser>
          <c:idx val="2"/>
          <c:order val="4"/>
          <c:tx>
            <c:strRef>
              <c:f>'Prerađivačka_6 graf'!$K$7</c:f>
              <c:strCache>
                <c:ptCount val="1"/>
                <c:pt idx="0">
                  <c:v>t</c:v>
                </c:pt>
              </c:strCache>
            </c:strRef>
          </c:tx>
          <c:spPr>
            <a:ln w="25400" cap="rnd">
              <a:solidFill>
                <a:srgbClr val="FF0000"/>
              </a:solidFill>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graf'!$K$32:$K$70</c:f>
              <c:numCache>
                <c:formatCode>0.0</c:formatCode>
                <c:ptCount val="39"/>
                <c:pt idx="0">
                  <c:v>92.719285166549241</c:v>
                </c:pt>
                <c:pt idx="1">
                  <c:v>92.428147745840462</c:v>
                </c:pt>
                <c:pt idx="2">
                  <c:v>92.532645624035638</c:v>
                </c:pt>
                <c:pt idx="3">
                  <c:v>92.910487121010604</c:v>
                </c:pt>
                <c:pt idx="4">
                  <c:v>93.403843220347781</c:v>
                </c:pt>
                <c:pt idx="5">
                  <c:v>94.03273475306726</c:v>
                </c:pt>
                <c:pt idx="6">
                  <c:v>94.821672780889486</c:v>
                </c:pt>
                <c:pt idx="7">
                  <c:v>95.744898159933854</c:v>
                </c:pt>
                <c:pt idx="8">
                  <c:v>96.596185767077358</c:v>
                </c:pt>
                <c:pt idx="9">
                  <c:v>97.17177196897633</c:v>
                </c:pt>
                <c:pt idx="10">
                  <c:v>97.337419964094906</c:v>
                </c:pt>
                <c:pt idx="11">
                  <c:v>96.992133999006285</c:v>
                </c:pt>
                <c:pt idx="12">
                  <c:v>96.162077277375971</c:v>
                </c:pt>
                <c:pt idx="13">
                  <c:v>95.118643690871096</c:v>
                </c:pt>
                <c:pt idx="14">
                  <c:v>94.177084429545573</c:v>
                </c:pt>
                <c:pt idx="15">
                  <c:v>93.843256288134143</c:v>
                </c:pt>
                <c:pt idx="16">
                  <c:v>94.274178576394647</c:v>
                </c:pt>
                <c:pt idx="17">
                  <c:v>95.264647301628926</c:v>
                </c:pt>
                <c:pt idx="18">
                  <c:v>96.456991827151413</c:v>
                </c:pt>
                <c:pt idx="19">
                  <c:v>97.520257164061888</c:v>
                </c:pt>
                <c:pt idx="20">
                  <c:v>98.338569904150575</c:v>
                </c:pt>
                <c:pt idx="21">
                  <c:v>98.90126035428807</c:v>
                </c:pt>
                <c:pt idx="22">
                  <c:v>99.357699312317919</c:v>
                </c:pt>
                <c:pt idx="23">
                  <c:v>99.79701514378452</c:v>
                </c:pt>
                <c:pt idx="24">
                  <c:v>100.2733661914953</c:v>
                </c:pt>
                <c:pt idx="25">
                  <c:v>100.72839421104648</c:v>
                </c:pt>
                <c:pt idx="26">
                  <c:v>101.00337082268311</c:v>
                </c:pt>
                <c:pt idx="27">
                  <c:v>100.92511497343298</c:v>
                </c:pt>
                <c:pt idx="28">
                  <c:v>100.50300499744147</c:v>
                </c:pt>
                <c:pt idx="29">
                  <c:v>99.896343860053022</c:v>
                </c:pt>
                <c:pt idx="30">
                  <c:v>99.349283995861228</c:v>
                </c:pt>
                <c:pt idx="31">
                  <c:v>98.994708469416437</c:v>
                </c:pt>
                <c:pt idx="32">
                  <c:v>98.926218962862151</c:v>
                </c:pt>
                <c:pt idx="33">
                  <c:v>99.282489195147804</c:v>
                </c:pt>
                <c:pt idx="34">
                  <c:v>100.22234999957335</c:v>
                </c:pt>
                <c:pt idx="35">
                  <c:v>101.50373828429856</c:v>
                </c:pt>
                <c:pt idx="36">
                  <c:v>102.95597820102731</c:v>
                </c:pt>
                <c:pt idx="37">
                  <c:v>104.3124630051846</c:v>
                </c:pt>
                <c:pt idx="38">
                  <c:v>105.41426263553973</c:v>
                </c:pt>
              </c:numCache>
            </c:numRef>
          </c:val>
          <c:smooth val="0"/>
          <c:extLst>
            <c:ext xmlns:c16="http://schemas.microsoft.com/office/drawing/2014/chart" uri="{C3380CC4-5D6E-409C-BE32-E72D297353CC}">
              <c16:uniqueId val="{0000002F-A505-42E8-96F0-AA14ED4C76C7}"/>
            </c:ext>
          </c:extLst>
        </c:ser>
        <c:dLbls>
          <c:showLegendKey val="0"/>
          <c:showVal val="0"/>
          <c:showCatName val="0"/>
          <c:showSerName val="0"/>
          <c:showPercent val="0"/>
          <c:showBubbleSize val="0"/>
        </c:dLbls>
        <c:marker val="1"/>
        <c:smooth val="0"/>
        <c:axId val="2092180112"/>
        <c:axId val="2092170320"/>
      </c:lineChart>
      <c:dateAx>
        <c:axId val="2092180112"/>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2092170320"/>
        <c:crosses val="autoZero"/>
        <c:auto val="1"/>
        <c:lblOffset val="0"/>
        <c:baseTimeUnit val="months"/>
        <c:majorUnit val="12"/>
        <c:majorTimeUnit val="months"/>
      </c:dateAx>
      <c:valAx>
        <c:axId val="2092170320"/>
        <c:scaling>
          <c:orientation val="minMax"/>
          <c:max val="110"/>
          <c:min val="7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80112"/>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graf'!$L$7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8.116899484508304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8FB-4DEB-AEB7-13417604A972}"/>
                </c:ext>
              </c:extLst>
            </c:dLbl>
            <c:dLbl>
              <c:idx val="12"/>
              <c:layout>
                <c:manualLayout>
                  <c:x val="8.5676200846717718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8FB-4DEB-AEB7-13417604A972}"/>
                </c:ext>
              </c:extLst>
            </c:dLbl>
            <c:dLbl>
              <c:idx val="24"/>
              <c:layout>
                <c:manualLayout>
                  <c:x val="8.4224327022062853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8FB-4DEB-AEB7-13417604A972}"/>
                </c:ext>
              </c:extLst>
            </c:dLbl>
            <c:dLbl>
              <c:idx val="36"/>
              <c:layout>
                <c:manualLayout>
                  <c:x val="-3.0250000000001617E-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8FB-4DEB-AEB7-13417604A972}"/>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graf'!$L$32:$L$70</c:f>
              <c:numCache>
                <c:formatCode>General</c:formatCode>
                <c:ptCount val="39"/>
                <c:pt idx="0">
                  <c:v>75</c:v>
                </c:pt>
                <c:pt idx="12">
                  <c:v>75</c:v>
                </c:pt>
                <c:pt idx="24">
                  <c:v>75</c:v>
                </c:pt>
                <c:pt idx="36">
                  <c:v>75</c:v>
                </c:pt>
              </c:numCache>
            </c:numRef>
          </c:val>
          <c:smooth val="0"/>
          <c:extLst>
            <c:ext xmlns:c16="http://schemas.microsoft.com/office/drawing/2014/chart" uri="{C3380CC4-5D6E-409C-BE32-E72D297353CC}">
              <c16:uniqueId val="{00000004-08FB-4DEB-AEB7-13417604A972}"/>
            </c:ext>
          </c:extLst>
        </c:ser>
        <c:ser>
          <c:idx val="4"/>
          <c:order val="1"/>
          <c:tx>
            <c:strRef>
              <c:f>'Prerađivačka_6 graf'!$M$7</c:f>
              <c:strCache>
                <c:ptCount val="1"/>
                <c:pt idx="0">
                  <c:v>Series5</c:v>
                </c:pt>
              </c:strCache>
            </c:strRef>
          </c:tx>
          <c:spPr>
            <a:ln w="25400" cap="rnd">
              <a:noFill/>
              <a:round/>
            </a:ln>
            <a:effectLst/>
          </c:spPr>
          <c:marker>
            <c:symbol val="none"/>
          </c:marker>
          <c:dLbls>
            <c:dLbl>
              <c:idx val="0"/>
              <c:tx>
                <c:rich>
                  <a:bodyPr/>
                  <a:lstStyle/>
                  <a:p>
                    <a:fld id="{9F9F2248-7490-4003-9B71-17E1B7F9B79D}"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08FB-4DEB-AEB7-13417604A972}"/>
                </c:ext>
              </c:extLst>
            </c:dLbl>
            <c:dLbl>
              <c:idx val="1"/>
              <c:tx>
                <c:rich>
                  <a:bodyPr/>
                  <a:lstStyle/>
                  <a:p>
                    <a:fld id="{454C17E3-ED95-4AEF-AE62-A9295EA52F8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08FB-4DEB-AEB7-13417604A972}"/>
                </c:ext>
              </c:extLst>
            </c:dLbl>
            <c:dLbl>
              <c:idx val="2"/>
              <c:tx>
                <c:rich>
                  <a:bodyPr/>
                  <a:lstStyle/>
                  <a:p>
                    <a:fld id="{4E11E792-23ED-40D5-91CF-35C13B0FF4A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08FB-4DEB-AEB7-13417604A972}"/>
                </c:ext>
              </c:extLst>
            </c:dLbl>
            <c:dLbl>
              <c:idx val="3"/>
              <c:tx>
                <c:rich>
                  <a:bodyPr/>
                  <a:lstStyle/>
                  <a:p>
                    <a:fld id="{409BAFF1-427E-4C71-9DE1-2F934ED0440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08FB-4DEB-AEB7-13417604A972}"/>
                </c:ext>
              </c:extLst>
            </c:dLbl>
            <c:dLbl>
              <c:idx val="4"/>
              <c:tx>
                <c:rich>
                  <a:bodyPr/>
                  <a:lstStyle/>
                  <a:p>
                    <a:fld id="{C946824B-AE61-43DC-A215-BFB95C0F488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08FB-4DEB-AEB7-13417604A972}"/>
                </c:ext>
              </c:extLst>
            </c:dLbl>
            <c:dLbl>
              <c:idx val="5"/>
              <c:tx>
                <c:rich>
                  <a:bodyPr/>
                  <a:lstStyle/>
                  <a:p>
                    <a:fld id="{769B4893-BC64-4187-A8DB-AFE827F5797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08FB-4DEB-AEB7-13417604A972}"/>
                </c:ext>
              </c:extLst>
            </c:dLbl>
            <c:dLbl>
              <c:idx val="6"/>
              <c:tx>
                <c:rich>
                  <a:bodyPr/>
                  <a:lstStyle/>
                  <a:p>
                    <a:fld id="{11CAF377-F05C-4A7A-B9F6-B7BC501361D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08FB-4DEB-AEB7-13417604A972}"/>
                </c:ext>
              </c:extLst>
            </c:dLbl>
            <c:dLbl>
              <c:idx val="7"/>
              <c:tx>
                <c:rich>
                  <a:bodyPr/>
                  <a:lstStyle/>
                  <a:p>
                    <a:fld id="{F7EEDF1F-7340-4160-A016-A956B3F45E8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08FB-4DEB-AEB7-13417604A972}"/>
                </c:ext>
              </c:extLst>
            </c:dLbl>
            <c:dLbl>
              <c:idx val="8"/>
              <c:tx>
                <c:rich>
                  <a:bodyPr/>
                  <a:lstStyle/>
                  <a:p>
                    <a:fld id="{1B740D6C-1AC2-4A96-8649-04A5C174AE7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08FB-4DEB-AEB7-13417604A972}"/>
                </c:ext>
              </c:extLst>
            </c:dLbl>
            <c:dLbl>
              <c:idx val="9"/>
              <c:tx>
                <c:rich>
                  <a:bodyPr/>
                  <a:lstStyle/>
                  <a:p>
                    <a:fld id="{151270B4-5420-4F4F-A1C6-37C1E2DA4AB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08FB-4DEB-AEB7-13417604A972}"/>
                </c:ext>
              </c:extLst>
            </c:dLbl>
            <c:dLbl>
              <c:idx val="10"/>
              <c:tx>
                <c:rich>
                  <a:bodyPr/>
                  <a:lstStyle/>
                  <a:p>
                    <a:fld id="{2C0DCCE1-8C39-4A8A-9078-EACEC044A1A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08FB-4DEB-AEB7-13417604A972}"/>
                </c:ext>
              </c:extLst>
            </c:dLbl>
            <c:dLbl>
              <c:idx val="11"/>
              <c:tx>
                <c:rich>
                  <a:bodyPr/>
                  <a:lstStyle/>
                  <a:p>
                    <a:fld id="{5AD2BDF1-23EB-4DDB-8DAF-32D54F83CF8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08FB-4DEB-AEB7-13417604A972}"/>
                </c:ext>
              </c:extLst>
            </c:dLbl>
            <c:dLbl>
              <c:idx val="12"/>
              <c:tx>
                <c:rich>
                  <a:bodyPr/>
                  <a:lstStyle/>
                  <a:p>
                    <a:fld id="{C5CFAF8C-606F-4334-9DEA-2E954BC020F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08FB-4DEB-AEB7-13417604A972}"/>
                </c:ext>
              </c:extLst>
            </c:dLbl>
            <c:dLbl>
              <c:idx val="13"/>
              <c:tx>
                <c:rich>
                  <a:bodyPr/>
                  <a:lstStyle/>
                  <a:p>
                    <a:fld id="{B205A77C-9DD1-482A-97BC-7593FA62205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08FB-4DEB-AEB7-13417604A972}"/>
                </c:ext>
              </c:extLst>
            </c:dLbl>
            <c:dLbl>
              <c:idx val="14"/>
              <c:tx>
                <c:rich>
                  <a:bodyPr/>
                  <a:lstStyle/>
                  <a:p>
                    <a:fld id="{D134EFB7-A420-415E-8CE9-F4837D21EA3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08FB-4DEB-AEB7-13417604A972}"/>
                </c:ext>
              </c:extLst>
            </c:dLbl>
            <c:dLbl>
              <c:idx val="15"/>
              <c:tx>
                <c:rich>
                  <a:bodyPr/>
                  <a:lstStyle/>
                  <a:p>
                    <a:fld id="{4CD99E22-D35B-4BE1-B3F4-994A5EA9980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08FB-4DEB-AEB7-13417604A972}"/>
                </c:ext>
              </c:extLst>
            </c:dLbl>
            <c:dLbl>
              <c:idx val="16"/>
              <c:tx>
                <c:rich>
                  <a:bodyPr/>
                  <a:lstStyle/>
                  <a:p>
                    <a:fld id="{D34ADA0D-64F3-425E-B426-B6AC29FB322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08FB-4DEB-AEB7-13417604A972}"/>
                </c:ext>
              </c:extLst>
            </c:dLbl>
            <c:dLbl>
              <c:idx val="17"/>
              <c:tx>
                <c:rich>
                  <a:bodyPr/>
                  <a:lstStyle/>
                  <a:p>
                    <a:fld id="{5E3A70F1-2EE7-4FD0-BD1F-DF8BF27FBEA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08FB-4DEB-AEB7-13417604A972}"/>
                </c:ext>
              </c:extLst>
            </c:dLbl>
            <c:dLbl>
              <c:idx val="18"/>
              <c:tx>
                <c:rich>
                  <a:bodyPr/>
                  <a:lstStyle/>
                  <a:p>
                    <a:fld id="{AE3C5EE6-C25B-4B18-B118-AAFF77E251C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08FB-4DEB-AEB7-13417604A972}"/>
                </c:ext>
              </c:extLst>
            </c:dLbl>
            <c:dLbl>
              <c:idx val="19"/>
              <c:tx>
                <c:rich>
                  <a:bodyPr/>
                  <a:lstStyle/>
                  <a:p>
                    <a:fld id="{FB7CFDD0-1E43-45AE-904F-14290A4FADD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08FB-4DEB-AEB7-13417604A972}"/>
                </c:ext>
              </c:extLst>
            </c:dLbl>
            <c:dLbl>
              <c:idx val="20"/>
              <c:tx>
                <c:rich>
                  <a:bodyPr/>
                  <a:lstStyle/>
                  <a:p>
                    <a:fld id="{04894E83-4534-4E07-AA27-6D8C598E020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08FB-4DEB-AEB7-13417604A972}"/>
                </c:ext>
              </c:extLst>
            </c:dLbl>
            <c:dLbl>
              <c:idx val="21"/>
              <c:tx>
                <c:rich>
                  <a:bodyPr/>
                  <a:lstStyle/>
                  <a:p>
                    <a:fld id="{C50D907E-BEFB-4597-B391-B0DEDDE2E1C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08FB-4DEB-AEB7-13417604A972}"/>
                </c:ext>
              </c:extLst>
            </c:dLbl>
            <c:dLbl>
              <c:idx val="22"/>
              <c:tx>
                <c:rich>
                  <a:bodyPr/>
                  <a:lstStyle/>
                  <a:p>
                    <a:fld id="{BD496639-114E-4581-A804-73EF4050660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08FB-4DEB-AEB7-13417604A972}"/>
                </c:ext>
              </c:extLst>
            </c:dLbl>
            <c:dLbl>
              <c:idx val="23"/>
              <c:tx>
                <c:rich>
                  <a:bodyPr/>
                  <a:lstStyle/>
                  <a:p>
                    <a:fld id="{3824E965-3C2B-45FE-92AA-63C94E1089D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08FB-4DEB-AEB7-13417604A972}"/>
                </c:ext>
              </c:extLst>
            </c:dLbl>
            <c:dLbl>
              <c:idx val="24"/>
              <c:tx>
                <c:rich>
                  <a:bodyPr/>
                  <a:lstStyle/>
                  <a:p>
                    <a:fld id="{F827BFF9-1B9C-412B-B023-1FE6E13A439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08FB-4DEB-AEB7-13417604A972}"/>
                </c:ext>
              </c:extLst>
            </c:dLbl>
            <c:dLbl>
              <c:idx val="25"/>
              <c:tx>
                <c:rich>
                  <a:bodyPr/>
                  <a:lstStyle/>
                  <a:p>
                    <a:fld id="{EDACA711-8F96-4FE2-8ED2-F7DF14669A9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08FB-4DEB-AEB7-13417604A972}"/>
                </c:ext>
              </c:extLst>
            </c:dLbl>
            <c:dLbl>
              <c:idx val="26"/>
              <c:tx>
                <c:rich>
                  <a:bodyPr/>
                  <a:lstStyle/>
                  <a:p>
                    <a:fld id="{2A092DE3-F973-4F4B-8D45-8A73744A0BA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08FB-4DEB-AEB7-13417604A972}"/>
                </c:ext>
              </c:extLst>
            </c:dLbl>
            <c:dLbl>
              <c:idx val="27"/>
              <c:tx>
                <c:rich>
                  <a:bodyPr/>
                  <a:lstStyle/>
                  <a:p>
                    <a:fld id="{F9E7175B-5BEB-462E-8353-C7928BDFB62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08FB-4DEB-AEB7-13417604A972}"/>
                </c:ext>
              </c:extLst>
            </c:dLbl>
            <c:dLbl>
              <c:idx val="28"/>
              <c:tx>
                <c:rich>
                  <a:bodyPr/>
                  <a:lstStyle/>
                  <a:p>
                    <a:fld id="{AADB3EA4-0C03-47D6-845C-BEBF12F96B4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08FB-4DEB-AEB7-13417604A972}"/>
                </c:ext>
              </c:extLst>
            </c:dLbl>
            <c:dLbl>
              <c:idx val="29"/>
              <c:tx>
                <c:rich>
                  <a:bodyPr/>
                  <a:lstStyle/>
                  <a:p>
                    <a:fld id="{040EF9AF-4616-443B-BE27-1E208D917C1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08FB-4DEB-AEB7-13417604A972}"/>
                </c:ext>
              </c:extLst>
            </c:dLbl>
            <c:dLbl>
              <c:idx val="30"/>
              <c:tx>
                <c:rich>
                  <a:bodyPr/>
                  <a:lstStyle/>
                  <a:p>
                    <a:fld id="{55688462-C2E3-448D-9E0A-A133E116208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08FB-4DEB-AEB7-13417604A972}"/>
                </c:ext>
              </c:extLst>
            </c:dLbl>
            <c:dLbl>
              <c:idx val="31"/>
              <c:tx>
                <c:rich>
                  <a:bodyPr/>
                  <a:lstStyle/>
                  <a:p>
                    <a:fld id="{385086F8-5448-41E9-ADAD-35CD12473DB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4-08FB-4DEB-AEB7-13417604A972}"/>
                </c:ext>
              </c:extLst>
            </c:dLbl>
            <c:dLbl>
              <c:idx val="32"/>
              <c:tx>
                <c:rich>
                  <a:bodyPr/>
                  <a:lstStyle/>
                  <a:p>
                    <a:fld id="{2D38FACF-CC44-43C1-847F-714767E0591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08FB-4DEB-AEB7-13417604A972}"/>
                </c:ext>
              </c:extLst>
            </c:dLbl>
            <c:dLbl>
              <c:idx val="33"/>
              <c:tx>
                <c:rich>
                  <a:bodyPr/>
                  <a:lstStyle/>
                  <a:p>
                    <a:fld id="{78F1B6AF-A672-4A70-8ECC-F905569FF5F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08FB-4DEB-AEB7-13417604A972}"/>
                </c:ext>
              </c:extLst>
            </c:dLbl>
            <c:dLbl>
              <c:idx val="34"/>
              <c:tx>
                <c:rich>
                  <a:bodyPr/>
                  <a:lstStyle/>
                  <a:p>
                    <a:fld id="{A0F0E5C9-C4CF-430D-96FF-D644A9A98C4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7-08FB-4DEB-AEB7-13417604A972}"/>
                </c:ext>
              </c:extLst>
            </c:dLbl>
            <c:dLbl>
              <c:idx val="35"/>
              <c:tx>
                <c:rich>
                  <a:bodyPr/>
                  <a:lstStyle/>
                  <a:p>
                    <a:fld id="{976E77B5-3961-490B-AE98-531FEFFB293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08FB-4DEB-AEB7-13417604A972}"/>
                </c:ext>
              </c:extLst>
            </c:dLbl>
            <c:dLbl>
              <c:idx val="36"/>
              <c:tx>
                <c:rich>
                  <a:bodyPr/>
                  <a:lstStyle/>
                  <a:p>
                    <a:fld id="{73F6D731-E136-45F2-B8CB-8809171A3AA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08FB-4DEB-AEB7-13417604A972}"/>
                </c:ext>
              </c:extLst>
            </c:dLbl>
            <c:dLbl>
              <c:idx val="37"/>
              <c:tx>
                <c:rich>
                  <a:bodyPr/>
                  <a:lstStyle/>
                  <a:p>
                    <a:fld id="{FF23C523-067C-46C9-A9D3-7F6C72296AA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A-08FB-4DEB-AEB7-13417604A972}"/>
                </c:ext>
              </c:extLst>
            </c:dLbl>
            <c:dLbl>
              <c:idx val="38"/>
              <c:tx>
                <c:rich>
                  <a:bodyPr/>
                  <a:lstStyle/>
                  <a:p>
                    <a:fld id="{85E30A9C-085B-4ABD-94B5-8DB3E9D505C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08FB-4DEB-AEB7-13417604A972}"/>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graf'!$M$32:$M$70</c:f>
              <c:numCache>
                <c:formatCode>General</c:formatCode>
                <c:ptCount val="39"/>
                <c:pt idx="0">
                  <c:v>75</c:v>
                </c:pt>
                <c:pt idx="1">
                  <c:v>75</c:v>
                </c:pt>
                <c:pt idx="2">
                  <c:v>75</c:v>
                </c:pt>
                <c:pt idx="3">
                  <c:v>75</c:v>
                </c:pt>
                <c:pt idx="4">
                  <c:v>75</c:v>
                </c:pt>
                <c:pt idx="5">
                  <c:v>75</c:v>
                </c:pt>
                <c:pt idx="6">
                  <c:v>75</c:v>
                </c:pt>
                <c:pt idx="7">
                  <c:v>75</c:v>
                </c:pt>
                <c:pt idx="8">
                  <c:v>75</c:v>
                </c:pt>
                <c:pt idx="9">
                  <c:v>75</c:v>
                </c:pt>
                <c:pt idx="10">
                  <c:v>75</c:v>
                </c:pt>
                <c:pt idx="11">
                  <c:v>75</c:v>
                </c:pt>
                <c:pt idx="12">
                  <c:v>75</c:v>
                </c:pt>
                <c:pt idx="13">
                  <c:v>75</c:v>
                </c:pt>
                <c:pt idx="14">
                  <c:v>75</c:v>
                </c:pt>
                <c:pt idx="15">
                  <c:v>75</c:v>
                </c:pt>
                <c:pt idx="16">
                  <c:v>75</c:v>
                </c:pt>
                <c:pt idx="17">
                  <c:v>75</c:v>
                </c:pt>
                <c:pt idx="18">
                  <c:v>75</c:v>
                </c:pt>
                <c:pt idx="19">
                  <c:v>75</c:v>
                </c:pt>
                <c:pt idx="20">
                  <c:v>75</c:v>
                </c:pt>
                <c:pt idx="21">
                  <c:v>75</c:v>
                </c:pt>
                <c:pt idx="22">
                  <c:v>75</c:v>
                </c:pt>
                <c:pt idx="23">
                  <c:v>75</c:v>
                </c:pt>
                <c:pt idx="24">
                  <c:v>75</c:v>
                </c:pt>
                <c:pt idx="25">
                  <c:v>75</c:v>
                </c:pt>
                <c:pt idx="26">
                  <c:v>75</c:v>
                </c:pt>
                <c:pt idx="27">
                  <c:v>75</c:v>
                </c:pt>
                <c:pt idx="28">
                  <c:v>75</c:v>
                </c:pt>
                <c:pt idx="29">
                  <c:v>75</c:v>
                </c:pt>
                <c:pt idx="30">
                  <c:v>75</c:v>
                </c:pt>
                <c:pt idx="31">
                  <c:v>75</c:v>
                </c:pt>
                <c:pt idx="32">
                  <c:v>75</c:v>
                </c:pt>
                <c:pt idx="33">
                  <c:v>75</c:v>
                </c:pt>
                <c:pt idx="34">
                  <c:v>75</c:v>
                </c:pt>
                <c:pt idx="35">
                  <c:v>75</c:v>
                </c:pt>
                <c:pt idx="36">
                  <c:v>75</c:v>
                </c:pt>
                <c:pt idx="37">
                  <c:v>75</c:v>
                </c:pt>
                <c:pt idx="38">
                  <c:v>75</c:v>
                </c:pt>
              </c:numCache>
            </c:numRef>
          </c:val>
          <c:smooth val="0"/>
          <c:extLst>
            <c:ext xmlns:c15="http://schemas.microsoft.com/office/drawing/2012/chart" uri="{02D57815-91ED-43cb-92C2-25804820EDAC}">
              <c15:datalabelsRange>
                <c15:f>'Prerađivačka_6 graf'!$E$32:$E$70</c15:f>
                <c15:dlblRangeCache>
                  <c:ptCount val="3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15:dlblRangeCache>
              </c15:datalabelsRange>
            </c:ext>
            <c:ext xmlns:c16="http://schemas.microsoft.com/office/drawing/2014/chart" uri="{C3380CC4-5D6E-409C-BE32-E72D297353CC}">
              <c16:uniqueId val="{0000002C-08FB-4DEB-AEB7-13417604A972}"/>
            </c:ext>
          </c:extLst>
        </c:ser>
        <c:ser>
          <c:idx val="0"/>
          <c:order val="2"/>
          <c:tx>
            <c:strRef>
              <c:f>'Prerađivačka_6 graf'!$N$7</c:f>
              <c:strCache>
                <c:ptCount val="1"/>
                <c:pt idx="0">
                  <c:v>y</c:v>
                </c:pt>
              </c:strCache>
            </c:strRef>
          </c:tx>
          <c:spPr>
            <a:ln w="12700" cap="rnd">
              <a:solidFill>
                <a:srgbClr val="92278F"/>
              </a:solidFill>
              <a:prstDash val="sysDash"/>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graf'!$N$32:$N$70</c:f>
              <c:numCache>
                <c:formatCode>0.0</c:formatCode>
                <c:ptCount val="39"/>
                <c:pt idx="0">
                  <c:v>79.148936170212764</c:v>
                </c:pt>
                <c:pt idx="1">
                  <c:v>85.82651391162031</c:v>
                </c:pt>
                <c:pt idx="2">
                  <c:v>98.00327332242226</c:v>
                </c:pt>
                <c:pt idx="3">
                  <c:v>96.923076923076934</c:v>
                </c:pt>
                <c:pt idx="4">
                  <c:v>94.860883797054001</c:v>
                </c:pt>
                <c:pt idx="5">
                  <c:v>92.405891980360067</c:v>
                </c:pt>
                <c:pt idx="6">
                  <c:v>94.075286415711943</c:v>
                </c:pt>
                <c:pt idx="7">
                  <c:v>92.504091653027828</c:v>
                </c:pt>
                <c:pt idx="8">
                  <c:v>105.17184942716857</c:v>
                </c:pt>
                <c:pt idx="9">
                  <c:v>119.70540098199673</c:v>
                </c:pt>
                <c:pt idx="10">
                  <c:v>106.7430441898527</c:v>
                </c:pt>
                <c:pt idx="11">
                  <c:v>98.788870703764317</c:v>
                </c:pt>
                <c:pt idx="12">
                  <c:v>84.844517184942731</c:v>
                </c:pt>
                <c:pt idx="13">
                  <c:v>90.441898527004909</c:v>
                </c:pt>
                <c:pt idx="14">
                  <c:v>99.18166939443536</c:v>
                </c:pt>
                <c:pt idx="15">
                  <c:v>87.103109656301143</c:v>
                </c:pt>
                <c:pt idx="16">
                  <c:v>94.860883797054001</c:v>
                </c:pt>
                <c:pt idx="17">
                  <c:v>98.494271685761049</c:v>
                </c:pt>
                <c:pt idx="18">
                  <c:v>96.628477905073666</c:v>
                </c:pt>
                <c:pt idx="19">
                  <c:v>92.602291325695589</c:v>
                </c:pt>
                <c:pt idx="20">
                  <c:v>112.73322422258593</c:v>
                </c:pt>
                <c:pt idx="21">
                  <c:v>122.84779050736499</c:v>
                </c:pt>
                <c:pt idx="22">
                  <c:v>110.57283142389525</c:v>
                </c:pt>
                <c:pt idx="23">
                  <c:v>103.79705400981997</c:v>
                </c:pt>
                <c:pt idx="24">
                  <c:v>83.417085427135675</c:v>
                </c:pt>
                <c:pt idx="25">
                  <c:v>86.801541425818868</c:v>
                </c:pt>
                <c:pt idx="26">
                  <c:v>103.72184133202744</c:v>
                </c:pt>
                <c:pt idx="27">
                  <c:v>101.24386252045826</c:v>
                </c:pt>
                <c:pt idx="28">
                  <c:v>91.522094926350249</c:v>
                </c:pt>
                <c:pt idx="29">
                  <c:v>98.887070376432078</c:v>
                </c:pt>
                <c:pt idx="30">
                  <c:v>95.253682487725044</c:v>
                </c:pt>
                <c:pt idx="31">
                  <c:v>93.191489361702139</c:v>
                </c:pt>
                <c:pt idx="32">
                  <c:v>105.85924713584289</c:v>
                </c:pt>
                <c:pt idx="33">
                  <c:v>120.68739770867431</c:v>
                </c:pt>
                <c:pt idx="34">
                  <c:v>109.49263502454994</c:v>
                </c:pt>
                <c:pt idx="35">
                  <c:v>106.93944353518823</c:v>
                </c:pt>
                <c:pt idx="36">
                  <c:v>83.2</c:v>
                </c:pt>
                <c:pt idx="37">
                  <c:v>90.2</c:v>
                </c:pt>
                <c:pt idx="38">
                  <c:v>105.9</c:v>
                </c:pt>
              </c:numCache>
            </c:numRef>
          </c:val>
          <c:smooth val="0"/>
          <c:extLst>
            <c:ext xmlns:c16="http://schemas.microsoft.com/office/drawing/2014/chart" uri="{C3380CC4-5D6E-409C-BE32-E72D297353CC}">
              <c16:uniqueId val="{0000002D-08FB-4DEB-AEB7-13417604A972}"/>
            </c:ext>
          </c:extLst>
        </c:ser>
        <c:ser>
          <c:idx val="1"/>
          <c:order val="3"/>
          <c:tx>
            <c:strRef>
              <c:f>'Prerađivačka_6 graf'!$O$7</c:f>
              <c:strCache>
                <c:ptCount val="1"/>
                <c:pt idx="0">
                  <c:v>sa</c:v>
                </c:pt>
              </c:strCache>
            </c:strRef>
          </c:tx>
          <c:spPr>
            <a:ln w="22225" cap="rnd">
              <a:solidFill>
                <a:srgbClr val="25AAE1"/>
              </a:solidFill>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graf'!$O$32:$O$70</c:f>
              <c:numCache>
                <c:formatCode>0.0</c:formatCode>
                <c:ptCount val="39"/>
                <c:pt idx="0">
                  <c:v>99.094459472442708</c:v>
                </c:pt>
                <c:pt idx="1">
                  <c:v>100.33563098868231</c:v>
                </c:pt>
                <c:pt idx="2">
                  <c:v>100.11897309036557</c:v>
                </c:pt>
                <c:pt idx="3">
                  <c:v>101.29794016046097</c:v>
                </c:pt>
                <c:pt idx="4">
                  <c:v>97.359270355096058</c:v>
                </c:pt>
                <c:pt idx="5">
                  <c:v>93.717459399107298</c:v>
                </c:pt>
                <c:pt idx="6">
                  <c:v>98.065745071168777</c:v>
                </c:pt>
                <c:pt idx="7">
                  <c:v>97.88652749110274</c:v>
                </c:pt>
                <c:pt idx="8">
                  <c:v>94.962762566319384</c:v>
                </c:pt>
                <c:pt idx="9">
                  <c:v>95.78646959727098</c:v>
                </c:pt>
                <c:pt idx="10">
                  <c:v>95.779841533284937</c:v>
                </c:pt>
                <c:pt idx="11">
                  <c:v>95.687155697433411</c:v>
                </c:pt>
                <c:pt idx="12">
                  <c:v>104.91400911177873</c:v>
                </c:pt>
                <c:pt idx="13">
                  <c:v>98.499515931284307</c:v>
                </c:pt>
                <c:pt idx="14">
                  <c:v>98.494162693492953</c:v>
                </c:pt>
                <c:pt idx="15">
                  <c:v>90.666390714114272</c:v>
                </c:pt>
                <c:pt idx="16">
                  <c:v>99.176755593472848</c:v>
                </c:pt>
                <c:pt idx="17">
                  <c:v>97.573821795072874</c:v>
                </c:pt>
                <c:pt idx="18">
                  <c:v>100.05650843114095</c:v>
                </c:pt>
                <c:pt idx="19">
                  <c:v>99.330087215543116</c:v>
                </c:pt>
                <c:pt idx="20">
                  <c:v>101.64571064390366</c:v>
                </c:pt>
                <c:pt idx="21">
                  <c:v>99.944722768838844</c:v>
                </c:pt>
                <c:pt idx="22">
                  <c:v>100.3386868262679</c:v>
                </c:pt>
                <c:pt idx="23">
                  <c:v>99.244577152381268</c:v>
                </c:pt>
                <c:pt idx="24">
                  <c:v>103.67312939308377</c:v>
                </c:pt>
                <c:pt idx="25">
                  <c:v>100.1291315255785</c:v>
                </c:pt>
                <c:pt idx="26">
                  <c:v>100.65650516565113</c:v>
                </c:pt>
                <c:pt idx="27">
                  <c:v>105.37572192882391</c:v>
                </c:pt>
                <c:pt idx="28">
                  <c:v>93.350847761282921</c:v>
                </c:pt>
                <c:pt idx="29">
                  <c:v>98.447837634709956</c:v>
                </c:pt>
                <c:pt idx="30">
                  <c:v>99.687928646454907</c:v>
                </c:pt>
                <c:pt idx="31">
                  <c:v>98.730725150388793</c:v>
                </c:pt>
                <c:pt idx="32">
                  <c:v>95.982010310943537</c:v>
                </c:pt>
                <c:pt idx="33">
                  <c:v>99.835801713140341</c:v>
                </c:pt>
                <c:pt idx="34">
                  <c:v>98.53239950144949</c:v>
                </c:pt>
                <c:pt idx="35">
                  <c:v>102.27478417595711</c:v>
                </c:pt>
                <c:pt idx="36">
                  <c:v>100.16985437951568</c:v>
                </c:pt>
                <c:pt idx="37">
                  <c:v>103.40714335404958</c:v>
                </c:pt>
                <c:pt idx="38">
                  <c:v>102.05531672122819</c:v>
                </c:pt>
              </c:numCache>
            </c:numRef>
          </c:val>
          <c:smooth val="0"/>
          <c:extLst>
            <c:ext xmlns:c16="http://schemas.microsoft.com/office/drawing/2014/chart" uri="{C3380CC4-5D6E-409C-BE32-E72D297353CC}">
              <c16:uniqueId val="{0000002E-08FB-4DEB-AEB7-13417604A972}"/>
            </c:ext>
          </c:extLst>
        </c:ser>
        <c:ser>
          <c:idx val="2"/>
          <c:order val="4"/>
          <c:tx>
            <c:strRef>
              <c:f>'Prerađivačka_6 graf'!$P$7</c:f>
              <c:strCache>
                <c:ptCount val="1"/>
                <c:pt idx="0">
                  <c:v>t</c:v>
                </c:pt>
              </c:strCache>
            </c:strRef>
          </c:tx>
          <c:spPr>
            <a:ln w="25400" cap="rnd">
              <a:solidFill>
                <a:srgbClr val="FF0000"/>
              </a:solidFill>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graf'!$P$32:$P$70</c:f>
              <c:numCache>
                <c:formatCode>0.0</c:formatCode>
                <c:ptCount val="39"/>
                <c:pt idx="0">
                  <c:v>99.276821926035296</c:v>
                </c:pt>
                <c:pt idx="1">
                  <c:v>99.436676284091504</c:v>
                </c:pt>
                <c:pt idx="2">
                  <c:v>99.60005494223779</c:v>
                </c:pt>
                <c:pt idx="3">
                  <c:v>99.504201233428347</c:v>
                </c:pt>
                <c:pt idx="4">
                  <c:v>99.011887212297623</c:v>
                </c:pt>
                <c:pt idx="5">
                  <c:v>98.226254368557562</c:v>
                </c:pt>
                <c:pt idx="6">
                  <c:v>97.384906044710931</c:v>
                </c:pt>
                <c:pt idx="7">
                  <c:v>96.638512917988081</c:v>
                </c:pt>
                <c:pt idx="8">
                  <c:v>96.108661714213113</c:v>
                </c:pt>
                <c:pt idx="9">
                  <c:v>95.896251449174457</c:v>
                </c:pt>
                <c:pt idx="10">
                  <c:v>96.003218243155203</c:v>
                </c:pt>
                <c:pt idx="11">
                  <c:v>96.412101243721096</c:v>
                </c:pt>
                <c:pt idx="12">
                  <c:v>97.032117337957217</c:v>
                </c:pt>
                <c:pt idx="13">
                  <c:v>97.660573132161687</c:v>
                </c:pt>
                <c:pt idx="14">
                  <c:v>98.094017202874042</c:v>
                </c:pt>
                <c:pt idx="15">
                  <c:v>98.370890247605786</c:v>
                </c:pt>
                <c:pt idx="16">
                  <c:v>98.640538984047652</c:v>
                </c:pt>
                <c:pt idx="17">
                  <c:v>98.991972139932983</c:v>
                </c:pt>
                <c:pt idx="18">
                  <c:v>99.369664437306668</c:v>
                </c:pt>
                <c:pt idx="19">
                  <c:v>99.784503346194214</c:v>
                </c:pt>
                <c:pt idx="20">
                  <c:v>100.16511198395077</c:v>
                </c:pt>
                <c:pt idx="21">
                  <c:v>100.47553844651618</c:v>
                </c:pt>
                <c:pt idx="22">
                  <c:v>100.70584472983727</c:v>
                </c:pt>
                <c:pt idx="23">
                  <c:v>100.84861141431696</c:v>
                </c:pt>
                <c:pt idx="24">
                  <c:v>100.82749852425084</c:v>
                </c:pt>
                <c:pt idx="25">
                  <c:v>100.66051071324921</c:v>
                </c:pt>
                <c:pt idx="26">
                  <c:v>100.36930119064832</c:v>
                </c:pt>
                <c:pt idx="27">
                  <c:v>99.932103412208491</c:v>
                </c:pt>
                <c:pt idx="28">
                  <c:v>99.396600264173685</c:v>
                </c:pt>
                <c:pt idx="29">
                  <c:v>98.863810487899599</c:v>
                </c:pt>
                <c:pt idx="30">
                  <c:v>98.506932930124748</c:v>
                </c:pt>
                <c:pt idx="31">
                  <c:v>98.3799964554848</c:v>
                </c:pt>
                <c:pt idx="32">
                  <c:v>98.498823635207089</c:v>
                </c:pt>
                <c:pt idx="33">
                  <c:v>98.970998706464172</c:v>
                </c:pt>
                <c:pt idx="34">
                  <c:v>99.761943534648751</c:v>
                </c:pt>
                <c:pt idx="35">
                  <c:v>100.66758458136025</c:v>
                </c:pt>
                <c:pt idx="36">
                  <c:v>101.43127812673562</c:v>
                </c:pt>
                <c:pt idx="37">
                  <c:v>101.84243263186839</c:v>
                </c:pt>
                <c:pt idx="38">
                  <c:v>101.82449588245184</c:v>
                </c:pt>
              </c:numCache>
            </c:numRef>
          </c:val>
          <c:smooth val="0"/>
          <c:extLst>
            <c:ext xmlns:c16="http://schemas.microsoft.com/office/drawing/2014/chart" uri="{C3380CC4-5D6E-409C-BE32-E72D297353CC}">
              <c16:uniqueId val="{0000002F-08FB-4DEB-AEB7-13417604A972}"/>
            </c:ext>
          </c:extLst>
        </c:ser>
        <c:dLbls>
          <c:showLegendKey val="0"/>
          <c:showVal val="0"/>
          <c:showCatName val="0"/>
          <c:showSerName val="0"/>
          <c:showPercent val="0"/>
          <c:showBubbleSize val="0"/>
        </c:dLbls>
        <c:marker val="1"/>
        <c:smooth val="0"/>
        <c:axId val="2092140400"/>
        <c:axId val="2092173040"/>
      </c:lineChart>
      <c:dateAx>
        <c:axId val="209214040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2092173040"/>
        <c:crosses val="autoZero"/>
        <c:auto val="1"/>
        <c:lblOffset val="0"/>
        <c:baseTimeUnit val="months"/>
        <c:majorUnit val="12"/>
        <c:majorTimeUnit val="months"/>
      </c:dateAx>
      <c:valAx>
        <c:axId val="2092173040"/>
        <c:scaling>
          <c:orientation val="minMax"/>
          <c:max val="125"/>
          <c:min val="75"/>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40400"/>
        <c:crosses val="autoZero"/>
        <c:crossBetween val="midCat"/>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652245513160466E-2"/>
          <c:y val="3.6405005688282137E-2"/>
          <c:w val="0.87031860600758237"/>
          <c:h val="0.72146846846846846"/>
        </c:manualLayout>
      </c:layout>
      <c:lineChart>
        <c:grouping val="standard"/>
        <c:varyColors val="0"/>
        <c:ser>
          <c:idx val="0"/>
          <c:order val="0"/>
          <c:tx>
            <c:strRef>
              <c:f>Commodities!$AJ$6</c:f>
              <c:strCache>
                <c:ptCount val="1"/>
                <c:pt idx="0">
                  <c:v>Сви производи</c:v>
                </c:pt>
              </c:strCache>
            </c:strRef>
          </c:tx>
          <c:spPr>
            <a:ln w="22225" cap="rnd">
              <a:solidFill>
                <a:srgbClr val="003891"/>
              </a:solidFill>
              <a:round/>
            </a:ln>
            <a:effectLst/>
          </c:spPr>
          <c:marker>
            <c:symbol val="none"/>
          </c:marker>
          <c:cat>
            <c:numRef>
              <c:f>Commodities!$I$8:$I$111</c:f>
              <c:numCache>
                <c:formatCode>yyyy</c:formatCode>
                <c:ptCount val="104"/>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pt idx="93">
                  <c:v>44470</c:v>
                </c:pt>
                <c:pt idx="94">
                  <c:v>44501</c:v>
                </c:pt>
                <c:pt idx="95">
                  <c:v>44531</c:v>
                </c:pt>
                <c:pt idx="96" formatCode="yyyy&quot;*&quot;">
                  <c:v>44562</c:v>
                </c:pt>
                <c:pt idx="97" formatCode="yyyy&quot;*&quot;">
                  <c:v>44652</c:v>
                </c:pt>
                <c:pt idx="98" formatCode="yyyy&quot;*&quot;">
                  <c:v>44743</c:v>
                </c:pt>
                <c:pt idx="99" formatCode="yyyy&quot;*&quot;">
                  <c:v>44835</c:v>
                </c:pt>
                <c:pt idx="100" formatCode="yyyy&quot;*&quot;">
                  <c:v>44927</c:v>
                </c:pt>
                <c:pt idx="101" formatCode="yyyy&quot;*&quot;">
                  <c:v>45017</c:v>
                </c:pt>
                <c:pt idx="102" formatCode="yyyy&quot;*&quot;">
                  <c:v>45108</c:v>
                </c:pt>
                <c:pt idx="103" formatCode="yyyy&quot;*&quot;">
                  <c:v>45200</c:v>
                </c:pt>
              </c:numCache>
            </c:numRef>
          </c:cat>
          <c:val>
            <c:numRef>
              <c:f>Commodities!$AJ$8:$AJ$111</c:f>
              <c:numCache>
                <c:formatCode>0.0</c:formatCode>
                <c:ptCount val="104"/>
                <c:pt idx="0">
                  <c:v>166.68799999999999</c:v>
                </c:pt>
                <c:pt idx="1">
                  <c:v>170.99199999999999</c:v>
                </c:pt>
                <c:pt idx="2">
                  <c:v>169.83</c:v>
                </c:pt>
                <c:pt idx="3">
                  <c:v>170.99799999999999</c:v>
                </c:pt>
                <c:pt idx="4">
                  <c:v>168.76</c:v>
                </c:pt>
                <c:pt idx="5">
                  <c:v>169.07499999999999</c:v>
                </c:pt>
                <c:pt idx="6">
                  <c:v>165.68100000000001</c:v>
                </c:pt>
                <c:pt idx="7">
                  <c:v>160.137</c:v>
                </c:pt>
                <c:pt idx="8">
                  <c:v>155.05799999999999</c:v>
                </c:pt>
                <c:pt idx="9">
                  <c:v>146.42699999999999</c:v>
                </c:pt>
                <c:pt idx="10">
                  <c:v>139.596</c:v>
                </c:pt>
                <c:pt idx="11">
                  <c:v>126.235</c:v>
                </c:pt>
                <c:pt idx="12">
                  <c:v>114.22499999999999</c:v>
                </c:pt>
                <c:pt idx="13">
                  <c:v>117.589</c:v>
                </c:pt>
                <c:pt idx="14">
                  <c:v>113.572</c:v>
                </c:pt>
                <c:pt idx="15">
                  <c:v>114.843</c:v>
                </c:pt>
                <c:pt idx="16">
                  <c:v>118.693</c:v>
                </c:pt>
                <c:pt idx="17">
                  <c:v>116.502</c:v>
                </c:pt>
                <c:pt idx="18">
                  <c:v>109.744</c:v>
                </c:pt>
                <c:pt idx="19">
                  <c:v>102.52</c:v>
                </c:pt>
                <c:pt idx="20">
                  <c:v>102.363</c:v>
                </c:pt>
                <c:pt idx="21">
                  <c:v>102.31699999999999</c:v>
                </c:pt>
                <c:pt idx="22">
                  <c:v>96.225999999999999</c:v>
                </c:pt>
                <c:pt idx="23">
                  <c:v>90.754000000000005</c:v>
                </c:pt>
                <c:pt idx="24">
                  <c:v>85.322000000000003</c:v>
                </c:pt>
                <c:pt idx="25">
                  <c:v>87.370999999999995</c:v>
                </c:pt>
                <c:pt idx="26">
                  <c:v>93.608999999999995</c:v>
                </c:pt>
                <c:pt idx="27">
                  <c:v>96.759</c:v>
                </c:pt>
                <c:pt idx="28">
                  <c:v>100.58199999999999</c:v>
                </c:pt>
                <c:pt idx="29">
                  <c:v>103.209</c:v>
                </c:pt>
                <c:pt idx="30">
                  <c:v>102.828</c:v>
                </c:pt>
                <c:pt idx="31">
                  <c:v>103.306</c:v>
                </c:pt>
                <c:pt idx="32">
                  <c:v>103.35599999999999</c:v>
                </c:pt>
                <c:pt idx="33">
                  <c:v>106.57</c:v>
                </c:pt>
                <c:pt idx="34">
                  <c:v>105.446</c:v>
                </c:pt>
                <c:pt idx="35">
                  <c:v>111.643</c:v>
                </c:pt>
                <c:pt idx="36">
                  <c:v>115.91200000000001</c:v>
                </c:pt>
                <c:pt idx="37">
                  <c:v>116.37</c:v>
                </c:pt>
                <c:pt idx="38">
                  <c:v>110.869</c:v>
                </c:pt>
                <c:pt idx="39">
                  <c:v>110.976</c:v>
                </c:pt>
                <c:pt idx="40">
                  <c:v>108.83799999999999</c:v>
                </c:pt>
                <c:pt idx="41">
                  <c:v>105.64400000000001</c:v>
                </c:pt>
                <c:pt idx="42">
                  <c:v>108.482</c:v>
                </c:pt>
                <c:pt idx="43">
                  <c:v>111.372</c:v>
                </c:pt>
                <c:pt idx="44">
                  <c:v>114.568</c:v>
                </c:pt>
                <c:pt idx="45">
                  <c:v>116.086</c:v>
                </c:pt>
                <c:pt idx="46">
                  <c:v>120.849</c:v>
                </c:pt>
                <c:pt idx="47">
                  <c:v>122.578</c:v>
                </c:pt>
                <c:pt idx="48">
                  <c:v>129.84</c:v>
                </c:pt>
                <c:pt idx="49">
                  <c:v>126.822</c:v>
                </c:pt>
                <c:pt idx="50">
                  <c:v>126.36499999999999</c:v>
                </c:pt>
                <c:pt idx="51">
                  <c:v>128.36600000000001</c:v>
                </c:pt>
                <c:pt idx="52">
                  <c:v>133.05099999999999</c:v>
                </c:pt>
                <c:pt idx="53">
                  <c:v>131.96799999999999</c:v>
                </c:pt>
                <c:pt idx="54">
                  <c:v>130.27500000000001</c:v>
                </c:pt>
                <c:pt idx="55">
                  <c:v>127.977</c:v>
                </c:pt>
                <c:pt idx="56">
                  <c:v>132.42599999999999</c:v>
                </c:pt>
                <c:pt idx="57">
                  <c:v>133.42599999999999</c:v>
                </c:pt>
                <c:pt idx="58">
                  <c:v>121.85299999999999</c:v>
                </c:pt>
                <c:pt idx="59">
                  <c:v>115.96299999999999</c:v>
                </c:pt>
                <c:pt idx="60">
                  <c:v>117.078</c:v>
                </c:pt>
                <c:pt idx="61">
                  <c:v>119.012</c:v>
                </c:pt>
                <c:pt idx="62">
                  <c:v>119.91</c:v>
                </c:pt>
                <c:pt idx="63">
                  <c:v>123.417</c:v>
                </c:pt>
                <c:pt idx="64">
                  <c:v>120.47799999999999</c:v>
                </c:pt>
                <c:pt idx="65">
                  <c:v>115.529</c:v>
                </c:pt>
                <c:pt idx="66">
                  <c:v>117.968</c:v>
                </c:pt>
                <c:pt idx="67">
                  <c:v>112.712</c:v>
                </c:pt>
                <c:pt idx="68">
                  <c:v>114.809</c:v>
                </c:pt>
                <c:pt idx="69">
                  <c:v>113.009</c:v>
                </c:pt>
                <c:pt idx="70">
                  <c:v>116.982</c:v>
                </c:pt>
                <c:pt idx="71">
                  <c:v>119.992</c:v>
                </c:pt>
                <c:pt idx="72">
                  <c:v>119.566</c:v>
                </c:pt>
                <c:pt idx="73">
                  <c:v>110.94</c:v>
                </c:pt>
                <c:pt idx="74">
                  <c:v>93.787999999999997</c:v>
                </c:pt>
                <c:pt idx="75">
                  <c:v>84.025999999999996</c:v>
                </c:pt>
                <c:pt idx="76">
                  <c:v>91.391000000000005</c:v>
                </c:pt>
                <c:pt idx="77">
                  <c:v>100.107</c:v>
                </c:pt>
                <c:pt idx="78">
                  <c:v>104.05500000000001</c:v>
                </c:pt>
                <c:pt idx="79">
                  <c:v>109.786</c:v>
                </c:pt>
                <c:pt idx="80">
                  <c:v>108.208</c:v>
                </c:pt>
                <c:pt idx="81">
                  <c:v>110.61499999999999</c:v>
                </c:pt>
                <c:pt idx="82">
                  <c:v>115.035</c:v>
                </c:pt>
                <c:pt idx="83">
                  <c:v>125.48</c:v>
                </c:pt>
                <c:pt idx="84">
                  <c:v>136.965</c:v>
                </c:pt>
                <c:pt idx="85">
                  <c:v>140.64500000000001</c:v>
                </c:pt>
                <c:pt idx="86">
                  <c:v>141.24700000000001</c:v>
                </c:pt>
                <c:pt idx="87">
                  <c:v>145.041</c:v>
                </c:pt>
                <c:pt idx="88">
                  <c:v>155.66900000000001</c:v>
                </c:pt>
                <c:pt idx="89">
                  <c:v>161.72399999999999</c:v>
                </c:pt>
                <c:pt idx="90">
                  <c:v>166.13800000000001</c:v>
                </c:pt>
                <c:pt idx="91">
                  <c:v>163.756</c:v>
                </c:pt>
                <c:pt idx="92">
                  <c:v>172.67099999999999</c:v>
                </c:pt>
                <c:pt idx="93">
                  <c:v>192.38499999999999</c:v>
                </c:pt>
                <c:pt idx="94">
                  <c:v>183.74600000000001</c:v>
                </c:pt>
                <c:pt idx="95">
                  <c:v>186.84299999999999</c:v>
                </c:pt>
                <c:pt idx="96">
                  <c:v>216.61600000000001</c:v>
                </c:pt>
                <c:pt idx="97">
                  <c:v>255.03899999999999</c:v>
                </c:pt>
                <c:pt idx="98">
                  <c:v>245.14500000000001</c:v>
                </c:pt>
                <c:pt idx="99">
                  <c:v>236.96600000000001</c:v>
                </c:pt>
                <c:pt idx="100">
                  <c:v>228.19800000000001</c:v>
                </c:pt>
                <c:pt idx="101">
                  <c:v>197.34</c:v>
                </c:pt>
                <c:pt idx="102">
                  <c:v>191.648</c:v>
                </c:pt>
                <c:pt idx="103">
                  <c:v>189.48599999999999</c:v>
                </c:pt>
              </c:numCache>
            </c:numRef>
          </c:val>
          <c:smooth val="0"/>
          <c:extLst>
            <c:ext xmlns:c16="http://schemas.microsoft.com/office/drawing/2014/chart" uri="{C3380CC4-5D6E-409C-BE32-E72D297353CC}">
              <c16:uniqueId val="{00000000-CE9D-4808-A10F-1676290DFB57}"/>
            </c:ext>
          </c:extLst>
        </c:ser>
        <c:ser>
          <c:idx val="1"/>
          <c:order val="1"/>
          <c:tx>
            <c:strRef>
              <c:f>Commodities!$AK$6</c:f>
              <c:strCache>
                <c:ptCount val="1"/>
                <c:pt idx="0">
                  <c:v>Основни метали</c:v>
                </c:pt>
              </c:strCache>
            </c:strRef>
          </c:tx>
          <c:spPr>
            <a:ln w="22225" cap="rnd">
              <a:solidFill>
                <a:srgbClr val="EC008C"/>
              </a:solidFill>
              <a:round/>
            </a:ln>
            <a:effectLst/>
          </c:spPr>
          <c:marker>
            <c:symbol val="none"/>
          </c:marker>
          <c:cat>
            <c:numRef>
              <c:f>Commodities!$I$8:$I$111</c:f>
              <c:numCache>
                <c:formatCode>yyyy</c:formatCode>
                <c:ptCount val="104"/>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pt idx="93">
                  <c:v>44470</c:v>
                </c:pt>
                <c:pt idx="94">
                  <c:v>44501</c:v>
                </c:pt>
                <c:pt idx="95">
                  <c:v>44531</c:v>
                </c:pt>
                <c:pt idx="96" formatCode="yyyy&quot;*&quot;">
                  <c:v>44562</c:v>
                </c:pt>
                <c:pt idx="97" formatCode="yyyy&quot;*&quot;">
                  <c:v>44652</c:v>
                </c:pt>
                <c:pt idx="98" formatCode="yyyy&quot;*&quot;">
                  <c:v>44743</c:v>
                </c:pt>
                <c:pt idx="99" formatCode="yyyy&quot;*&quot;">
                  <c:v>44835</c:v>
                </c:pt>
                <c:pt idx="100" formatCode="yyyy&quot;*&quot;">
                  <c:v>44927</c:v>
                </c:pt>
                <c:pt idx="101" formatCode="yyyy&quot;*&quot;">
                  <c:v>45017</c:v>
                </c:pt>
                <c:pt idx="102" formatCode="yyyy&quot;*&quot;">
                  <c:v>45108</c:v>
                </c:pt>
                <c:pt idx="103" formatCode="yyyy&quot;*&quot;">
                  <c:v>45200</c:v>
                </c:pt>
              </c:numCache>
            </c:numRef>
          </c:cat>
          <c:val>
            <c:numRef>
              <c:f>Commodities!$AK$8:$AK$111</c:f>
              <c:numCache>
                <c:formatCode>0.0</c:formatCode>
                <c:ptCount val="104"/>
                <c:pt idx="0">
                  <c:v>159.428</c:v>
                </c:pt>
                <c:pt idx="1">
                  <c:v>155.16499999999999</c:v>
                </c:pt>
                <c:pt idx="2">
                  <c:v>147.982</c:v>
                </c:pt>
                <c:pt idx="3">
                  <c:v>152.94800000000001</c:v>
                </c:pt>
                <c:pt idx="4">
                  <c:v>148.833</c:v>
                </c:pt>
                <c:pt idx="5">
                  <c:v>145.352</c:v>
                </c:pt>
                <c:pt idx="6">
                  <c:v>149.66900000000001</c:v>
                </c:pt>
                <c:pt idx="7">
                  <c:v>148.72</c:v>
                </c:pt>
                <c:pt idx="8">
                  <c:v>141.53299999999999</c:v>
                </c:pt>
                <c:pt idx="9">
                  <c:v>134.989</c:v>
                </c:pt>
                <c:pt idx="10">
                  <c:v>132.78</c:v>
                </c:pt>
                <c:pt idx="11">
                  <c:v>125.876</c:v>
                </c:pt>
                <c:pt idx="12">
                  <c:v>120.268</c:v>
                </c:pt>
                <c:pt idx="13">
                  <c:v>115.809</c:v>
                </c:pt>
                <c:pt idx="14">
                  <c:v>113.23</c:v>
                </c:pt>
                <c:pt idx="15">
                  <c:v>111.07299999999999</c:v>
                </c:pt>
                <c:pt idx="16">
                  <c:v>117.01600000000001</c:v>
                </c:pt>
                <c:pt idx="17">
                  <c:v>111.965</c:v>
                </c:pt>
                <c:pt idx="18">
                  <c:v>102.117</c:v>
                </c:pt>
                <c:pt idx="19">
                  <c:v>100.69199999999999</c:v>
                </c:pt>
                <c:pt idx="20">
                  <c:v>100.782</c:v>
                </c:pt>
                <c:pt idx="21">
                  <c:v>98.073999999999998</c:v>
                </c:pt>
                <c:pt idx="22">
                  <c:v>90.213999999999999</c:v>
                </c:pt>
                <c:pt idx="23">
                  <c:v>86.013999999999996</c:v>
                </c:pt>
                <c:pt idx="24">
                  <c:v>85.259</c:v>
                </c:pt>
                <c:pt idx="25">
                  <c:v>89.322000000000003</c:v>
                </c:pt>
                <c:pt idx="26">
                  <c:v>96.92</c:v>
                </c:pt>
                <c:pt idx="27">
                  <c:v>99.066999999999993</c:v>
                </c:pt>
                <c:pt idx="28">
                  <c:v>95.828999999999994</c:v>
                </c:pt>
                <c:pt idx="29">
                  <c:v>95.013999999999996</c:v>
                </c:pt>
                <c:pt idx="30">
                  <c:v>100.441</c:v>
                </c:pt>
                <c:pt idx="31">
                  <c:v>102.241</c:v>
                </c:pt>
                <c:pt idx="32">
                  <c:v>100.00700000000001</c:v>
                </c:pt>
                <c:pt idx="33">
                  <c:v>101.13</c:v>
                </c:pt>
                <c:pt idx="34">
                  <c:v>115.236</c:v>
                </c:pt>
                <c:pt idx="35">
                  <c:v>119.533</c:v>
                </c:pt>
                <c:pt idx="36">
                  <c:v>121.36799999999999</c:v>
                </c:pt>
                <c:pt idx="37">
                  <c:v>128.72300000000001</c:v>
                </c:pt>
                <c:pt idx="38">
                  <c:v>127.214</c:v>
                </c:pt>
                <c:pt idx="39">
                  <c:v>116.892</c:v>
                </c:pt>
                <c:pt idx="40">
                  <c:v>111.66500000000001</c:v>
                </c:pt>
                <c:pt idx="41">
                  <c:v>109.86</c:v>
                </c:pt>
                <c:pt idx="42">
                  <c:v>117.187</c:v>
                </c:pt>
                <c:pt idx="43">
                  <c:v>127.01600000000001</c:v>
                </c:pt>
                <c:pt idx="44">
                  <c:v>126.10299999999999</c:v>
                </c:pt>
                <c:pt idx="45">
                  <c:v>124.23399999999999</c:v>
                </c:pt>
                <c:pt idx="46">
                  <c:v>125.773</c:v>
                </c:pt>
                <c:pt idx="47">
                  <c:v>130.22900000000001</c:v>
                </c:pt>
                <c:pt idx="48">
                  <c:v>136.61199999999999</c:v>
                </c:pt>
                <c:pt idx="49">
                  <c:v>137.619</c:v>
                </c:pt>
                <c:pt idx="50">
                  <c:v>132.46600000000001</c:v>
                </c:pt>
                <c:pt idx="51">
                  <c:v>133.892</c:v>
                </c:pt>
                <c:pt idx="52">
                  <c:v>134.34899999999999</c:v>
                </c:pt>
                <c:pt idx="53">
                  <c:v>135.31399999999999</c:v>
                </c:pt>
                <c:pt idx="54">
                  <c:v>126.908</c:v>
                </c:pt>
                <c:pt idx="55">
                  <c:v>125.1</c:v>
                </c:pt>
                <c:pt idx="56">
                  <c:v>124.52500000000001</c:v>
                </c:pt>
                <c:pt idx="57">
                  <c:v>127.685</c:v>
                </c:pt>
                <c:pt idx="58">
                  <c:v>125.88800000000001</c:v>
                </c:pt>
                <c:pt idx="59">
                  <c:v>123.09</c:v>
                </c:pt>
                <c:pt idx="60">
                  <c:v>124.919</c:v>
                </c:pt>
                <c:pt idx="61">
                  <c:v>134.63200000000001</c:v>
                </c:pt>
                <c:pt idx="62">
                  <c:v>136.33500000000001</c:v>
                </c:pt>
                <c:pt idx="63">
                  <c:v>139.584</c:v>
                </c:pt>
                <c:pt idx="64">
                  <c:v>138.828</c:v>
                </c:pt>
                <c:pt idx="65">
                  <c:v>141.33600000000001</c:v>
                </c:pt>
                <c:pt idx="66">
                  <c:v>147.52799999999999</c:v>
                </c:pt>
                <c:pt idx="67">
                  <c:v>133.36500000000001</c:v>
                </c:pt>
                <c:pt idx="68">
                  <c:v>134.73099999999999</c:v>
                </c:pt>
                <c:pt idx="69">
                  <c:v>131.99799999999999</c:v>
                </c:pt>
                <c:pt idx="70">
                  <c:v>126.89</c:v>
                </c:pt>
                <c:pt idx="71">
                  <c:v>131.215</c:v>
                </c:pt>
                <c:pt idx="72">
                  <c:v>133.351</c:v>
                </c:pt>
                <c:pt idx="73">
                  <c:v>126.003</c:v>
                </c:pt>
                <c:pt idx="74">
                  <c:v>120.114</c:v>
                </c:pt>
                <c:pt idx="75">
                  <c:v>115.19199999999999</c:v>
                </c:pt>
                <c:pt idx="76">
                  <c:v>121.643</c:v>
                </c:pt>
                <c:pt idx="77">
                  <c:v>132.113</c:v>
                </c:pt>
                <c:pt idx="78">
                  <c:v>139.17500000000001</c:v>
                </c:pt>
                <c:pt idx="79">
                  <c:v>148.90600000000001</c:v>
                </c:pt>
                <c:pt idx="80">
                  <c:v>152.24199999999999</c:v>
                </c:pt>
                <c:pt idx="81">
                  <c:v>151.18</c:v>
                </c:pt>
                <c:pt idx="82">
                  <c:v>158.28700000000001</c:v>
                </c:pt>
                <c:pt idx="83">
                  <c:v>179.93100000000001</c:v>
                </c:pt>
                <c:pt idx="84">
                  <c:v>189.715</c:v>
                </c:pt>
                <c:pt idx="85">
                  <c:v>193.53</c:v>
                </c:pt>
                <c:pt idx="86">
                  <c:v>199.006</c:v>
                </c:pt>
                <c:pt idx="87">
                  <c:v>207.911</c:v>
                </c:pt>
                <c:pt idx="88">
                  <c:v>229.68</c:v>
                </c:pt>
                <c:pt idx="89">
                  <c:v>237.40700000000001</c:v>
                </c:pt>
                <c:pt idx="90">
                  <c:v>237.84800000000001</c:v>
                </c:pt>
                <c:pt idx="91">
                  <c:v>212.32599999999999</c:v>
                </c:pt>
                <c:pt idx="92">
                  <c:v>191.47</c:v>
                </c:pt>
                <c:pt idx="93">
                  <c:v>195.74</c:v>
                </c:pt>
                <c:pt idx="94">
                  <c:v>179.50700000000001</c:v>
                </c:pt>
                <c:pt idx="95">
                  <c:v>190.2</c:v>
                </c:pt>
                <c:pt idx="96">
                  <c:v>218.197</c:v>
                </c:pt>
                <c:pt idx="97">
                  <c:v>229.07300000000001</c:v>
                </c:pt>
                <c:pt idx="98">
                  <c:v>228.16200000000001</c:v>
                </c:pt>
                <c:pt idx="99">
                  <c:v>227.339</c:v>
                </c:pt>
                <c:pt idx="100">
                  <c:v>227.036</c:v>
                </c:pt>
                <c:pt idx="101">
                  <c:v>225.94300000000001</c:v>
                </c:pt>
                <c:pt idx="102">
                  <c:v>224.828</c:v>
                </c:pt>
                <c:pt idx="103">
                  <c:v>223.75</c:v>
                </c:pt>
              </c:numCache>
            </c:numRef>
          </c:val>
          <c:smooth val="0"/>
          <c:extLst>
            <c:ext xmlns:c16="http://schemas.microsoft.com/office/drawing/2014/chart" uri="{C3380CC4-5D6E-409C-BE32-E72D297353CC}">
              <c16:uniqueId val="{00000001-CE9D-4808-A10F-1676290DFB57}"/>
            </c:ext>
          </c:extLst>
        </c:ser>
        <c:ser>
          <c:idx val="2"/>
          <c:order val="2"/>
          <c:tx>
            <c:strRef>
              <c:f>Commodities!$AL$6</c:f>
              <c:strCache>
                <c:ptCount val="1"/>
                <c:pt idx="0">
                  <c:v>Храна</c:v>
                </c:pt>
              </c:strCache>
            </c:strRef>
          </c:tx>
          <c:spPr>
            <a:ln w="22225" cap="rnd">
              <a:solidFill>
                <a:srgbClr val="7F3F98"/>
              </a:solidFill>
              <a:round/>
            </a:ln>
            <a:effectLst/>
          </c:spPr>
          <c:marker>
            <c:symbol val="none"/>
          </c:marker>
          <c:cat>
            <c:numRef>
              <c:f>Commodities!$I$8:$I$111</c:f>
              <c:numCache>
                <c:formatCode>yyyy</c:formatCode>
                <c:ptCount val="104"/>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pt idx="93">
                  <c:v>44470</c:v>
                </c:pt>
                <c:pt idx="94">
                  <c:v>44501</c:v>
                </c:pt>
                <c:pt idx="95">
                  <c:v>44531</c:v>
                </c:pt>
                <c:pt idx="96" formatCode="yyyy&quot;*&quot;">
                  <c:v>44562</c:v>
                </c:pt>
                <c:pt idx="97" formatCode="yyyy&quot;*&quot;">
                  <c:v>44652</c:v>
                </c:pt>
                <c:pt idx="98" formatCode="yyyy&quot;*&quot;">
                  <c:v>44743</c:v>
                </c:pt>
                <c:pt idx="99" formatCode="yyyy&quot;*&quot;">
                  <c:v>44835</c:v>
                </c:pt>
                <c:pt idx="100" formatCode="yyyy&quot;*&quot;">
                  <c:v>44927</c:v>
                </c:pt>
                <c:pt idx="101" formatCode="yyyy&quot;*&quot;">
                  <c:v>45017</c:v>
                </c:pt>
                <c:pt idx="102" formatCode="yyyy&quot;*&quot;">
                  <c:v>45108</c:v>
                </c:pt>
                <c:pt idx="103" formatCode="yyyy&quot;*&quot;">
                  <c:v>45200</c:v>
                </c:pt>
              </c:numCache>
            </c:numRef>
          </c:cat>
          <c:val>
            <c:numRef>
              <c:f>Commodities!$AL$8:$AL$111</c:f>
              <c:numCache>
                <c:formatCode>0.0</c:formatCode>
                <c:ptCount val="104"/>
                <c:pt idx="0">
                  <c:v>117.762</c:v>
                </c:pt>
                <c:pt idx="1">
                  <c:v>121.05200000000001</c:v>
                </c:pt>
                <c:pt idx="2">
                  <c:v>128.09899999999999</c:v>
                </c:pt>
                <c:pt idx="3">
                  <c:v>130.63900000000001</c:v>
                </c:pt>
                <c:pt idx="4">
                  <c:v>125.381</c:v>
                </c:pt>
                <c:pt idx="5">
                  <c:v>122.511</c:v>
                </c:pt>
                <c:pt idx="6">
                  <c:v>119.788</c:v>
                </c:pt>
                <c:pt idx="7">
                  <c:v>114.203</c:v>
                </c:pt>
                <c:pt idx="8">
                  <c:v>112.026</c:v>
                </c:pt>
                <c:pt idx="9">
                  <c:v>111.371</c:v>
                </c:pt>
                <c:pt idx="10">
                  <c:v>111.111</c:v>
                </c:pt>
                <c:pt idx="11">
                  <c:v>109.184</c:v>
                </c:pt>
                <c:pt idx="12">
                  <c:v>104.53700000000001</c:v>
                </c:pt>
                <c:pt idx="13">
                  <c:v>101.53100000000001</c:v>
                </c:pt>
                <c:pt idx="14">
                  <c:v>98.953999999999994</c:v>
                </c:pt>
                <c:pt idx="15">
                  <c:v>100.884</c:v>
                </c:pt>
                <c:pt idx="16">
                  <c:v>100.76600000000001</c:v>
                </c:pt>
                <c:pt idx="17">
                  <c:v>100.30200000000001</c:v>
                </c:pt>
                <c:pt idx="18">
                  <c:v>100.15600000000001</c:v>
                </c:pt>
                <c:pt idx="19">
                  <c:v>97.085999999999999</c:v>
                </c:pt>
                <c:pt idx="20">
                  <c:v>96.29</c:v>
                </c:pt>
                <c:pt idx="21">
                  <c:v>96.823999999999998</c:v>
                </c:pt>
                <c:pt idx="22">
                  <c:v>92.772000000000006</c:v>
                </c:pt>
                <c:pt idx="23">
                  <c:v>92.352999999999994</c:v>
                </c:pt>
                <c:pt idx="24">
                  <c:v>92.319000000000003</c:v>
                </c:pt>
                <c:pt idx="25">
                  <c:v>93.629000000000005</c:v>
                </c:pt>
                <c:pt idx="26">
                  <c:v>97.082999999999998</c:v>
                </c:pt>
                <c:pt idx="27">
                  <c:v>100.069</c:v>
                </c:pt>
                <c:pt idx="28">
                  <c:v>101.441</c:v>
                </c:pt>
                <c:pt idx="29">
                  <c:v>103.578</c:v>
                </c:pt>
                <c:pt idx="30">
                  <c:v>103.883</c:v>
                </c:pt>
                <c:pt idx="31">
                  <c:v>102.125</c:v>
                </c:pt>
                <c:pt idx="32">
                  <c:v>101.70699999999999</c:v>
                </c:pt>
                <c:pt idx="33">
                  <c:v>100.643</c:v>
                </c:pt>
                <c:pt idx="34">
                  <c:v>101.196</c:v>
                </c:pt>
                <c:pt idx="35">
                  <c:v>102.327</c:v>
                </c:pt>
                <c:pt idx="36">
                  <c:v>106.53700000000001</c:v>
                </c:pt>
                <c:pt idx="37">
                  <c:v>107.023</c:v>
                </c:pt>
                <c:pt idx="38">
                  <c:v>103.44</c:v>
                </c:pt>
                <c:pt idx="39">
                  <c:v>102.80500000000001</c:v>
                </c:pt>
                <c:pt idx="40">
                  <c:v>105.218</c:v>
                </c:pt>
                <c:pt idx="41">
                  <c:v>104.517</c:v>
                </c:pt>
                <c:pt idx="42">
                  <c:v>106.864</c:v>
                </c:pt>
                <c:pt idx="43">
                  <c:v>102.081</c:v>
                </c:pt>
                <c:pt idx="44">
                  <c:v>100.849</c:v>
                </c:pt>
                <c:pt idx="45">
                  <c:v>101.652</c:v>
                </c:pt>
                <c:pt idx="46">
                  <c:v>102.291</c:v>
                </c:pt>
                <c:pt idx="47">
                  <c:v>102.282</c:v>
                </c:pt>
                <c:pt idx="48">
                  <c:v>105.818</c:v>
                </c:pt>
                <c:pt idx="49">
                  <c:v>105.893</c:v>
                </c:pt>
                <c:pt idx="50">
                  <c:v>106.905</c:v>
                </c:pt>
                <c:pt idx="51">
                  <c:v>106.71899999999999</c:v>
                </c:pt>
                <c:pt idx="52">
                  <c:v>108.363</c:v>
                </c:pt>
                <c:pt idx="53">
                  <c:v>104.08</c:v>
                </c:pt>
                <c:pt idx="54">
                  <c:v>101.33</c:v>
                </c:pt>
                <c:pt idx="55">
                  <c:v>97.361000000000004</c:v>
                </c:pt>
                <c:pt idx="56">
                  <c:v>98.626999999999995</c:v>
                </c:pt>
                <c:pt idx="57">
                  <c:v>100.42100000000001</c:v>
                </c:pt>
                <c:pt idx="58">
                  <c:v>95.855000000000004</c:v>
                </c:pt>
                <c:pt idx="59">
                  <c:v>98.69</c:v>
                </c:pt>
                <c:pt idx="60">
                  <c:v>100.467</c:v>
                </c:pt>
                <c:pt idx="61">
                  <c:v>98.772000000000006</c:v>
                </c:pt>
                <c:pt idx="62">
                  <c:v>98.063000000000002</c:v>
                </c:pt>
                <c:pt idx="63">
                  <c:v>101.569</c:v>
                </c:pt>
                <c:pt idx="64">
                  <c:v>98.093999999999994</c:v>
                </c:pt>
                <c:pt idx="65">
                  <c:v>100.21299999999999</c:v>
                </c:pt>
                <c:pt idx="66">
                  <c:v>100.27200000000001</c:v>
                </c:pt>
                <c:pt idx="67">
                  <c:v>98.26</c:v>
                </c:pt>
                <c:pt idx="68">
                  <c:v>96.052999999999997</c:v>
                </c:pt>
                <c:pt idx="69">
                  <c:v>96.382000000000005</c:v>
                </c:pt>
                <c:pt idx="70">
                  <c:v>100.27800000000001</c:v>
                </c:pt>
                <c:pt idx="71">
                  <c:v>104.01900000000001</c:v>
                </c:pt>
                <c:pt idx="72">
                  <c:v>105.40300000000001</c:v>
                </c:pt>
                <c:pt idx="73">
                  <c:v>101.111</c:v>
                </c:pt>
                <c:pt idx="74">
                  <c:v>97.409000000000006</c:v>
                </c:pt>
                <c:pt idx="75">
                  <c:v>93.135999999999996</c:v>
                </c:pt>
                <c:pt idx="76">
                  <c:v>96.721999999999994</c:v>
                </c:pt>
                <c:pt idx="77">
                  <c:v>100.642</c:v>
                </c:pt>
                <c:pt idx="78">
                  <c:v>101.154</c:v>
                </c:pt>
                <c:pt idx="79">
                  <c:v>101.76</c:v>
                </c:pt>
                <c:pt idx="80">
                  <c:v>100</c:v>
                </c:pt>
                <c:pt idx="81">
                  <c:v>105.348</c:v>
                </c:pt>
                <c:pt idx="82">
                  <c:v>108.401</c:v>
                </c:pt>
                <c:pt idx="83">
                  <c:v>109.238</c:v>
                </c:pt>
                <c:pt idx="84">
                  <c:v>115.122</c:v>
                </c:pt>
                <c:pt idx="85">
                  <c:v>119.876</c:v>
                </c:pt>
                <c:pt idx="86">
                  <c:v>122.261</c:v>
                </c:pt>
                <c:pt idx="87">
                  <c:v>129.75399999999999</c:v>
                </c:pt>
                <c:pt idx="88">
                  <c:v>137.28800000000001</c:v>
                </c:pt>
                <c:pt idx="89">
                  <c:v>131.709</c:v>
                </c:pt>
                <c:pt idx="90">
                  <c:v>132.167</c:v>
                </c:pt>
                <c:pt idx="91">
                  <c:v>132.4</c:v>
                </c:pt>
                <c:pt idx="92">
                  <c:v>129.148</c:v>
                </c:pt>
                <c:pt idx="93">
                  <c:v>131.136</c:v>
                </c:pt>
                <c:pt idx="94">
                  <c:v>132.17400000000001</c:v>
                </c:pt>
                <c:pt idx="95">
                  <c:v>134.94</c:v>
                </c:pt>
                <c:pt idx="96">
                  <c:v>146.07300000000001</c:v>
                </c:pt>
                <c:pt idx="97">
                  <c:v>152.827</c:v>
                </c:pt>
                <c:pt idx="98">
                  <c:v>146.886</c:v>
                </c:pt>
                <c:pt idx="99">
                  <c:v>142.18100000000001</c:v>
                </c:pt>
                <c:pt idx="100">
                  <c:v>141.471</c:v>
                </c:pt>
                <c:pt idx="101">
                  <c:v>140.59399999999999</c:v>
                </c:pt>
                <c:pt idx="102">
                  <c:v>137.12100000000001</c:v>
                </c:pt>
                <c:pt idx="103">
                  <c:v>135.441</c:v>
                </c:pt>
              </c:numCache>
            </c:numRef>
          </c:val>
          <c:smooth val="0"/>
          <c:extLst>
            <c:ext xmlns:c16="http://schemas.microsoft.com/office/drawing/2014/chart" uri="{C3380CC4-5D6E-409C-BE32-E72D297353CC}">
              <c16:uniqueId val="{00000002-CE9D-4808-A10F-1676290DFB57}"/>
            </c:ext>
          </c:extLst>
        </c:ser>
        <c:ser>
          <c:idx val="4"/>
          <c:order val="3"/>
          <c:tx>
            <c:strRef>
              <c:f>Commodities!$AM$6</c:f>
              <c:strCache>
                <c:ptCount val="1"/>
                <c:pt idx="0">
                  <c:v>Енергија</c:v>
                </c:pt>
              </c:strCache>
            </c:strRef>
          </c:tx>
          <c:spPr>
            <a:ln w="22225" cap="rnd">
              <a:solidFill>
                <a:srgbClr val="00A651"/>
              </a:solidFill>
              <a:round/>
            </a:ln>
            <a:effectLst/>
          </c:spPr>
          <c:marker>
            <c:symbol val="none"/>
          </c:marker>
          <c:cat>
            <c:numRef>
              <c:f>Commodities!$I$8:$I$111</c:f>
              <c:numCache>
                <c:formatCode>yyyy</c:formatCode>
                <c:ptCount val="104"/>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pt idx="93">
                  <c:v>44470</c:v>
                </c:pt>
                <c:pt idx="94">
                  <c:v>44501</c:v>
                </c:pt>
                <c:pt idx="95">
                  <c:v>44531</c:v>
                </c:pt>
                <c:pt idx="96" formatCode="yyyy&quot;*&quot;">
                  <c:v>44562</c:v>
                </c:pt>
                <c:pt idx="97" formatCode="yyyy&quot;*&quot;">
                  <c:v>44652</c:v>
                </c:pt>
                <c:pt idx="98" formatCode="yyyy&quot;*&quot;">
                  <c:v>44743</c:v>
                </c:pt>
                <c:pt idx="99" formatCode="yyyy&quot;*&quot;">
                  <c:v>44835</c:v>
                </c:pt>
                <c:pt idx="100" formatCode="yyyy&quot;*&quot;">
                  <c:v>44927</c:v>
                </c:pt>
                <c:pt idx="101" formatCode="yyyy&quot;*&quot;">
                  <c:v>45017</c:v>
                </c:pt>
                <c:pt idx="102" formatCode="yyyy&quot;*&quot;">
                  <c:v>45108</c:v>
                </c:pt>
                <c:pt idx="103" formatCode="yyyy&quot;*&quot;">
                  <c:v>45200</c:v>
                </c:pt>
              </c:numCache>
            </c:numRef>
          </c:cat>
          <c:val>
            <c:numRef>
              <c:f>Commodities!$AM$8:$AM$111</c:f>
              <c:numCache>
                <c:formatCode>0.0</c:formatCode>
                <c:ptCount val="104"/>
                <c:pt idx="0">
                  <c:v>229.99700000000001</c:v>
                </c:pt>
                <c:pt idx="1">
                  <c:v>237.209</c:v>
                </c:pt>
                <c:pt idx="2">
                  <c:v>229.72800000000001</c:v>
                </c:pt>
                <c:pt idx="3">
                  <c:v>230.82900000000001</c:v>
                </c:pt>
                <c:pt idx="4">
                  <c:v>231.31700000000001</c:v>
                </c:pt>
                <c:pt idx="5">
                  <c:v>235.19200000000001</c:v>
                </c:pt>
                <c:pt idx="6">
                  <c:v>226.53899999999999</c:v>
                </c:pt>
                <c:pt idx="7">
                  <c:v>218.06100000000001</c:v>
                </c:pt>
                <c:pt idx="8">
                  <c:v>210.90700000000001</c:v>
                </c:pt>
                <c:pt idx="9">
                  <c:v>193.018</c:v>
                </c:pt>
                <c:pt idx="10">
                  <c:v>178.45699999999999</c:v>
                </c:pt>
                <c:pt idx="11">
                  <c:v>148.554</c:v>
                </c:pt>
                <c:pt idx="12">
                  <c:v>122.682</c:v>
                </c:pt>
                <c:pt idx="13">
                  <c:v>134.81100000000001</c:v>
                </c:pt>
                <c:pt idx="14">
                  <c:v>129.405</c:v>
                </c:pt>
                <c:pt idx="15">
                  <c:v>131.37899999999999</c:v>
                </c:pt>
                <c:pt idx="16">
                  <c:v>138.45500000000001</c:v>
                </c:pt>
                <c:pt idx="17">
                  <c:v>135.124</c:v>
                </c:pt>
                <c:pt idx="18">
                  <c:v>123.655</c:v>
                </c:pt>
                <c:pt idx="19">
                  <c:v>109.45</c:v>
                </c:pt>
                <c:pt idx="20">
                  <c:v>110.018</c:v>
                </c:pt>
                <c:pt idx="21">
                  <c:v>109.521</c:v>
                </c:pt>
                <c:pt idx="22">
                  <c:v>101.648</c:v>
                </c:pt>
                <c:pt idx="23">
                  <c:v>90.453000000000003</c:v>
                </c:pt>
                <c:pt idx="24">
                  <c:v>77.528000000000006</c:v>
                </c:pt>
                <c:pt idx="25">
                  <c:v>78.138999999999996</c:v>
                </c:pt>
                <c:pt idx="26">
                  <c:v>87.462999999999994</c:v>
                </c:pt>
                <c:pt idx="27">
                  <c:v>92.26</c:v>
                </c:pt>
                <c:pt idx="28">
                  <c:v>101.393</c:v>
                </c:pt>
                <c:pt idx="29">
                  <c:v>106.41500000000001</c:v>
                </c:pt>
                <c:pt idx="30">
                  <c:v>101.995</c:v>
                </c:pt>
                <c:pt idx="31">
                  <c:v>103.76600000000001</c:v>
                </c:pt>
                <c:pt idx="32">
                  <c:v>105.175</c:v>
                </c:pt>
                <c:pt idx="33">
                  <c:v>114.806</c:v>
                </c:pt>
                <c:pt idx="34">
                  <c:v>108.005</c:v>
                </c:pt>
                <c:pt idx="35">
                  <c:v>123.054</c:v>
                </c:pt>
                <c:pt idx="36">
                  <c:v>128.327</c:v>
                </c:pt>
                <c:pt idx="37">
                  <c:v>126.004</c:v>
                </c:pt>
                <c:pt idx="38">
                  <c:v>116.321</c:v>
                </c:pt>
                <c:pt idx="39">
                  <c:v>119.417</c:v>
                </c:pt>
                <c:pt idx="40">
                  <c:v>114.937</c:v>
                </c:pt>
                <c:pt idx="41">
                  <c:v>108.244</c:v>
                </c:pt>
                <c:pt idx="42">
                  <c:v>112.039</c:v>
                </c:pt>
                <c:pt idx="43">
                  <c:v>118.288</c:v>
                </c:pt>
                <c:pt idx="44">
                  <c:v>126.227</c:v>
                </c:pt>
                <c:pt idx="45">
                  <c:v>130.79900000000001</c:v>
                </c:pt>
                <c:pt idx="46">
                  <c:v>141.56200000000001</c:v>
                </c:pt>
                <c:pt idx="47">
                  <c:v>144.91399999999999</c:v>
                </c:pt>
                <c:pt idx="48">
                  <c:v>156.13200000000001</c:v>
                </c:pt>
                <c:pt idx="49">
                  <c:v>148.239</c:v>
                </c:pt>
                <c:pt idx="50">
                  <c:v>147.97200000000001</c:v>
                </c:pt>
                <c:pt idx="51">
                  <c:v>152.74299999999999</c:v>
                </c:pt>
                <c:pt idx="52">
                  <c:v>163.58000000000001</c:v>
                </c:pt>
                <c:pt idx="53">
                  <c:v>163.929</c:v>
                </c:pt>
                <c:pt idx="54">
                  <c:v>165.273</c:v>
                </c:pt>
                <c:pt idx="55">
                  <c:v>163.922</c:v>
                </c:pt>
                <c:pt idx="56">
                  <c:v>174.08799999999999</c:v>
                </c:pt>
                <c:pt idx="57">
                  <c:v>173.77099999999999</c:v>
                </c:pt>
                <c:pt idx="58">
                  <c:v>149.33600000000001</c:v>
                </c:pt>
                <c:pt idx="59">
                  <c:v>133.34899999999999</c:v>
                </c:pt>
                <c:pt idx="60">
                  <c:v>133.30199999999999</c:v>
                </c:pt>
                <c:pt idx="61">
                  <c:v>136.04900000000001</c:v>
                </c:pt>
                <c:pt idx="62">
                  <c:v>138.256</c:v>
                </c:pt>
                <c:pt idx="63">
                  <c:v>143.768</c:v>
                </c:pt>
                <c:pt idx="64">
                  <c:v>139.411</c:v>
                </c:pt>
                <c:pt idx="65">
                  <c:v>123.532</c:v>
                </c:pt>
                <c:pt idx="66">
                  <c:v>126.89</c:v>
                </c:pt>
                <c:pt idx="67">
                  <c:v>118.18</c:v>
                </c:pt>
                <c:pt idx="68">
                  <c:v>123.74299999999999</c:v>
                </c:pt>
                <c:pt idx="69">
                  <c:v>120.505</c:v>
                </c:pt>
                <c:pt idx="70">
                  <c:v>129.10400000000001</c:v>
                </c:pt>
                <c:pt idx="71">
                  <c:v>132.36799999999999</c:v>
                </c:pt>
                <c:pt idx="72">
                  <c:v>127.414</c:v>
                </c:pt>
                <c:pt idx="73">
                  <c:v>110.312</c:v>
                </c:pt>
                <c:pt idx="74">
                  <c:v>73.685000000000002</c:v>
                </c:pt>
                <c:pt idx="75">
                  <c:v>52.771000000000001</c:v>
                </c:pt>
                <c:pt idx="76">
                  <c:v>66.915000000000006</c:v>
                </c:pt>
                <c:pt idx="77">
                  <c:v>82.415000000000006</c:v>
                </c:pt>
                <c:pt idx="78">
                  <c:v>86.900999999999996</c:v>
                </c:pt>
                <c:pt idx="79">
                  <c:v>93.384</c:v>
                </c:pt>
                <c:pt idx="80">
                  <c:v>90.525000000000006</c:v>
                </c:pt>
                <c:pt idx="81">
                  <c:v>93.334999999999994</c:v>
                </c:pt>
                <c:pt idx="82">
                  <c:v>100.185</c:v>
                </c:pt>
                <c:pt idx="83">
                  <c:v>118.82</c:v>
                </c:pt>
                <c:pt idx="84">
                  <c:v>138.81100000000001</c:v>
                </c:pt>
                <c:pt idx="85">
                  <c:v>143.43600000000001</c:v>
                </c:pt>
                <c:pt idx="86">
                  <c:v>142.661</c:v>
                </c:pt>
                <c:pt idx="87">
                  <c:v>143.34200000000001</c:v>
                </c:pt>
                <c:pt idx="88">
                  <c:v>155.267</c:v>
                </c:pt>
                <c:pt idx="89">
                  <c:v>171.65799999999999</c:v>
                </c:pt>
                <c:pt idx="90">
                  <c:v>183.05099999999999</c:v>
                </c:pt>
                <c:pt idx="91">
                  <c:v>184.89099999999999</c:v>
                </c:pt>
                <c:pt idx="92">
                  <c:v>213.71100000000001</c:v>
                </c:pt>
                <c:pt idx="93">
                  <c:v>257.37200000000001</c:v>
                </c:pt>
                <c:pt idx="94">
                  <c:v>237.35400000000001</c:v>
                </c:pt>
                <c:pt idx="95">
                  <c:v>241.34</c:v>
                </c:pt>
                <c:pt idx="96">
                  <c:v>296.68200000000002</c:v>
                </c:pt>
                <c:pt idx="97">
                  <c:v>381.63799999999998</c:v>
                </c:pt>
                <c:pt idx="98">
                  <c:v>361.94900000000001</c:v>
                </c:pt>
                <c:pt idx="99">
                  <c:v>345.714</c:v>
                </c:pt>
                <c:pt idx="100">
                  <c:v>324.88600000000002</c:v>
                </c:pt>
                <c:pt idx="101">
                  <c:v>250.24600000000001</c:v>
                </c:pt>
                <c:pt idx="102">
                  <c:v>238.99799999999999</c:v>
                </c:pt>
                <c:pt idx="103">
                  <c:v>235.33600000000001</c:v>
                </c:pt>
              </c:numCache>
            </c:numRef>
          </c:val>
          <c:smooth val="0"/>
          <c:extLst>
            <c:ext xmlns:c16="http://schemas.microsoft.com/office/drawing/2014/chart" uri="{C3380CC4-5D6E-409C-BE32-E72D297353CC}">
              <c16:uniqueId val="{00000003-CE9D-4808-A10F-1676290DFB57}"/>
            </c:ext>
          </c:extLst>
        </c:ser>
        <c:ser>
          <c:idx val="3"/>
          <c:order val="4"/>
          <c:tx>
            <c:strRef>
              <c:f>Commodities!$AN$6</c:f>
              <c:strCache>
                <c:ptCount val="1"/>
                <c:pt idx="0">
                  <c:v>100</c:v>
                </c:pt>
              </c:strCache>
            </c:strRef>
          </c:tx>
          <c:spPr>
            <a:ln w="6350" cap="rnd">
              <a:solidFill>
                <a:srgbClr val="898989"/>
              </a:solidFill>
              <a:round/>
            </a:ln>
            <a:effectLst/>
          </c:spPr>
          <c:marker>
            <c:symbol val="none"/>
          </c:marker>
          <c:dPt>
            <c:idx val="0"/>
            <c:marker>
              <c:symbol val="none"/>
            </c:marker>
            <c:bubble3D val="0"/>
            <c:extLst>
              <c:ext xmlns:c16="http://schemas.microsoft.com/office/drawing/2014/chart" uri="{C3380CC4-5D6E-409C-BE32-E72D297353CC}">
                <c16:uniqueId val="{00000004-CE9D-4808-A10F-1676290DFB57}"/>
              </c:ext>
            </c:extLst>
          </c:dPt>
          <c:dPt>
            <c:idx val="12"/>
            <c:marker>
              <c:symbol val="none"/>
            </c:marker>
            <c:bubble3D val="0"/>
            <c:extLst>
              <c:ext xmlns:c16="http://schemas.microsoft.com/office/drawing/2014/chart" uri="{C3380CC4-5D6E-409C-BE32-E72D297353CC}">
                <c16:uniqueId val="{00000005-CE9D-4808-A10F-1676290DFB57}"/>
              </c:ext>
            </c:extLst>
          </c:dPt>
          <c:dPt>
            <c:idx val="24"/>
            <c:marker>
              <c:symbol val="none"/>
            </c:marker>
            <c:bubble3D val="0"/>
            <c:extLst>
              <c:ext xmlns:c16="http://schemas.microsoft.com/office/drawing/2014/chart" uri="{C3380CC4-5D6E-409C-BE32-E72D297353CC}">
                <c16:uniqueId val="{00000006-CE9D-4808-A10F-1676290DFB57}"/>
              </c:ext>
            </c:extLst>
          </c:dPt>
          <c:dPt>
            <c:idx val="36"/>
            <c:marker>
              <c:symbol val="none"/>
            </c:marker>
            <c:bubble3D val="0"/>
            <c:extLst>
              <c:ext xmlns:c16="http://schemas.microsoft.com/office/drawing/2014/chart" uri="{C3380CC4-5D6E-409C-BE32-E72D297353CC}">
                <c16:uniqueId val="{00000007-CE9D-4808-A10F-1676290DFB57}"/>
              </c:ext>
            </c:extLst>
          </c:dPt>
          <c:dPt>
            <c:idx val="48"/>
            <c:marker>
              <c:symbol val="none"/>
            </c:marker>
            <c:bubble3D val="0"/>
            <c:extLst>
              <c:ext xmlns:c16="http://schemas.microsoft.com/office/drawing/2014/chart" uri="{C3380CC4-5D6E-409C-BE32-E72D297353CC}">
                <c16:uniqueId val="{00000008-CE9D-4808-A10F-1676290DFB57}"/>
              </c:ext>
            </c:extLst>
          </c:dPt>
          <c:dPt>
            <c:idx val="60"/>
            <c:marker>
              <c:symbol val="none"/>
            </c:marker>
            <c:bubble3D val="0"/>
            <c:extLst>
              <c:ext xmlns:c16="http://schemas.microsoft.com/office/drawing/2014/chart" uri="{C3380CC4-5D6E-409C-BE32-E72D297353CC}">
                <c16:uniqueId val="{00000009-CE9D-4808-A10F-1676290DFB57}"/>
              </c:ext>
            </c:extLst>
          </c:dPt>
          <c:cat>
            <c:numRef>
              <c:f>Commodities!$I$8:$I$111</c:f>
              <c:numCache>
                <c:formatCode>yyyy</c:formatCode>
                <c:ptCount val="104"/>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pt idx="93">
                  <c:v>44470</c:v>
                </c:pt>
                <c:pt idx="94">
                  <c:v>44501</c:v>
                </c:pt>
                <c:pt idx="95">
                  <c:v>44531</c:v>
                </c:pt>
                <c:pt idx="96" formatCode="yyyy&quot;*&quot;">
                  <c:v>44562</c:v>
                </c:pt>
                <c:pt idx="97" formatCode="yyyy&quot;*&quot;">
                  <c:v>44652</c:v>
                </c:pt>
                <c:pt idx="98" formatCode="yyyy&quot;*&quot;">
                  <c:v>44743</c:v>
                </c:pt>
                <c:pt idx="99" formatCode="yyyy&quot;*&quot;">
                  <c:v>44835</c:v>
                </c:pt>
                <c:pt idx="100" formatCode="yyyy&quot;*&quot;">
                  <c:v>44927</c:v>
                </c:pt>
                <c:pt idx="101" formatCode="yyyy&quot;*&quot;">
                  <c:v>45017</c:v>
                </c:pt>
                <c:pt idx="102" formatCode="yyyy&quot;*&quot;">
                  <c:v>45108</c:v>
                </c:pt>
                <c:pt idx="103" formatCode="yyyy&quot;*&quot;">
                  <c:v>45200</c:v>
                </c:pt>
              </c:numCache>
            </c:numRef>
          </c:cat>
          <c:val>
            <c:numRef>
              <c:f>Commodities!$AN$8:$AN$111</c:f>
              <c:numCache>
                <c:formatCode>General</c:formatCode>
                <c:ptCount val="104"/>
                <c:pt idx="0">
                  <c:v>100</c:v>
                </c:pt>
                <c:pt idx="1">
                  <c:v>100</c:v>
                </c:pt>
                <c:pt idx="2">
                  <c:v>100</c:v>
                </c:pt>
                <c:pt idx="3">
                  <c:v>100</c:v>
                </c:pt>
                <c:pt idx="4">
                  <c:v>100</c:v>
                </c:pt>
                <c:pt idx="5">
                  <c:v>100</c:v>
                </c:pt>
                <c:pt idx="6">
                  <c:v>100</c:v>
                </c:pt>
                <c:pt idx="7">
                  <c:v>100</c:v>
                </c:pt>
                <c:pt idx="8">
                  <c:v>100</c:v>
                </c:pt>
                <c:pt idx="9">
                  <c:v>100</c:v>
                </c:pt>
                <c:pt idx="10">
                  <c:v>100</c:v>
                </c:pt>
                <c:pt idx="11">
                  <c:v>100</c:v>
                </c:pt>
                <c:pt idx="12">
                  <c:v>100</c:v>
                </c:pt>
                <c:pt idx="13">
                  <c:v>100</c:v>
                </c:pt>
                <c:pt idx="14">
                  <c:v>100</c:v>
                </c:pt>
                <c:pt idx="15">
                  <c:v>100</c:v>
                </c:pt>
                <c:pt idx="16">
                  <c:v>100</c:v>
                </c:pt>
                <c:pt idx="17">
                  <c:v>100</c:v>
                </c:pt>
                <c:pt idx="18">
                  <c:v>100</c:v>
                </c:pt>
                <c:pt idx="19">
                  <c:v>100</c:v>
                </c:pt>
                <c:pt idx="20">
                  <c:v>100</c:v>
                </c:pt>
                <c:pt idx="21">
                  <c:v>100</c:v>
                </c:pt>
                <c:pt idx="22">
                  <c:v>100</c:v>
                </c:pt>
                <c:pt idx="23">
                  <c:v>100</c:v>
                </c:pt>
                <c:pt idx="24">
                  <c:v>100</c:v>
                </c:pt>
                <c:pt idx="25">
                  <c:v>100</c:v>
                </c:pt>
                <c:pt idx="26">
                  <c:v>100</c:v>
                </c:pt>
                <c:pt idx="27">
                  <c:v>100</c:v>
                </c:pt>
                <c:pt idx="28">
                  <c:v>100</c:v>
                </c:pt>
                <c:pt idx="29">
                  <c:v>100</c:v>
                </c:pt>
                <c:pt idx="30">
                  <c:v>100</c:v>
                </c:pt>
                <c:pt idx="31">
                  <c:v>100</c:v>
                </c:pt>
                <c:pt idx="32">
                  <c:v>100</c:v>
                </c:pt>
                <c:pt idx="33">
                  <c:v>100</c:v>
                </c:pt>
                <c:pt idx="34">
                  <c:v>100</c:v>
                </c:pt>
                <c:pt idx="35">
                  <c:v>100</c:v>
                </c:pt>
                <c:pt idx="36">
                  <c:v>100</c:v>
                </c:pt>
                <c:pt idx="37">
                  <c:v>100</c:v>
                </c:pt>
                <c:pt idx="38">
                  <c:v>100</c:v>
                </c:pt>
                <c:pt idx="39">
                  <c:v>100</c:v>
                </c:pt>
                <c:pt idx="40">
                  <c:v>100</c:v>
                </c:pt>
                <c:pt idx="41">
                  <c:v>100</c:v>
                </c:pt>
                <c:pt idx="42">
                  <c:v>100</c:v>
                </c:pt>
                <c:pt idx="43">
                  <c:v>100</c:v>
                </c:pt>
                <c:pt idx="44">
                  <c:v>100</c:v>
                </c:pt>
                <c:pt idx="45">
                  <c:v>100</c:v>
                </c:pt>
                <c:pt idx="46">
                  <c:v>100</c:v>
                </c:pt>
                <c:pt idx="47">
                  <c:v>100</c:v>
                </c:pt>
                <c:pt idx="48">
                  <c:v>100</c:v>
                </c:pt>
                <c:pt idx="49">
                  <c:v>100</c:v>
                </c:pt>
                <c:pt idx="50">
                  <c:v>100</c:v>
                </c:pt>
                <c:pt idx="51">
                  <c:v>100</c:v>
                </c:pt>
                <c:pt idx="52">
                  <c:v>100</c:v>
                </c:pt>
                <c:pt idx="53">
                  <c:v>100</c:v>
                </c:pt>
                <c:pt idx="54">
                  <c:v>100</c:v>
                </c:pt>
                <c:pt idx="55">
                  <c:v>100</c:v>
                </c:pt>
                <c:pt idx="56">
                  <c:v>100</c:v>
                </c:pt>
                <c:pt idx="57">
                  <c:v>100</c:v>
                </c:pt>
                <c:pt idx="58">
                  <c:v>100</c:v>
                </c:pt>
                <c:pt idx="59">
                  <c:v>100</c:v>
                </c:pt>
                <c:pt idx="60">
                  <c:v>100</c:v>
                </c:pt>
                <c:pt idx="61">
                  <c:v>100</c:v>
                </c:pt>
                <c:pt idx="62">
                  <c:v>100</c:v>
                </c:pt>
                <c:pt idx="63">
                  <c:v>100</c:v>
                </c:pt>
                <c:pt idx="64">
                  <c:v>100</c:v>
                </c:pt>
                <c:pt idx="65">
                  <c:v>100</c:v>
                </c:pt>
                <c:pt idx="66">
                  <c:v>100</c:v>
                </c:pt>
                <c:pt idx="67">
                  <c:v>100</c:v>
                </c:pt>
                <c:pt idx="68">
                  <c:v>100</c:v>
                </c:pt>
                <c:pt idx="69">
                  <c:v>100</c:v>
                </c:pt>
                <c:pt idx="70">
                  <c:v>100</c:v>
                </c:pt>
                <c:pt idx="71">
                  <c:v>100</c:v>
                </c:pt>
                <c:pt idx="72">
                  <c:v>100</c:v>
                </c:pt>
                <c:pt idx="73">
                  <c:v>100</c:v>
                </c:pt>
                <c:pt idx="74">
                  <c:v>100</c:v>
                </c:pt>
                <c:pt idx="75">
                  <c:v>100</c:v>
                </c:pt>
                <c:pt idx="76">
                  <c:v>100</c:v>
                </c:pt>
                <c:pt idx="77">
                  <c:v>100</c:v>
                </c:pt>
                <c:pt idx="78">
                  <c:v>100</c:v>
                </c:pt>
                <c:pt idx="79">
                  <c:v>100</c:v>
                </c:pt>
                <c:pt idx="80">
                  <c:v>100</c:v>
                </c:pt>
                <c:pt idx="81">
                  <c:v>100</c:v>
                </c:pt>
                <c:pt idx="82">
                  <c:v>100</c:v>
                </c:pt>
                <c:pt idx="83">
                  <c:v>100</c:v>
                </c:pt>
                <c:pt idx="84">
                  <c:v>100</c:v>
                </c:pt>
                <c:pt idx="85">
                  <c:v>100</c:v>
                </c:pt>
                <c:pt idx="86">
                  <c:v>100</c:v>
                </c:pt>
                <c:pt idx="87">
                  <c:v>100</c:v>
                </c:pt>
                <c:pt idx="88">
                  <c:v>100</c:v>
                </c:pt>
                <c:pt idx="89">
                  <c:v>100</c:v>
                </c:pt>
                <c:pt idx="90">
                  <c:v>100</c:v>
                </c:pt>
                <c:pt idx="91">
                  <c:v>100</c:v>
                </c:pt>
                <c:pt idx="92">
                  <c:v>100</c:v>
                </c:pt>
                <c:pt idx="93">
                  <c:v>100</c:v>
                </c:pt>
                <c:pt idx="94">
                  <c:v>100</c:v>
                </c:pt>
                <c:pt idx="95">
                  <c:v>100</c:v>
                </c:pt>
                <c:pt idx="96">
                  <c:v>100</c:v>
                </c:pt>
                <c:pt idx="97">
                  <c:v>100</c:v>
                </c:pt>
                <c:pt idx="98">
                  <c:v>100</c:v>
                </c:pt>
                <c:pt idx="99">
                  <c:v>100</c:v>
                </c:pt>
                <c:pt idx="100">
                  <c:v>100</c:v>
                </c:pt>
                <c:pt idx="101">
                  <c:v>100</c:v>
                </c:pt>
                <c:pt idx="102">
                  <c:v>100</c:v>
                </c:pt>
                <c:pt idx="103">
                  <c:v>100</c:v>
                </c:pt>
              </c:numCache>
            </c:numRef>
          </c:val>
          <c:smooth val="0"/>
          <c:extLst>
            <c:ext xmlns:c16="http://schemas.microsoft.com/office/drawing/2014/chart" uri="{C3380CC4-5D6E-409C-BE32-E72D297353CC}">
              <c16:uniqueId val="{0000000C-CE9D-4808-A10F-1676290DFB57}"/>
            </c:ext>
          </c:extLst>
        </c:ser>
        <c:ser>
          <c:idx val="5"/>
          <c:order val="5"/>
          <c:tx>
            <c:strRef>
              <c:f>Commodities!$AO$6</c:f>
              <c:strCache>
                <c:ptCount val="1"/>
                <c:pt idx="0">
                  <c:v>Series 4</c:v>
                </c:pt>
              </c:strCache>
            </c:strRef>
          </c:tx>
          <c:spPr>
            <a:ln w="28575" cap="rnd">
              <a:noFill/>
              <a:round/>
            </a:ln>
            <a:effectLst/>
          </c:spPr>
          <c:marker>
            <c:symbol val="square"/>
            <c:size val="3"/>
            <c:spPr>
              <a:solidFill>
                <a:schemeClr val="bg1"/>
              </a:solidFill>
              <a:ln w="9525">
                <a:noFill/>
              </a:ln>
              <a:effectLst/>
            </c:spPr>
          </c:marker>
          <c:dLbls>
            <c:dLbl>
              <c:idx val="0"/>
              <c:layout>
                <c:manualLayout>
                  <c:x val="-2.777777777777779E-2"/>
                  <c:y val="2.5425425425425426E-2"/>
                </c:manualLayout>
              </c:layout>
              <c:numFmt formatCode="General" sourceLinked="0"/>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Arial" panose="020B0604020202020204" pitchFamily="34" charset="0"/>
                    </a:defRPr>
                  </a:pPr>
                  <a:endParaRPr lang="sr-Latn-RS"/>
                </a:p>
              </c:txPr>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E9D-4808-A10F-1676290DFB57}"/>
                </c:ext>
              </c:extLst>
            </c:dLbl>
            <c:dLbl>
              <c:idx val="12"/>
              <c:layout>
                <c:manualLayout>
                  <c:x val="-2.3148148148148168E-2"/>
                  <c:y val="2.542542542542542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E9D-4808-A10F-1676290DFB57}"/>
                </c:ext>
              </c:extLst>
            </c:dLbl>
            <c:dLbl>
              <c:idx val="24"/>
              <c:layout>
                <c:manualLayout>
                  <c:x val="-2.3148148148148147E-2"/>
                  <c:y val="2.542542542542542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E9D-4808-A10F-1676290DFB57}"/>
                </c:ext>
              </c:extLst>
            </c:dLbl>
            <c:dLbl>
              <c:idx val="36"/>
              <c:layout>
                <c:manualLayout>
                  <c:x val="-2.3148148148148192E-2"/>
                  <c:y val="2.542542542542542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E9D-4808-A10F-1676290DFB57}"/>
                </c:ext>
              </c:extLst>
            </c:dLbl>
            <c:dLbl>
              <c:idx val="48"/>
              <c:layout>
                <c:manualLayout>
                  <c:x val="-2.7777777777777776E-2"/>
                  <c:y val="2.542542542542542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3-CE9D-4808-A10F-1676290DFB57}"/>
                </c:ext>
              </c:extLst>
            </c:dLbl>
            <c:dLbl>
              <c:idx val="60"/>
              <c:layout>
                <c:manualLayout>
                  <c:x val="-2.7777777777777776E-2"/>
                  <c:y val="2.542542542542542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4-CE9D-4808-A10F-1676290DFB57}"/>
                </c:ext>
              </c:extLst>
            </c:dLbl>
            <c:dLbl>
              <c:idx val="72"/>
              <c:layout>
                <c:manualLayout>
                  <c:x val="-2.7777777777777776E-2"/>
                  <c:y val="2.542542542542542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5-CE9D-4808-A10F-1676290DFB57}"/>
                </c:ext>
              </c:extLst>
            </c:dLbl>
            <c:dLbl>
              <c:idx val="84"/>
              <c:layout>
                <c:manualLayout>
                  <c:x val="-2.7777777777777776E-2"/>
                  <c:y val="2.542542542542542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6-CE9D-4808-A10F-1676290DFB57}"/>
                </c:ext>
              </c:extLst>
            </c:dLbl>
            <c:dLbl>
              <c:idx val="96"/>
              <c:layout>
                <c:manualLayout>
                  <c:x val="-3.2439778556502902E-2"/>
                  <c:y val="2.542542542542542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7-CE9D-4808-A10F-1676290DFB57}"/>
                </c:ext>
              </c:extLst>
            </c:dLbl>
            <c:dLbl>
              <c:idx val="100"/>
              <c:layout>
                <c:manualLayout>
                  <c:x val="-4.6110436057299649E-3"/>
                  <c:y val="2.542542542542542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8-CE9D-4808-A10F-1676290DFB57}"/>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Arial" panose="020B0604020202020204" pitchFamily="34" charset="0"/>
                  </a:defRPr>
                </a:pPr>
                <a:endParaRPr lang="sr-Latn-RS"/>
              </a:p>
            </c:txPr>
            <c:dLblPos val="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Commodities!$I$8:$I$111</c:f>
              <c:numCache>
                <c:formatCode>yyyy</c:formatCode>
                <c:ptCount val="104"/>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pt idx="93">
                  <c:v>44470</c:v>
                </c:pt>
                <c:pt idx="94">
                  <c:v>44501</c:v>
                </c:pt>
                <c:pt idx="95">
                  <c:v>44531</c:v>
                </c:pt>
                <c:pt idx="96" formatCode="yyyy&quot;*&quot;">
                  <c:v>44562</c:v>
                </c:pt>
                <c:pt idx="97" formatCode="yyyy&quot;*&quot;">
                  <c:v>44652</c:v>
                </c:pt>
                <c:pt idx="98" formatCode="yyyy&quot;*&quot;">
                  <c:v>44743</c:v>
                </c:pt>
                <c:pt idx="99" formatCode="yyyy&quot;*&quot;">
                  <c:v>44835</c:v>
                </c:pt>
                <c:pt idx="100" formatCode="yyyy&quot;*&quot;">
                  <c:v>44927</c:v>
                </c:pt>
                <c:pt idx="101" formatCode="yyyy&quot;*&quot;">
                  <c:v>45017</c:v>
                </c:pt>
                <c:pt idx="102" formatCode="yyyy&quot;*&quot;">
                  <c:v>45108</c:v>
                </c:pt>
                <c:pt idx="103" formatCode="yyyy&quot;*&quot;">
                  <c:v>45200</c:v>
                </c:pt>
              </c:numCache>
            </c:numRef>
          </c:cat>
          <c:val>
            <c:numRef>
              <c:f>Commodities!$AO$8:$AO$111</c:f>
              <c:numCache>
                <c:formatCode>General</c:formatCode>
                <c:ptCount val="104"/>
                <c:pt idx="0">
                  <c:v>20</c:v>
                </c:pt>
                <c:pt idx="12">
                  <c:v>20</c:v>
                </c:pt>
                <c:pt idx="24">
                  <c:v>20</c:v>
                </c:pt>
                <c:pt idx="36">
                  <c:v>20</c:v>
                </c:pt>
                <c:pt idx="48">
                  <c:v>20</c:v>
                </c:pt>
                <c:pt idx="60">
                  <c:v>20</c:v>
                </c:pt>
                <c:pt idx="72">
                  <c:v>20</c:v>
                </c:pt>
                <c:pt idx="84">
                  <c:v>20</c:v>
                </c:pt>
                <c:pt idx="96">
                  <c:v>20</c:v>
                </c:pt>
                <c:pt idx="100">
                  <c:v>20</c:v>
                </c:pt>
              </c:numCache>
            </c:numRef>
          </c:val>
          <c:smooth val="0"/>
          <c:extLst>
            <c:ext xmlns:c16="http://schemas.microsoft.com/office/drawing/2014/chart" uri="{C3380CC4-5D6E-409C-BE32-E72D297353CC}">
              <c16:uniqueId val="{0000000D-CE9D-4808-A10F-1676290DFB57}"/>
            </c:ext>
          </c:extLst>
        </c:ser>
        <c:dLbls>
          <c:showLegendKey val="0"/>
          <c:showVal val="0"/>
          <c:showCatName val="0"/>
          <c:showSerName val="0"/>
          <c:showPercent val="0"/>
          <c:showBubbleSize val="0"/>
        </c:dLbls>
        <c:smooth val="0"/>
        <c:axId val="-1926796448"/>
        <c:axId val="-1926782848"/>
      </c:lineChart>
      <c:dateAx>
        <c:axId val="-1926796448"/>
        <c:scaling>
          <c:orientation val="minMax"/>
        </c:scaling>
        <c:delete val="0"/>
        <c:axPos val="b"/>
        <c:numFmt formatCode="yyyy" sourceLinked="0"/>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926782848"/>
        <c:crosses val="autoZero"/>
        <c:auto val="1"/>
        <c:lblOffset val="100"/>
        <c:baseTimeUnit val="months"/>
        <c:majorUnit val="12"/>
        <c:minorUnit val="1"/>
      </c:dateAx>
      <c:valAx>
        <c:axId val="-1926782848"/>
        <c:scaling>
          <c:orientation val="minMax"/>
          <c:max val="400"/>
          <c:min val="2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926796448"/>
        <c:crosses val="autoZero"/>
        <c:crossBetween val="between"/>
        <c:majorUnit val="40"/>
      </c:valAx>
      <c:spPr>
        <a:noFill/>
        <a:ln>
          <a:noFill/>
        </a:ln>
        <a:effectLst/>
      </c:spPr>
    </c:plotArea>
    <c:legend>
      <c:legendPos val="b"/>
      <c:legendEntry>
        <c:idx val="4"/>
        <c:delete val="1"/>
      </c:legendEntry>
      <c:legendEntry>
        <c:idx val="5"/>
        <c:delete val="1"/>
      </c:legendEntry>
      <c:layout>
        <c:manualLayout>
          <c:xMode val="edge"/>
          <c:yMode val="edge"/>
          <c:x val="1.6896325459317583E-3"/>
          <c:y val="0.88795695695695698"/>
          <c:w val="0.9983103674540682"/>
          <c:h val="0.1056866866866867"/>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legend>
    <c:plotVisOnly val="1"/>
    <c:dispBlanksAs val="gap"/>
    <c:showDLblsOverMax val="0"/>
  </c:chart>
  <c:spPr>
    <a:noFill/>
    <a:ln w="9525" cap="flat" cmpd="sng" algn="ctr">
      <a:noFill/>
      <a:round/>
    </a:ln>
    <a:effectLst/>
  </c:spPr>
  <c:txPr>
    <a:bodyPr/>
    <a:lstStyle/>
    <a:p>
      <a:pPr>
        <a:defRPr sz="750">
          <a:solidFill>
            <a:schemeClr val="tx2"/>
          </a:solidFill>
          <a:latin typeface="+mn-lt"/>
          <a:cs typeface="Arial" panose="020B0604020202020204" pitchFamily="34" charset="0"/>
        </a:defRPr>
      </a:pPr>
      <a:endParaRPr lang="sr-Latn-RS"/>
    </a:p>
  </c:txPr>
  <c:externalData r:id="rId3">
    <c:autoUpdate val="0"/>
  </c:externalData>
  <c:userShapes r:id="rId4"/>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graf'!$Q$7</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8.1049743714370251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88C-448C-9737-34716ED520CA}"/>
                </c:ext>
              </c:extLst>
            </c:dLbl>
            <c:dLbl>
              <c:idx val="12"/>
              <c:layout>
                <c:manualLayout>
                  <c:x val="8.0982295552975841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88C-448C-9737-34716ED520CA}"/>
                </c:ext>
              </c:extLst>
            </c:dLbl>
            <c:dLbl>
              <c:idx val="24"/>
              <c:layout>
                <c:manualLayout>
                  <c:x val="8.4213201552142125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88C-448C-9737-34716ED520CA}"/>
                </c:ext>
              </c:extLst>
            </c:dLbl>
            <c:dLbl>
              <c:idx val="36"/>
              <c:layout>
                <c:manualLayout>
                  <c:x val="-3.0250000000001617E-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88C-448C-9737-34716ED520CA}"/>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graf'!$Q$32:$Q$70</c:f>
              <c:numCache>
                <c:formatCode>General</c:formatCode>
                <c:ptCount val="39"/>
                <c:pt idx="0">
                  <c:v>0</c:v>
                </c:pt>
                <c:pt idx="12">
                  <c:v>0</c:v>
                </c:pt>
                <c:pt idx="24">
                  <c:v>0</c:v>
                </c:pt>
                <c:pt idx="36">
                  <c:v>0</c:v>
                </c:pt>
              </c:numCache>
            </c:numRef>
          </c:val>
          <c:smooth val="0"/>
          <c:extLst>
            <c:ext xmlns:c16="http://schemas.microsoft.com/office/drawing/2014/chart" uri="{C3380CC4-5D6E-409C-BE32-E72D297353CC}">
              <c16:uniqueId val="{00000004-088C-448C-9737-34716ED520CA}"/>
            </c:ext>
          </c:extLst>
        </c:ser>
        <c:ser>
          <c:idx val="4"/>
          <c:order val="1"/>
          <c:tx>
            <c:strRef>
              <c:f>'Prerađivačka_6 graf'!$R$7</c:f>
              <c:strCache>
                <c:ptCount val="1"/>
                <c:pt idx="0">
                  <c:v>Series5</c:v>
                </c:pt>
              </c:strCache>
            </c:strRef>
          </c:tx>
          <c:spPr>
            <a:ln w="25400" cap="rnd">
              <a:noFill/>
              <a:round/>
            </a:ln>
            <a:effectLst/>
          </c:spPr>
          <c:marker>
            <c:symbol val="none"/>
          </c:marker>
          <c:dLbls>
            <c:dLbl>
              <c:idx val="0"/>
              <c:tx>
                <c:rich>
                  <a:bodyPr/>
                  <a:lstStyle/>
                  <a:p>
                    <a:fld id="{D33E5D49-D853-4A72-B742-7AF44CBE787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088C-448C-9737-34716ED520CA}"/>
                </c:ext>
              </c:extLst>
            </c:dLbl>
            <c:dLbl>
              <c:idx val="1"/>
              <c:tx>
                <c:rich>
                  <a:bodyPr/>
                  <a:lstStyle/>
                  <a:p>
                    <a:fld id="{0E7ECBE4-9760-434A-A5AB-6E83399475D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088C-448C-9737-34716ED520CA}"/>
                </c:ext>
              </c:extLst>
            </c:dLbl>
            <c:dLbl>
              <c:idx val="2"/>
              <c:tx>
                <c:rich>
                  <a:bodyPr/>
                  <a:lstStyle/>
                  <a:p>
                    <a:fld id="{22F02335-B236-4D9B-8B94-0EB337511CF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088C-448C-9737-34716ED520CA}"/>
                </c:ext>
              </c:extLst>
            </c:dLbl>
            <c:dLbl>
              <c:idx val="3"/>
              <c:tx>
                <c:rich>
                  <a:bodyPr/>
                  <a:lstStyle/>
                  <a:p>
                    <a:fld id="{A4220797-0DF7-4E88-B610-7A9E447CFF2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088C-448C-9737-34716ED520CA}"/>
                </c:ext>
              </c:extLst>
            </c:dLbl>
            <c:dLbl>
              <c:idx val="4"/>
              <c:tx>
                <c:rich>
                  <a:bodyPr/>
                  <a:lstStyle/>
                  <a:p>
                    <a:fld id="{146B655E-BE75-4565-881E-4B6EC78B053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088C-448C-9737-34716ED520CA}"/>
                </c:ext>
              </c:extLst>
            </c:dLbl>
            <c:dLbl>
              <c:idx val="5"/>
              <c:tx>
                <c:rich>
                  <a:bodyPr/>
                  <a:lstStyle/>
                  <a:p>
                    <a:fld id="{7D00107F-4A58-43E8-8B13-33A10819FCC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088C-448C-9737-34716ED520CA}"/>
                </c:ext>
              </c:extLst>
            </c:dLbl>
            <c:dLbl>
              <c:idx val="6"/>
              <c:tx>
                <c:rich>
                  <a:bodyPr/>
                  <a:lstStyle/>
                  <a:p>
                    <a:fld id="{DFEA9344-BF70-4265-828C-B993DDEF03E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088C-448C-9737-34716ED520CA}"/>
                </c:ext>
              </c:extLst>
            </c:dLbl>
            <c:dLbl>
              <c:idx val="7"/>
              <c:tx>
                <c:rich>
                  <a:bodyPr/>
                  <a:lstStyle/>
                  <a:p>
                    <a:fld id="{DA3F3B0F-FCDB-41FA-81EF-9311AD26A88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088C-448C-9737-34716ED520CA}"/>
                </c:ext>
              </c:extLst>
            </c:dLbl>
            <c:dLbl>
              <c:idx val="8"/>
              <c:tx>
                <c:rich>
                  <a:bodyPr/>
                  <a:lstStyle/>
                  <a:p>
                    <a:fld id="{44F767C8-8DE6-4DEB-9C7E-B86672F6A8D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088C-448C-9737-34716ED520CA}"/>
                </c:ext>
              </c:extLst>
            </c:dLbl>
            <c:dLbl>
              <c:idx val="9"/>
              <c:tx>
                <c:rich>
                  <a:bodyPr/>
                  <a:lstStyle/>
                  <a:p>
                    <a:fld id="{7D4E8652-8E4B-4D5F-831C-2038A38158B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088C-448C-9737-34716ED520CA}"/>
                </c:ext>
              </c:extLst>
            </c:dLbl>
            <c:dLbl>
              <c:idx val="10"/>
              <c:tx>
                <c:rich>
                  <a:bodyPr/>
                  <a:lstStyle/>
                  <a:p>
                    <a:fld id="{B1DE3337-5480-4734-9733-0A83B44450F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088C-448C-9737-34716ED520CA}"/>
                </c:ext>
              </c:extLst>
            </c:dLbl>
            <c:dLbl>
              <c:idx val="11"/>
              <c:tx>
                <c:rich>
                  <a:bodyPr/>
                  <a:lstStyle/>
                  <a:p>
                    <a:fld id="{D6A6A2CE-8481-47E5-AA02-63B7DFF1A8F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088C-448C-9737-34716ED520CA}"/>
                </c:ext>
              </c:extLst>
            </c:dLbl>
            <c:dLbl>
              <c:idx val="12"/>
              <c:tx>
                <c:rich>
                  <a:bodyPr/>
                  <a:lstStyle/>
                  <a:p>
                    <a:fld id="{76D55CBD-97B7-4981-89E1-9BE72229131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088C-448C-9737-34716ED520CA}"/>
                </c:ext>
              </c:extLst>
            </c:dLbl>
            <c:dLbl>
              <c:idx val="13"/>
              <c:tx>
                <c:rich>
                  <a:bodyPr/>
                  <a:lstStyle/>
                  <a:p>
                    <a:fld id="{A83B87A7-4853-4868-A99E-78D89DEB20D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088C-448C-9737-34716ED520CA}"/>
                </c:ext>
              </c:extLst>
            </c:dLbl>
            <c:dLbl>
              <c:idx val="14"/>
              <c:tx>
                <c:rich>
                  <a:bodyPr/>
                  <a:lstStyle/>
                  <a:p>
                    <a:fld id="{E0F0B6EB-6482-4DA6-B714-92A67ABF39D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088C-448C-9737-34716ED520CA}"/>
                </c:ext>
              </c:extLst>
            </c:dLbl>
            <c:dLbl>
              <c:idx val="15"/>
              <c:tx>
                <c:rich>
                  <a:bodyPr/>
                  <a:lstStyle/>
                  <a:p>
                    <a:fld id="{A42688A1-7E02-4072-8A0B-220D23F83F7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088C-448C-9737-34716ED520CA}"/>
                </c:ext>
              </c:extLst>
            </c:dLbl>
            <c:dLbl>
              <c:idx val="16"/>
              <c:tx>
                <c:rich>
                  <a:bodyPr/>
                  <a:lstStyle/>
                  <a:p>
                    <a:fld id="{CBF91B75-1747-4B42-917F-58DFEB1A092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088C-448C-9737-34716ED520CA}"/>
                </c:ext>
              </c:extLst>
            </c:dLbl>
            <c:dLbl>
              <c:idx val="17"/>
              <c:tx>
                <c:rich>
                  <a:bodyPr/>
                  <a:lstStyle/>
                  <a:p>
                    <a:fld id="{E2815BAD-E763-4B18-9286-8B9D7740444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088C-448C-9737-34716ED520CA}"/>
                </c:ext>
              </c:extLst>
            </c:dLbl>
            <c:dLbl>
              <c:idx val="18"/>
              <c:tx>
                <c:rich>
                  <a:bodyPr/>
                  <a:lstStyle/>
                  <a:p>
                    <a:fld id="{E70550DD-35A0-4522-AFD6-CE518FC32A9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088C-448C-9737-34716ED520CA}"/>
                </c:ext>
              </c:extLst>
            </c:dLbl>
            <c:dLbl>
              <c:idx val="19"/>
              <c:tx>
                <c:rich>
                  <a:bodyPr/>
                  <a:lstStyle/>
                  <a:p>
                    <a:fld id="{43D05F48-0E0A-42E5-8844-959BC30569D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088C-448C-9737-34716ED520CA}"/>
                </c:ext>
              </c:extLst>
            </c:dLbl>
            <c:dLbl>
              <c:idx val="20"/>
              <c:tx>
                <c:rich>
                  <a:bodyPr/>
                  <a:lstStyle/>
                  <a:p>
                    <a:fld id="{6083AB9B-5664-4B17-9D70-756FE45BB38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088C-448C-9737-34716ED520CA}"/>
                </c:ext>
              </c:extLst>
            </c:dLbl>
            <c:dLbl>
              <c:idx val="21"/>
              <c:tx>
                <c:rich>
                  <a:bodyPr/>
                  <a:lstStyle/>
                  <a:p>
                    <a:fld id="{A4173A4A-44E8-4D75-9623-6E2766A40A4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088C-448C-9737-34716ED520CA}"/>
                </c:ext>
              </c:extLst>
            </c:dLbl>
            <c:dLbl>
              <c:idx val="22"/>
              <c:tx>
                <c:rich>
                  <a:bodyPr/>
                  <a:lstStyle/>
                  <a:p>
                    <a:fld id="{812C383F-9C3C-4782-8E97-180385D169D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088C-448C-9737-34716ED520CA}"/>
                </c:ext>
              </c:extLst>
            </c:dLbl>
            <c:dLbl>
              <c:idx val="23"/>
              <c:tx>
                <c:rich>
                  <a:bodyPr/>
                  <a:lstStyle/>
                  <a:p>
                    <a:fld id="{10BA9972-979E-4463-95EC-389028509F8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088C-448C-9737-34716ED520CA}"/>
                </c:ext>
              </c:extLst>
            </c:dLbl>
            <c:dLbl>
              <c:idx val="24"/>
              <c:tx>
                <c:rich>
                  <a:bodyPr/>
                  <a:lstStyle/>
                  <a:p>
                    <a:fld id="{8A797B49-818D-48A4-BAD8-56EC0D37BDA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088C-448C-9737-34716ED520CA}"/>
                </c:ext>
              </c:extLst>
            </c:dLbl>
            <c:dLbl>
              <c:idx val="25"/>
              <c:tx>
                <c:rich>
                  <a:bodyPr/>
                  <a:lstStyle/>
                  <a:p>
                    <a:fld id="{D81E3481-2111-4A79-BA9E-B29F885C6F5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088C-448C-9737-34716ED520CA}"/>
                </c:ext>
              </c:extLst>
            </c:dLbl>
            <c:dLbl>
              <c:idx val="26"/>
              <c:tx>
                <c:rich>
                  <a:bodyPr/>
                  <a:lstStyle/>
                  <a:p>
                    <a:fld id="{6A0789B9-9639-49B2-973E-1110DCC7DC7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088C-448C-9737-34716ED520CA}"/>
                </c:ext>
              </c:extLst>
            </c:dLbl>
            <c:dLbl>
              <c:idx val="27"/>
              <c:tx>
                <c:rich>
                  <a:bodyPr/>
                  <a:lstStyle/>
                  <a:p>
                    <a:fld id="{B71302FE-C0FA-43CD-A9D2-4E96FFBA2C4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088C-448C-9737-34716ED520CA}"/>
                </c:ext>
              </c:extLst>
            </c:dLbl>
            <c:dLbl>
              <c:idx val="28"/>
              <c:tx>
                <c:rich>
                  <a:bodyPr/>
                  <a:lstStyle/>
                  <a:p>
                    <a:fld id="{17C3F6E5-9603-44CB-826C-30516B87CFF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088C-448C-9737-34716ED520CA}"/>
                </c:ext>
              </c:extLst>
            </c:dLbl>
            <c:dLbl>
              <c:idx val="29"/>
              <c:tx>
                <c:rich>
                  <a:bodyPr/>
                  <a:lstStyle/>
                  <a:p>
                    <a:fld id="{7C72EF9F-FCD9-43F9-BE71-7B851D34744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088C-448C-9737-34716ED520CA}"/>
                </c:ext>
              </c:extLst>
            </c:dLbl>
            <c:dLbl>
              <c:idx val="30"/>
              <c:tx>
                <c:rich>
                  <a:bodyPr/>
                  <a:lstStyle/>
                  <a:p>
                    <a:fld id="{326BBEC0-40C5-4873-A5E6-2EBA58F7948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088C-448C-9737-34716ED520CA}"/>
                </c:ext>
              </c:extLst>
            </c:dLbl>
            <c:dLbl>
              <c:idx val="31"/>
              <c:tx>
                <c:rich>
                  <a:bodyPr/>
                  <a:lstStyle/>
                  <a:p>
                    <a:fld id="{91EFE761-FCD2-4AA0-9356-BF3119CEB77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4-088C-448C-9737-34716ED520CA}"/>
                </c:ext>
              </c:extLst>
            </c:dLbl>
            <c:dLbl>
              <c:idx val="32"/>
              <c:tx>
                <c:rich>
                  <a:bodyPr/>
                  <a:lstStyle/>
                  <a:p>
                    <a:fld id="{BE184C47-4B76-401B-AF3E-25A187AE865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088C-448C-9737-34716ED520CA}"/>
                </c:ext>
              </c:extLst>
            </c:dLbl>
            <c:dLbl>
              <c:idx val="33"/>
              <c:tx>
                <c:rich>
                  <a:bodyPr/>
                  <a:lstStyle/>
                  <a:p>
                    <a:fld id="{600A9B0E-A1C3-4CBA-A92A-3C970238D00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088C-448C-9737-34716ED520CA}"/>
                </c:ext>
              </c:extLst>
            </c:dLbl>
            <c:dLbl>
              <c:idx val="34"/>
              <c:tx>
                <c:rich>
                  <a:bodyPr/>
                  <a:lstStyle/>
                  <a:p>
                    <a:fld id="{B550D892-840A-4F47-A5AE-A67B5A5A330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7-088C-448C-9737-34716ED520CA}"/>
                </c:ext>
              </c:extLst>
            </c:dLbl>
            <c:dLbl>
              <c:idx val="35"/>
              <c:tx>
                <c:rich>
                  <a:bodyPr/>
                  <a:lstStyle/>
                  <a:p>
                    <a:fld id="{9D6A8447-B1B7-4537-A36B-E937E6A08AC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088C-448C-9737-34716ED520CA}"/>
                </c:ext>
              </c:extLst>
            </c:dLbl>
            <c:dLbl>
              <c:idx val="36"/>
              <c:tx>
                <c:rich>
                  <a:bodyPr/>
                  <a:lstStyle/>
                  <a:p>
                    <a:fld id="{D6A69E40-9811-45AD-99F3-1B7A46FBB82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088C-448C-9737-34716ED520CA}"/>
                </c:ext>
              </c:extLst>
            </c:dLbl>
            <c:dLbl>
              <c:idx val="37"/>
              <c:tx>
                <c:rich>
                  <a:bodyPr/>
                  <a:lstStyle/>
                  <a:p>
                    <a:fld id="{24FD8E38-A5E1-4EFC-88F0-CD6FF33E0D1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A-088C-448C-9737-34716ED520CA}"/>
                </c:ext>
              </c:extLst>
            </c:dLbl>
            <c:dLbl>
              <c:idx val="38"/>
              <c:tx>
                <c:rich>
                  <a:bodyPr/>
                  <a:lstStyle/>
                  <a:p>
                    <a:fld id="{AFA84C7E-F8C9-4550-86C2-433A4372B47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088C-448C-9737-34716ED520CA}"/>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graf'!$R$32:$R$70</c:f>
              <c:numCache>
                <c:formatCode>General</c:formatCode>
                <c:ptCount val="39"/>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numCache>
            </c:numRef>
          </c:val>
          <c:smooth val="0"/>
          <c:extLst>
            <c:ext xmlns:c15="http://schemas.microsoft.com/office/drawing/2012/chart" uri="{02D57815-91ED-43cb-92C2-25804820EDAC}">
              <c15:datalabelsRange>
                <c15:f>'Prerađivačka_6 graf'!$E$32:$E$70</c15:f>
                <c15:dlblRangeCache>
                  <c:ptCount val="3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15:dlblRangeCache>
              </c15:datalabelsRange>
            </c:ext>
            <c:ext xmlns:c16="http://schemas.microsoft.com/office/drawing/2014/chart" uri="{C3380CC4-5D6E-409C-BE32-E72D297353CC}">
              <c16:uniqueId val="{0000002C-088C-448C-9737-34716ED520CA}"/>
            </c:ext>
          </c:extLst>
        </c:ser>
        <c:ser>
          <c:idx val="0"/>
          <c:order val="2"/>
          <c:tx>
            <c:strRef>
              <c:f>'Prerađivačka_6 graf'!$S$7</c:f>
              <c:strCache>
                <c:ptCount val="1"/>
                <c:pt idx="0">
                  <c:v>y</c:v>
                </c:pt>
              </c:strCache>
            </c:strRef>
          </c:tx>
          <c:spPr>
            <a:ln w="12700" cap="rnd">
              <a:solidFill>
                <a:srgbClr val="92278F"/>
              </a:solidFill>
              <a:prstDash val="sysDash"/>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graf'!$S$32:$S$70</c:f>
              <c:numCache>
                <c:formatCode>0.0</c:formatCode>
                <c:ptCount val="39"/>
                <c:pt idx="0">
                  <c:v>92.066259807999998</c:v>
                </c:pt>
                <c:pt idx="1">
                  <c:v>83.455167325999994</c:v>
                </c:pt>
                <c:pt idx="2">
                  <c:v>8.9330024810000008</c:v>
                </c:pt>
                <c:pt idx="3">
                  <c:v>30.903359936000001</c:v>
                </c:pt>
                <c:pt idx="4">
                  <c:v>85.708537320999994</c:v>
                </c:pt>
                <c:pt idx="5">
                  <c:v>67.359667360000003</c:v>
                </c:pt>
                <c:pt idx="6">
                  <c:v>111.54181476799999</c:v>
                </c:pt>
                <c:pt idx="7">
                  <c:v>107.356984776</c:v>
                </c:pt>
                <c:pt idx="8">
                  <c:v>111.54181476799999</c:v>
                </c:pt>
                <c:pt idx="9">
                  <c:v>107.92032727500001</c:v>
                </c:pt>
                <c:pt idx="10">
                  <c:v>108.00080477500001</c:v>
                </c:pt>
                <c:pt idx="11">
                  <c:v>97.377774797000001</c:v>
                </c:pt>
                <c:pt idx="12">
                  <c:v>88.847159814999998</c:v>
                </c:pt>
                <c:pt idx="13">
                  <c:v>82.328482328000007</c:v>
                </c:pt>
                <c:pt idx="14">
                  <c:v>91.985782307999997</c:v>
                </c:pt>
                <c:pt idx="15">
                  <c:v>57.943799878999997</c:v>
                </c:pt>
                <c:pt idx="16">
                  <c:v>73.717389846000003</c:v>
                </c:pt>
                <c:pt idx="17">
                  <c:v>97.136342298000002</c:v>
                </c:pt>
                <c:pt idx="18">
                  <c:v>99.550667293000004</c:v>
                </c:pt>
                <c:pt idx="19">
                  <c:v>93.353899806000001</c:v>
                </c:pt>
                <c:pt idx="20">
                  <c:v>102.93072228600001</c:v>
                </c:pt>
                <c:pt idx="21">
                  <c:v>103.89645228400001</c:v>
                </c:pt>
                <c:pt idx="22">
                  <c:v>92.951512305999998</c:v>
                </c:pt>
                <c:pt idx="23">
                  <c:v>100.274964791</c:v>
                </c:pt>
                <c:pt idx="24">
                  <c:v>101.891252955</c:v>
                </c:pt>
                <c:pt idx="25">
                  <c:v>102.69360269400001</c:v>
                </c:pt>
                <c:pt idx="26">
                  <c:v>37.199341021000002</c:v>
                </c:pt>
                <c:pt idx="27">
                  <c:v>100.114009791</c:v>
                </c:pt>
                <c:pt idx="28">
                  <c:v>85.064717322999996</c:v>
                </c:pt>
                <c:pt idx="29">
                  <c:v>104.057407283</c:v>
                </c:pt>
                <c:pt idx="30">
                  <c:v>112.58802226500001</c:v>
                </c:pt>
                <c:pt idx="31">
                  <c:v>115.08282475999999</c:v>
                </c:pt>
                <c:pt idx="32">
                  <c:v>110.01274227099999</c:v>
                </c:pt>
                <c:pt idx="33">
                  <c:v>114.59995976099999</c:v>
                </c:pt>
                <c:pt idx="34">
                  <c:v>111.21990476800001</c:v>
                </c:pt>
                <c:pt idx="35">
                  <c:v>105.50600228</c:v>
                </c:pt>
                <c:pt idx="36">
                  <c:v>86.2</c:v>
                </c:pt>
                <c:pt idx="37">
                  <c:v>91.5</c:v>
                </c:pt>
                <c:pt idx="38">
                  <c:v>112.9</c:v>
                </c:pt>
              </c:numCache>
            </c:numRef>
          </c:val>
          <c:smooth val="0"/>
          <c:extLst>
            <c:ext xmlns:c16="http://schemas.microsoft.com/office/drawing/2014/chart" uri="{C3380CC4-5D6E-409C-BE32-E72D297353CC}">
              <c16:uniqueId val="{0000002D-088C-448C-9737-34716ED520CA}"/>
            </c:ext>
          </c:extLst>
        </c:ser>
        <c:ser>
          <c:idx val="1"/>
          <c:order val="3"/>
          <c:tx>
            <c:strRef>
              <c:f>'Prerađivačka_6 graf'!$T$7</c:f>
              <c:strCache>
                <c:ptCount val="1"/>
                <c:pt idx="0">
                  <c:v>sa</c:v>
                </c:pt>
              </c:strCache>
            </c:strRef>
          </c:tx>
          <c:spPr>
            <a:ln w="22225" cap="rnd">
              <a:solidFill>
                <a:srgbClr val="25AAE1"/>
              </a:solidFill>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graf'!$T$32:$T$70</c:f>
              <c:numCache>
                <c:formatCode>0.0</c:formatCode>
                <c:ptCount val="39"/>
                <c:pt idx="0">
                  <c:v>100.001088561</c:v>
                </c:pt>
                <c:pt idx="1">
                  <c:v>100.811347113</c:v>
                </c:pt>
                <c:pt idx="2">
                  <c:v>9.5660845529999996</c:v>
                </c:pt>
                <c:pt idx="3">
                  <c:v>34.502596470999997</c:v>
                </c:pt>
                <c:pt idx="4">
                  <c:v>86.528140218999994</c:v>
                </c:pt>
                <c:pt idx="5">
                  <c:v>65.501502298000005</c:v>
                </c:pt>
                <c:pt idx="6">
                  <c:v>103.09456757</c:v>
                </c:pt>
                <c:pt idx="7">
                  <c:v>100.11479497800001</c:v>
                </c:pt>
                <c:pt idx="8">
                  <c:v>102.02507898499999</c:v>
                </c:pt>
                <c:pt idx="9">
                  <c:v>99.566021288000002</c:v>
                </c:pt>
                <c:pt idx="10">
                  <c:v>99.627506908000001</c:v>
                </c:pt>
                <c:pt idx="11">
                  <c:v>99.411907854000006</c:v>
                </c:pt>
                <c:pt idx="12">
                  <c:v>95.897962954999997</c:v>
                </c:pt>
                <c:pt idx="13">
                  <c:v>98.083177625999994</c:v>
                </c:pt>
                <c:pt idx="14">
                  <c:v>98.429563888999994</c:v>
                </c:pt>
                <c:pt idx="15">
                  <c:v>64.285194711000003</c:v>
                </c:pt>
                <c:pt idx="16">
                  <c:v>75.831690911999999</c:v>
                </c:pt>
                <c:pt idx="17">
                  <c:v>94.611192888999994</c:v>
                </c:pt>
                <c:pt idx="18">
                  <c:v>91.222969727000006</c:v>
                </c:pt>
                <c:pt idx="19">
                  <c:v>87.138126055000001</c:v>
                </c:pt>
                <c:pt idx="20">
                  <c:v>94.788753587000002</c:v>
                </c:pt>
                <c:pt idx="21">
                  <c:v>96.095118325000001</c:v>
                </c:pt>
                <c:pt idx="22">
                  <c:v>86.275571309</c:v>
                </c:pt>
                <c:pt idx="23">
                  <c:v>101.810349931</c:v>
                </c:pt>
                <c:pt idx="24">
                  <c:v>109.846229052</c:v>
                </c:pt>
                <c:pt idx="25">
                  <c:v>120.84178581</c:v>
                </c:pt>
                <c:pt idx="26">
                  <c:v>39.746325564999999</c:v>
                </c:pt>
                <c:pt idx="27">
                  <c:v>110.29323564400001</c:v>
                </c:pt>
                <c:pt idx="28">
                  <c:v>88.571979626000001</c:v>
                </c:pt>
                <c:pt idx="29">
                  <c:v>101.121096761</c:v>
                </c:pt>
                <c:pt idx="30">
                  <c:v>102.534280477</c:v>
                </c:pt>
                <c:pt idx="31">
                  <c:v>107.88114822599999</c:v>
                </c:pt>
                <c:pt idx="32">
                  <c:v>102.03632011400001</c:v>
                </c:pt>
                <c:pt idx="33">
                  <c:v>106.06705132899999</c:v>
                </c:pt>
                <c:pt idx="34">
                  <c:v>103.985440856</c:v>
                </c:pt>
                <c:pt idx="35">
                  <c:v>106.586457882</c:v>
                </c:pt>
                <c:pt idx="36">
                  <c:v>92.844579601000007</c:v>
                </c:pt>
                <c:pt idx="37">
                  <c:v>106.94490625</c:v>
                </c:pt>
                <c:pt idx="38">
                  <c:v>120.309691891</c:v>
                </c:pt>
              </c:numCache>
            </c:numRef>
          </c:val>
          <c:smooth val="0"/>
          <c:extLst>
            <c:ext xmlns:c16="http://schemas.microsoft.com/office/drawing/2014/chart" uri="{C3380CC4-5D6E-409C-BE32-E72D297353CC}">
              <c16:uniqueId val="{0000002E-088C-448C-9737-34716ED520CA}"/>
            </c:ext>
          </c:extLst>
        </c:ser>
        <c:ser>
          <c:idx val="2"/>
          <c:order val="4"/>
          <c:tx>
            <c:strRef>
              <c:f>'Prerađivačka_6 graf'!$U$7</c:f>
              <c:strCache>
                <c:ptCount val="1"/>
                <c:pt idx="0">
                  <c:v>t</c:v>
                </c:pt>
              </c:strCache>
            </c:strRef>
          </c:tx>
          <c:spPr>
            <a:ln w="25400" cap="rnd">
              <a:solidFill>
                <a:srgbClr val="FF0000"/>
              </a:solidFill>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graf'!$U$32:$U$70</c:f>
              <c:numCache>
                <c:formatCode>0.0</c:formatCode>
                <c:ptCount val="39"/>
                <c:pt idx="0">
                  <c:v>98.918190081999995</c:v>
                </c:pt>
                <c:pt idx="1">
                  <c:v>98.641853718999997</c:v>
                </c:pt>
                <c:pt idx="2">
                  <c:v>98.554776797000002</c:v>
                </c:pt>
                <c:pt idx="3">
                  <c:v>98.652922250000003</c:v>
                </c:pt>
                <c:pt idx="4">
                  <c:v>99.063558873000005</c:v>
                </c:pt>
                <c:pt idx="5">
                  <c:v>99.743254086999997</c:v>
                </c:pt>
                <c:pt idx="6">
                  <c:v>100.448896766</c:v>
                </c:pt>
                <c:pt idx="7">
                  <c:v>100.93965047499999</c:v>
                </c:pt>
                <c:pt idx="8">
                  <c:v>100.875925361</c:v>
                </c:pt>
                <c:pt idx="9">
                  <c:v>100.325119187</c:v>
                </c:pt>
                <c:pt idx="10">
                  <c:v>99.472328933</c:v>
                </c:pt>
                <c:pt idx="11">
                  <c:v>98.486968602999994</c:v>
                </c:pt>
                <c:pt idx="12">
                  <c:v>97.656890558000001</c:v>
                </c:pt>
                <c:pt idx="13">
                  <c:v>97.427948254</c:v>
                </c:pt>
                <c:pt idx="14">
                  <c:v>97.766602043000006</c:v>
                </c:pt>
                <c:pt idx="15">
                  <c:v>98.545607329000006</c:v>
                </c:pt>
                <c:pt idx="16">
                  <c:v>99.390678976999993</c:v>
                </c:pt>
                <c:pt idx="17">
                  <c:v>100.05814295099999</c:v>
                </c:pt>
                <c:pt idx="18">
                  <c:v>100.30529498600001</c:v>
                </c:pt>
                <c:pt idx="19">
                  <c:v>100.409675566</c:v>
                </c:pt>
                <c:pt idx="20">
                  <c:v>100.88055376600001</c:v>
                </c:pt>
                <c:pt idx="21">
                  <c:v>101.84837536800001</c:v>
                </c:pt>
                <c:pt idx="22">
                  <c:v>103.479362603</c:v>
                </c:pt>
                <c:pt idx="23">
                  <c:v>105.58497855500001</c:v>
                </c:pt>
                <c:pt idx="24">
                  <c:v>107.396717229</c:v>
                </c:pt>
                <c:pt idx="25">
                  <c:v>108.139553007</c:v>
                </c:pt>
                <c:pt idx="26">
                  <c:v>107.775710749</c:v>
                </c:pt>
                <c:pt idx="27">
                  <c:v>106.725456212</c:v>
                </c:pt>
                <c:pt idx="28">
                  <c:v>105.428894808</c:v>
                </c:pt>
                <c:pt idx="29">
                  <c:v>104.391997434</c:v>
                </c:pt>
                <c:pt idx="30">
                  <c:v>103.924145564</c:v>
                </c:pt>
                <c:pt idx="31">
                  <c:v>103.989274342</c:v>
                </c:pt>
                <c:pt idx="32">
                  <c:v>104.32066119</c:v>
                </c:pt>
                <c:pt idx="33">
                  <c:v>104.76018545399999</c:v>
                </c:pt>
                <c:pt idx="34">
                  <c:v>105.232201445</c:v>
                </c:pt>
                <c:pt idx="35">
                  <c:v>105.567848396</c:v>
                </c:pt>
                <c:pt idx="36">
                  <c:v>106.06456300399999</c:v>
                </c:pt>
                <c:pt idx="37">
                  <c:v>106.752994808</c:v>
                </c:pt>
                <c:pt idx="38">
                  <c:v>107.49085339</c:v>
                </c:pt>
              </c:numCache>
            </c:numRef>
          </c:val>
          <c:smooth val="0"/>
          <c:extLst>
            <c:ext xmlns:c16="http://schemas.microsoft.com/office/drawing/2014/chart" uri="{C3380CC4-5D6E-409C-BE32-E72D297353CC}">
              <c16:uniqueId val="{0000002F-088C-448C-9737-34716ED520CA}"/>
            </c:ext>
          </c:extLst>
        </c:ser>
        <c:dLbls>
          <c:showLegendKey val="0"/>
          <c:showVal val="0"/>
          <c:showCatName val="0"/>
          <c:showSerName val="0"/>
          <c:showPercent val="0"/>
          <c:showBubbleSize val="0"/>
        </c:dLbls>
        <c:marker val="1"/>
        <c:smooth val="0"/>
        <c:axId val="2092134960"/>
        <c:axId val="2092135504"/>
      </c:lineChart>
      <c:dateAx>
        <c:axId val="209213496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2092135504"/>
        <c:crosses val="autoZero"/>
        <c:auto val="1"/>
        <c:lblOffset val="0"/>
        <c:baseTimeUnit val="months"/>
        <c:majorUnit val="12"/>
        <c:majorTimeUnit val="months"/>
      </c:dateAx>
      <c:valAx>
        <c:axId val="2092135504"/>
        <c:scaling>
          <c:orientation val="minMax"/>
          <c:min val="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34960"/>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graf'!$V$7</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8.1069908628601528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C3C-45D4-8E79-86250E25EDB1}"/>
                </c:ext>
              </c:extLst>
            </c:dLbl>
            <c:dLbl>
              <c:idx val="12"/>
              <c:layout>
                <c:manualLayout>
                  <c:x val="8.5363992347067374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C3C-45D4-8E79-86250E25EDB1}"/>
                </c:ext>
              </c:extLst>
            </c:dLbl>
            <c:dLbl>
              <c:idx val="24"/>
              <c:layout>
                <c:manualLayout>
                  <c:x val="7.9678877217575605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C3C-45D4-8E79-86250E25EDB1}"/>
                </c:ext>
              </c:extLst>
            </c:dLbl>
            <c:dLbl>
              <c:idx val="36"/>
              <c:layout>
                <c:manualLayout>
                  <c:x val="-3.0250000000001617E-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C3C-45D4-8E79-86250E25EDB1}"/>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graf'!$V$32:$V$70</c:f>
              <c:numCache>
                <c:formatCode>General</c:formatCode>
                <c:ptCount val="39"/>
                <c:pt idx="0">
                  <c:v>70</c:v>
                </c:pt>
                <c:pt idx="12">
                  <c:v>70</c:v>
                </c:pt>
                <c:pt idx="24">
                  <c:v>70</c:v>
                </c:pt>
                <c:pt idx="36">
                  <c:v>70</c:v>
                </c:pt>
              </c:numCache>
            </c:numRef>
          </c:val>
          <c:smooth val="0"/>
          <c:extLst>
            <c:ext xmlns:c16="http://schemas.microsoft.com/office/drawing/2014/chart" uri="{C3380CC4-5D6E-409C-BE32-E72D297353CC}">
              <c16:uniqueId val="{00000004-FC3C-45D4-8E79-86250E25EDB1}"/>
            </c:ext>
          </c:extLst>
        </c:ser>
        <c:ser>
          <c:idx val="4"/>
          <c:order val="1"/>
          <c:tx>
            <c:strRef>
              <c:f>'Prerađivačka_6 graf'!$W$7</c:f>
              <c:strCache>
                <c:ptCount val="1"/>
                <c:pt idx="0">
                  <c:v>Series5</c:v>
                </c:pt>
              </c:strCache>
            </c:strRef>
          </c:tx>
          <c:spPr>
            <a:ln w="25400" cap="rnd">
              <a:noFill/>
              <a:round/>
            </a:ln>
            <a:effectLst/>
          </c:spPr>
          <c:marker>
            <c:symbol val="none"/>
          </c:marker>
          <c:dLbls>
            <c:dLbl>
              <c:idx val="0"/>
              <c:tx>
                <c:rich>
                  <a:bodyPr/>
                  <a:lstStyle/>
                  <a:p>
                    <a:fld id="{98C1B14F-B9A0-4186-B56E-615A82DFECAB}"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FC3C-45D4-8E79-86250E25EDB1}"/>
                </c:ext>
              </c:extLst>
            </c:dLbl>
            <c:dLbl>
              <c:idx val="1"/>
              <c:tx>
                <c:rich>
                  <a:bodyPr/>
                  <a:lstStyle/>
                  <a:p>
                    <a:fld id="{9B39C59A-940E-4604-9959-8FFE5E27D59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FC3C-45D4-8E79-86250E25EDB1}"/>
                </c:ext>
              </c:extLst>
            </c:dLbl>
            <c:dLbl>
              <c:idx val="2"/>
              <c:tx>
                <c:rich>
                  <a:bodyPr/>
                  <a:lstStyle/>
                  <a:p>
                    <a:fld id="{B4C1426D-1674-4D2A-8EE7-AF747DF7F0C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FC3C-45D4-8E79-86250E25EDB1}"/>
                </c:ext>
              </c:extLst>
            </c:dLbl>
            <c:dLbl>
              <c:idx val="3"/>
              <c:tx>
                <c:rich>
                  <a:bodyPr/>
                  <a:lstStyle/>
                  <a:p>
                    <a:fld id="{5C8B6ABA-3BED-44EB-94AE-708578DC3A7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FC3C-45D4-8E79-86250E25EDB1}"/>
                </c:ext>
              </c:extLst>
            </c:dLbl>
            <c:dLbl>
              <c:idx val="4"/>
              <c:tx>
                <c:rich>
                  <a:bodyPr/>
                  <a:lstStyle/>
                  <a:p>
                    <a:fld id="{C47F2544-363E-402C-B42A-CCF98D39BA7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FC3C-45D4-8E79-86250E25EDB1}"/>
                </c:ext>
              </c:extLst>
            </c:dLbl>
            <c:dLbl>
              <c:idx val="5"/>
              <c:tx>
                <c:rich>
                  <a:bodyPr/>
                  <a:lstStyle/>
                  <a:p>
                    <a:fld id="{52288626-AADF-4CD3-8F27-CA5F9EBCD35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FC3C-45D4-8E79-86250E25EDB1}"/>
                </c:ext>
              </c:extLst>
            </c:dLbl>
            <c:dLbl>
              <c:idx val="6"/>
              <c:tx>
                <c:rich>
                  <a:bodyPr/>
                  <a:lstStyle/>
                  <a:p>
                    <a:fld id="{5762D1E4-19E9-4807-9FF0-225F295D425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FC3C-45D4-8E79-86250E25EDB1}"/>
                </c:ext>
              </c:extLst>
            </c:dLbl>
            <c:dLbl>
              <c:idx val="7"/>
              <c:tx>
                <c:rich>
                  <a:bodyPr/>
                  <a:lstStyle/>
                  <a:p>
                    <a:fld id="{A1DC7F69-E2E5-4CC9-BEE5-291F21542D1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FC3C-45D4-8E79-86250E25EDB1}"/>
                </c:ext>
              </c:extLst>
            </c:dLbl>
            <c:dLbl>
              <c:idx val="8"/>
              <c:tx>
                <c:rich>
                  <a:bodyPr/>
                  <a:lstStyle/>
                  <a:p>
                    <a:fld id="{521752FA-6E36-4D4C-A677-5719117185C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FC3C-45D4-8E79-86250E25EDB1}"/>
                </c:ext>
              </c:extLst>
            </c:dLbl>
            <c:dLbl>
              <c:idx val="9"/>
              <c:tx>
                <c:rich>
                  <a:bodyPr/>
                  <a:lstStyle/>
                  <a:p>
                    <a:fld id="{A7D809AF-E2FE-42DF-B39A-E2F878E4FF4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FC3C-45D4-8E79-86250E25EDB1}"/>
                </c:ext>
              </c:extLst>
            </c:dLbl>
            <c:dLbl>
              <c:idx val="10"/>
              <c:tx>
                <c:rich>
                  <a:bodyPr/>
                  <a:lstStyle/>
                  <a:p>
                    <a:fld id="{83DC9819-5EB1-4A8A-98DD-F2BAA992108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FC3C-45D4-8E79-86250E25EDB1}"/>
                </c:ext>
              </c:extLst>
            </c:dLbl>
            <c:dLbl>
              <c:idx val="11"/>
              <c:tx>
                <c:rich>
                  <a:bodyPr/>
                  <a:lstStyle/>
                  <a:p>
                    <a:fld id="{52AEA532-2CB2-4DCB-AFAC-E2A64C417B0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FC3C-45D4-8E79-86250E25EDB1}"/>
                </c:ext>
              </c:extLst>
            </c:dLbl>
            <c:dLbl>
              <c:idx val="12"/>
              <c:tx>
                <c:rich>
                  <a:bodyPr/>
                  <a:lstStyle/>
                  <a:p>
                    <a:fld id="{26FA86CE-184B-4D33-8252-C1574B5657A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FC3C-45D4-8E79-86250E25EDB1}"/>
                </c:ext>
              </c:extLst>
            </c:dLbl>
            <c:dLbl>
              <c:idx val="13"/>
              <c:tx>
                <c:rich>
                  <a:bodyPr/>
                  <a:lstStyle/>
                  <a:p>
                    <a:fld id="{25913692-0367-40CD-A865-D224496EEFF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FC3C-45D4-8E79-86250E25EDB1}"/>
                </c:ext>
              </c:extLst>
            </c:dLbl>
            <c:dLbl>
              <c:idx val="14"/>
              <c:tx>
                <c:rich>
                  <a:bodyPr/>
                  <a:lstStyle/>
                  <a:p>
                    <a:fld id="{D6372840-004A-4F35-8936-D71D18DD1E0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FC3C-45D4-8E79-86250E25EDB1}"/>
                </c:ext>
              </c:extLst>
            </c:dLbl>
            <c:dLbl>
              <c:idx val="15"/>
              <c:tx>
                <c:rich>
                  <a:bodyPr/>
                  <a:lstStyle/>
                  <a:p>
                    <a:fld id="{40B52822-EC75-4D59-A9CF-05E42F4E127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FC3C-45D4-8E79-86250E25EDB1}"/>
                </c:ext>
              </c:extLst>
            </c:dLbl>
            <c:dLbl>
              <c:idx val="16"/>
              <c:tx>
                <c:rich>
                  <a:bodyPr/>
                  <a:lstStyle/>
                  <a:p>
                    <a:fld id="{AD74E79E-2AE7-4901-8E73-7EA6C63DEBE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FC3C-45D4-8E79-86250E25EDB1}"/>
                </c:ext>
              </c:extLst>
            </c:dLbl>
            <c:dLbl>
              <c:idx val="17"/>
              <c:tx>
                <c:rich>
                  <a:bodyPr/>
                  <a:lstStyle/>
                  <a:p>
                    <a:fld id="{42077130-4554-4EB9-A723-1C430A15CF9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FC3C-45D4-8E79-86250E25EDB1}"/>
                </c:ext>
              </c:extLst>
            </c:dLbl>
            <c:dLbl>
              <c:idx val="18"/>
              <c:tx>
                <c:rich>
                  <a:bodyPr/>
                  <a:lstStyle/>
                  <a:p>
                    <a:fld id="{126D3E74-C484-4BF7-8339-4C75C6386CF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FC3C-45D4-8E79-86250E25EDB1}"/>
                </c:ext>
              </c:extLst>
            </c:dLbl>
            <c:dLbl>
              <c:idx val="19"/>
              <c:tx>
                <c:rich>
                  <a:bodyPr/>
                  <a:lstStyle/>
                  <a:p>
                    <a:fld id="{B895EFC5-4319-4CFC-ABF6-02919F51915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FC3C-45D4-8E79-86250E25EDB1}"/>
                </c:ext>
              </c:extLst>
            </c:dLbl>
            <c:dLbl>
              <c:idx val="20"/>
              <c:tx>
                <c:rich>
                  <a:bodyPr/>
                  <a:lstStyle/>
                  <a:p>
                    <a:fld id="{13995A6A-DAEF-4C44-9519-743C37CA265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FC3C-45D4-8E79-86250E25EDB1}"/>
                </c:ext>
              </c:extLst>
            </c:dLbl>
            <c:dLbl>
              <c:idx val="21"/>
              <c:tx>
                <c:rich>
                  <a:bodyPr/>
                  <a:lstStyle/>
                  <a:p>
                    <a:fld id="{FF61ADB7-0D79-4B4B-8C3F-C98C1F359F9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FC3C-45D4-8E79-86250E25EDB1}"/>
                </c:ext>
              </c:extLst>
            </c:dLbl>
            <c:dLbl>
              <c:idx val="22"/>
              <c:tx>
                <c:rich>
                  <a:bodyPr/>
                  <a:lstStyle/>
                  <a:p>
                    <a:fld id="{80C45F3C-50A6-45E3-A456-F0C6C67BBFF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FC3C-45D4-8E79-86250E25EDB1}"/>
                </c:ext>
              </c:extLst>
            </c:dLbl>
            <c:dLbl>
              <c:idx val="23"/>
              <c:tx>
                <c:rich>
                  <a:bodyPr/>
                  <a:lstStyle/>
                  <a:p>
                    <a:fld id="{CF07AD06-DC86-4295-BE05-B1542611215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FC3C-45D4-8E79-86250E25EDB1}"/>
                </c:ext>
              </c:extLst>
            </c:dLbl>
            <c:dLbl>
              <c:idx val="24"/>
              <c:tx>
                <c:rich>
                  <a:bodyPr/>
                  <a:lstStyle/>
                  <a:p>
                    <a:fld id="{FB87D884-F754-4E5E-85B6-EE7D826C0C8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FC3C-45D4-8E79-86250E25EDB1}"/>
                </c:ext>
              </c:extLst>
            </c:dLbl>
            <c:dLbl>
              <c:idx val="25"/>
              <c:tx>
                <c:rich>
                  <a:bodyPr/>
                  <a:lstStyle/>
                  <a:p>
                    <a:fld id="{A3F73926-6633-4F9A-BEF6-85C5506CCFA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FC3C-45D4-8E79-86250E25EDB1}"/>
                </c:ext>
              </c:extLst>
            </c:dLbl>
            <c:dLbl>
              <c:idx val="26"/>
              <c:tx>
                <c:rich>
                  <a:bodyPr/>
                  <a:lstStyle/>
                  <a:p>
                    <a:fld id="{430E89A1-5AD4-451C-8C3C-7D826D575A2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FC3C-45D4-8E79-86250E25EDB1}"/>
                </c:ext>
              </c:extLst>
            </c:dLbl>
            <c:dLbl>
              <c:idx val="27"/>
              <c:tx>
                <c:rich>
                  <a:bodyPr/>
                  <a:lstStyle/>
                  <a:p>
                    <a:fld id="{E8B46717-A649-48E4-B268-9B768B939B4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FC3C-45D4-8E79-86250E25EDB1}"/>
                </c:ext>
              </c:extLst>
            </c:dLbl>
            <c:dLbl>
              <c:idx val="28"/>
              <c:tx>
                <c:rich>
                  <a:bodyPr/>
                  <a:lstStyle/>
                  <a:p>
                    <a:fld id="{D5959AA5-51F7-4C25-A365-4BDCBD78EF5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FC3C-45D4-8E79-86250E25EDB1}"/>
                </c:ext>
              </c:extLst>
            </c:dLbl>
            <c:dLbl>
              <c:idx val="29"/>
              <c:tx>
                <c:rich>
                  <a:bodyPr/>
                  <a:lstStyle/>
                  <a:p>
                    <a:fld id="{AEC3C5A3-4B97-4C41-8131-52C39456670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FC3C-45D4-8E79-86250E25EDB1}"/>
                </c:ext>
              </c:extLst>
            </c:dLbl>
            <c:dLbl>
              <c:idx val="30"/>
              <c:tx>
                <c:rich>
                  <a:bodyPr/>
                  <a:lstStyle/>
                  <a:p>
                    <a:fld id="{C127AD2A-AEB7-460E-90F8-131B017F9F8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FC3C-45D4-8E79-86250E25EDB1}"/>
                </c:ext>
              </c:extLst>
            </c:dLbl>
            <c:dLbl>
              <c:idx val="31"/>
              <c:tx>
                <c:rich>
                  <a:bodyPr/>
                  <a:lstStyle/>
                  <a:p>
                    <a:fld id="{39C673E4-41D9-44D9-B68B-999BB3E40CF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4-FC3C-45D4-8E79-86250E25EDB1}"/>
                </c:ext>
              </c:extLst>
            </c:dLbl>
            <c:dLbl>
              <c:idx val="32"/>
              <c:tx>
                <c:rich>
                  <a:bodyPr/>
                  <a:lstStyle/>
                  <a:p>
                    <a:fld id="{1B484D11-F3ED-4C46-82A2-05B0FF3A10F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FC3C-45D4-8E79-86250E25EDB1}"/>
                </c:ext>
              </c:extLst>
            </c:dLbl>
            <c:dLbl>
              <c:idx val="33"/>
              <c:tx>
                <c:rich>
                  <a:bodyPr/>
                  <a:lstStyle/>
                  <a:p>
                    <a:fld id="{0D947CB9-9930-4EAC-8E9D-EAB6EB7C9A1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FC3C-45D4-8E79-86250E25EDB1}"/>
                </c:ext>
              </c:extLst>
            </c:dLbl>
            <c:dLbl>
              <c:idx val="34"/>
              <c:tx>
                <c:rich>
                  <a:bodyPr/>
                  <a:lstStyle/>
                  <a:p>
                    <a:fld id="{40212F25-8591-4D7E-A93A-9DFEC31B794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7-FC3C-45D4-8E79-86250E25EDB1}"/>
                </c:ext>
              </c:extLst>
            </c:dLbl>
            <c:dLbl>
              <c:idx val="35"/>
              <c:tx>
                <c:rich>
                  <a:bodyPr/>
                  <a:lstStyle/>
                  <a:p>
                    <a:fld id="{8151F32A-1B3C-4496-B5AA-6FA9B4C3531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FC3C-45D4-8E79-86250E25EDB1}"/>
                </c:ext>
              </c:extLst>
            </c:dLbl>
            <c:dLbl>
              <c:idx val="36"/>
              <c:tx>
                <c:rich>
                  <a:bodyPr/>
                  <a:lstStyle/>
                  <a:p>
                    <a:fld id="{B76D8539-7140-4A55-8FDF-223A28A4C9C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FC3C-45D4-8E79-86250E25EDB1}"/>
                </c:ext>
              </c:extLst>
            </c:dLbl>
            <c:dLbl>
              <c:idx val="37"/>
              <c:tx>
                <c:rich>
                  <a:bodyPr/>
                  <a:lstStyle/>
                  <a:p>
                    <a:fld id="{99C51186-8605-4054-B630-735BBEA63A2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A-FC3C-45D4-8E79-86250E25EDB1}"/>
                </c:ext>
              </c:extLst>
            </c:dLbl>
            <c:dLbl>
              <c:idx val="38"/>
              <c:tx>
                <c:rich>
                  <a:bodyPr/>
                  <a:lstStyle/>
                  <a:p>
                    <a:fld id="{A168C3F6-E327-46A8-AEE5-F1D6E0B8F8F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FC3C-45D4-8E79-86250E25EDB1}"/>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graf'!$W$32:$W$70</c:f>
              <c:numCache>
                <c:formatCode>General</c:formatCode>
                <c:ptCount val="39"/>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pt idx="15">
                  <c:v>70</c:v>
                </c:pt>
                <c:pt idx="16">
                  <c:v>70</c:v>
                </c:pt>
                <c:pt idx="17">
                  <c:v>70</c:v>
                </c:pt>
                <c:pt idx="18">
                  <c:v>70</c:v>
                </c:pt>
                <c:pt idx="19">
                  <c:v>70</c:v>
                </c:pt>
                <c:pt idx="20">
                  <c:v>70</c:v>
                </c:pt>
                <c:pt idx="21">
                  <c:v>70</c:v>
                </c:pt>
                <c:pt idx="22">
                  <c:v>70</c:v>
                </c:pt>
                <c:pt idx="23">
                  <c:v>70</c:v>
                </c:pt>
                <c:pt idx="24">
                  <c:v>70</c:v>
                </c:pt>
                <c:pt idx="25">
                  <c:v>70</c:v>
                </c:pt>
                <c:pt idx="26">
                  <c:v>70</c:v>
                </c:pt>
                <c:pt idx="27">
                  <c:v>70</c:v>
                </c:pt>
                <c:pt idx="28">
                  <c:v>70</c:v>
                </c:pt>
                <c:pt idx="29">
                  <c:v>70</c:v>
                </c:pt>
                <c:pt idx="30">
                  <c:v>70</c:v>
                </c:pt>
                <c:pt idx="31">
                  <c:v>70</c:v>
                </c:pt>
                <c:pt idx="32">
                  <c:v>70</c:v>
                </c:pt>
                <c:pt idx="33">
                  <c:v>70</c:v>
                </c:pt>
                <c:pt idx="34">
                  <c:v>70</c:v>
                </c:pt>
                <c:pt idx="35">
                  <c:v>70</c:v>
                </c:pt>
                <c:pt idx="36">
                  <c:v>70</c:v>
                </c:pt>
                <c:pt idx="37">
                  <c:v>70</c:v>
                </c:pt>
                <c:pt idx="38">
                  <c:v>70</c:v>
                </c:pt>
              </c:numCache>
            </c:numRef>
          </c:val>
          <c:smooth val="0"/>
          <c:extLst>
            <c:ext xmlns:c15="http://schemas.microsoft.com/office/drawing/2012/chart" uri="{02D57815-91ED-43cb-92C2-25804820EDAC}">
              <c15:datalabelsRange>
                <c15:f>'Prerađivačka_6 graf'!$E$32:$E$70</c15:f>
                <c15:dlblRangeCache>
                  <c:ptCount val="3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15:dlblRangeCache>
              </c15:datalabelsRange>
            </c:ext>
            <c:ext xmlns:c16="http://schemas.microsoft.com/office/drawing/2014/chart" uri="{C3380CC4-5D6E-409C-BE32-E72D297353CC}">
              <c16:uniqueId val="{0000002C-FC3C-45D4-8E79-86250E25EDB1}"/>
            </c:ext>
          </c:extLst>
        </c:ser>
        <c:ser>
          <c:idx val="0"/>
          <c:order val="2"/>
          <c:tx>
            <c:strRef>
              <c:f>'Prerađivačka_6 graf'!$X$7</c:f>
              <c:strCache>
                <c:ptCount val="1"/>
                <c:pt idx="0">
                  <c:v>y</c:v>
                </c:pt>
              </c:strCache>
            </c:strRef>
          </c:tx>
          <c:spPr>
            <a:ln w="12700" cap="rnd">
              <a:solidFill>
                <a:srgbClr val="92278F"/>
              </a:solidFill>
              <a:prstDash val="sysDash"/>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graf'!$X$32:$X$70</c:f>
              <c:numCache>
                <c:formatCode>0.0</c:formatCode>
                <c:ptCount val="39"/>
                <c:pt idx="0">
                  <c:v>83.056438553349722</c:v>
                </c:pt>
                <c:pt idx="1">
                  <c:v>86.295207821028001</c:v>
                </c:pt>
                <c:pt idx="2">
                  <c:v>97.450968631919849</c:v>
                </c:pt>
                <c:pt idx="3">
                  <c:v>72.332513644814952</c:v>
                </c:pt>
                <c:pt idx="4">
                  <c:v>78.018353025850161</c:v>
                </c:pt>
                <c:pt idx="5">
                  <c:v>96.299406225634257</c:v>
                </c:pt>
                <c:pt idx="6">
                  <c:v>107.67108498770466</c:v>
                </c:pt>
                <c:pt idx="7">
                  <c:v>94.931925868170083</c:v>
                </c:pt>
                <c:pt idx="8">
                  <c:v>94.212199364241584</c:v>
                </c:pt>
                <c:pt idx="9">
                  <c:v>108.96659269477598</c:v>
                </c:pt>
                <c:pt idx="10">
                  <c:v>102.92089006177652</c:v>
                </c:pt>
                <c:pt idx="11">
                  <c:v>90.829484795777589</c:v>
                </c:pt>
                <c:pt idx="12">
                  <c:v>90.181730942241927</c:v>
                </c:pt>
                <c:pt idx="13">
                  <c:v>88.238469381634957</c:v>
                </c:pt>
                <c:pt idx="14">
                  <c:v>97.954777184669808</c:v>
                </c:pt>
                <c:pt idx="15">
                  <c:v>90.90145744617044</c:v>
                </c:pt>
                <c:pt idx="16">
                  <c:v>87.8786061296707</c:v>
                </c:pt>
                <c:pt idx="17">
                  <c:v>105.51190547591914</c:v>
                </c:pt>
                <c:pt idx="18">
                  <c:v>110.04618245066872</c:v>
                </c:pt>
                <c:pt idx="19">
                  <c:v>106.95135848377615</c:v>
                </c:pt>
                <c:pt idx="20">
                  <c:v>94.787980567384366</c:v>
                </c:pt>
                <c:pt idx="21">
                  <c:v>103.64061656570502</c:v>
                </c:pt>
                <c:pt idx="22">
                  <c:v>100.18592934684818</c:v>
                </c:pt>
                <c:pt idx="23">
                  <c:v>103.06483536256219</c:v>
                </c:pt>
                <c:pt idx="24">
                  <c:v>91.555097837281167</c:v>
                </c:pt>
                <c:pt idx="25">
                  <c:v>95.380434782608688</c:v>
                </c:pt>
                <c:pt idx="26">
                  <c:v>104.39963336388635</c:v>
                </c:pt>
                <c:pt idx="27">
                  <c:v>98.02674983506266</c:v>
                </c:pt>
                <c:pt idx="28">
                  <c:v>103.71258921609785</c:v>
                </c:pt>
                <c:pt idx="29">
                  <c:v>112.4212799136328</c:v>
                </c:pt>
                <c:pt idx="30">
                  <c:v>103.71258921609785</c:v>
                </c:pt>
                <c:pt idx="31">
                  <c:v>101.48143705391949</c:v>
                </c:pt>
                <c:pt idx="32">
                  <c:v>86.151262520242298</c:v>
                </c:pt>
                <c:pt idx="33">
                  <c:v>104.14442511845496</c:v>
                </c:pt>
                <c:pt idx="34">
                  <c:v>99.39423019252682</c:v>
                </c:pt>
                <c:pt idx="35">
                  <c:v>99.322257542133968</c:v>
                </c:pt>
                <c:pt idx="36">
                  <c:v>92.1</c:v>
                </c:pt>
                <c:pt idx="37">
                  <c:v>105.4</c:v>
                </c:pt>
                <c:pt idx="38">
                  <c:v>113.9</c:v>
                </c:pt>
              </c:numCache>
            </c:numRef>
          </c:val>
          <c:smooth val="0"/>
          <c:extLst>
            <c:ext xmlns:c16="http://schemas.microsoft.com/office/drawing/2014/chart" uri="{C3380CC4-5D6E-409C-BE32-E72D297353CC}">
              <c16:uniqueId val="{0000002D-FC3C-45D4-8E79-86250E25EDB1}"/>
            </c:ext>
          </c:extLst>
        </c:ser>
        <c:ser>
          <c:idx val="1"/>
          <c:order val="3"/>
          <c:tx>
            <c:strRef>
              <c:f>'Prerađivačka_6 graf'!$Y$7</c:f>
              <c:strCache>
                <c:ptCount val="1"/>
                <c:pt idx="0">
                  <c:v>sa</c:v>
                </c:pt>
              </c:strCache>
            </c:strRef>
          </c:tx>
          <c:spPr>
            <a:ln w="22225" cap="rnd">
              <a:solidFill>
                <a:srgbClr val="25AAE1"/>
              </a:solidFill>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graf'!$Y$32:$Y$70</c:f>
              <c:numCache>
                <c:formatCode>0.0</c:formatCode>
                <c:ptCount val="39"/>
                <c:pt idx="0">
                  <c:v>87.291051059533302</c:v>
                </c:pt>
                <c:pt idx="1">
                  <c:v>88.33014987809176</c:v>
                </c:pt>
                <c:pt idx="2">
                  <c:v>89.299342253544864</c:v>
                </c:pt>
                <c:pt idx="3">
                  <c:v>73.573811397609944</c:v>
                </c:pt>
                <c:pt idx="4">
                  <c:v>76.938764335481991</c:v>
                </c:pt>
                <c:pt idx="5">
                  <c:v>91.794267634005649</c:v>
                </c:pt>
                <c:pt idx="6">
                  <c:v>106.25869554810352</c:v>
                </c:pt>
                <c:pt idx="7">
                  <c:v>94.989554009357093</c:v>
                </c:pt>
                <c:pt idx="8">
                  <c:v>99.136329849588506</c:v>
                </c:pt>
                <c:pt idx="9">
                  <c:v>105.69018484102645</c:v>
                </c:pt>
                <c:pt idx="10">
                  <c:v>104.34797347854295</c:v>
                </c:pt>
                <c:pt idx="11">
                  <c:v>91.961574678977101</c:v>
                </c:pt>
                <c:pt idx="12">
                  <c:v>96.554191937396993</c:v>
                </c:pt>
                <c:pt idx="13">
                  <c:v>90.449301551932336</c:v>
                </c:pt>
                <c:pt idx="14">
                  <c:v>91.434320202743265</c:v>
                </c:pt>
                <c:pt idx="15">
                  <c:v>93.27830287401234</c:v>
                </c:pt>
                <c:pt idx="16">
                  <c:v>87.446326622040431</c:v>
                </c:pt>
                <c:pt idx="17">
                  <c:v>99.071687867328365</c:v>
                </c:pt>
                <c:pt idx="18">
                  <c:v>106.94511862132377</c:v>
                </c:pt>
                <c:pt idx="19">
                  <c:v>106.30579146863731</c:v>
                </c:pt>
                <c:pt idx="20">
                  <c:v>100.46654219559447</c:v>
                </c:pt>
                <c:pt idx="21">
                  <c:v>99.142109064724309</c:v>
                </c:pt>
                <c:pt idx="22">
                  <c:v>100.37671366022484</c:v>
                </c:pt>
                <c:pt idx="23">
                  <c:v>104.62870642029293</c:v>
                </c:pt>
                <c:pt idx="24">
                  <c:v>99.534592334262129</c:v>
                </c:pt>
                <c:pt idx="25">
                  <c:v>99.452644778833928</c:v>
                </c:pt>
                <c:pt idx="26">
                  <c:v>98.015833789432094</c:v>
                </c:pt>
                <c:pt idx="27">
                  <c:v>101.59860093201132</c:v>
                </c:pt>
                <c:pt idx="28">
                  <c:v>103.26271843659607</c:v>
                </c:pt>
                <c:pt idx="29">
                  <c:v>104.73172270574283</c:v>
                </c:pt>
                <c:pt idx="30">
                  <c:v>99.997800786746964</c:v>
                </c:pt>
                <c:pt idx="31">
                  <c:v>99.46779273219407</c:v>
                </c:pt>
                <c:pt idx="32">
                  <c:v>92.140428677928583</c:v>
                </c:pt>
                <c:pt idx="33">
                  <c:v>99.431041750680649</c:v>
                </c:pt>
                <c:pt idx="34">
                  <c:v>98.917564505031223</c:v>
                </c:pt>
                <c:pt idx="35">
                  <c:v>100.99830781930311</c:v>
                </c:pt>
                <c:pt idx="36">
                  <c:v>100.64857167278448</c:v>
                </c:pt>
                <c:pt idx="37">
                  <c:v>109.97870535102956</c:v>
                </c:pt>
                <c:pt idx="38">
                  <c:v>107.27540112619961</c:v>
                </c:pt>
              </c:numCache>
            </c:numRef>
          </c:val>
          <c:smooth val="0"/>
          <c:extLst>
            <c:ext xmlns:c16="http://schemas.microsoft.com/office/drawing/2014/chart" uri="{C3380CC4-5D6E-409C-BE32-E72D297353CC}">
              <c16:uniqueId val="{0000002E-FC3C-45D4-8E79-86250E25EDB1}"/>
            </c:ext>
          </c:extLst>
        </c:ser>
        <c:ser>
          <c:idx val="2"/>
          <c:order val="4"/>
          <c:tx>
            <c:strRef>
              <c:f>'Prerađivačka_6 graf'!$Z$7</c:f>
              <c:strCache>
                <c:ptCount val="1"/>
                <c:pt idx="0">
                  <c:v>t</c:v>
                </c:pt>
              </c:strCache>
            </c:strRef>
          </c:tx>
          <c:spPr>
            <a:ln w="25400" cap="rnd">
              <a:solidFill>
                <a:srgbClr val="FF0000"/>
              </a:solidFill>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graf'!$Z$32:$Z$70</c:f>
              <c:numCache>
                <c:formatCode>0.0</c:formatCode>
                <c:ptCount val="39"/>
                <c:pt idx="0">
                  <c:v>89.221035790310665</c:v>
                </c:pt>
                <c:pt idx="1">
                  <c:v>88.237206194511899</c:v>
                </c:pt>
                <c:pt idx="2">
                  <c:v>88.019579210033484</c:v>
                </c:pt>
                <c:pt idx="3">
                  <c:v>88.455946958845317</c:v>
                </c:pt>
                <c:pt idx="4">
                  <c:v>89.484867992651957</c:v>
                </c:pt>
                <c:pt idx="5">
                  <c:v>91.49788918868515</c:v>
                </c:pt>
                <c:pt idx="6">
                  <c:v>94.1802056531413</c:v>
                </c:pt>
                <c:pt idx="7">
                  <c:v>97.03647887427303</c:v>
                </c:pt>
                <c:pt idx="8">
                  <c:v>99.296972389990628</c:v>
                </c:pt>
                <c:pt idx="9">
                  <c:v>100.18083675310066</c:v>
                </c:pt>
                <c:pt idx="10">
                  <c:v>99.420740232986446</c:v>
                </c:pt>
                <c:pt idx="11">
                  <c:v>97.369075328108963</c:v>
                </c:pt>
                <c:pt idx="12">
                  <c:v>94.791189102793311</c:v>
                </c:pt>
                <c:pt idx="13">
                  <c:v>92.733568028015725</c:v>
                </c:pt>
                <c:pt idx="14">
                  <c:v>92.294924787148318</c:v>
                </c:pt>
                <c:pt idx="15">
                  <c:v>93.808148432775198</c:v>
                </c:pt>
                <c:pt idx="16">
                  <c:v>96.567265130516262</c:v>
                </c:pt>
                <c:pt idx="17">
                  <c:v>99.334400073825478</c:v>
                </c:pt>
                <c:pt idx="18">
                  <c:v>101.41524859001886</c:v>
                </c:pt>
                <c:pt idx="19">
                  <c:v>102.59094014308468</c:v>
                </c:pt>
                <c:pt idx="20">
                  <c:v>102.74599270411491</c:v>
                </c:pt>
                <c:pt idx="21">
                  <c:v>102.19294373363482</c:v>
                </c:pt>
                <c:pt idx="22">
                  <c:v>101.29440412518315</c:v>
                </c:pt>
                <c:pt idx="23">
                  <c:v>100.47712825143056</c:v>
                </c:pt>
                <c:pt idx="24">
                  <c:v>100.16716585396036</c:v>
                </c:pt>
                <c:pt idx="25">
                  <c:v>100.37490065587089</c:v>
                </c:pt>
                <c:pt idx="26">
                  <c:v>100.94134284006175</c:v>
                </c:pt>
                <c:pt idx="27">
                  <c:v>101.45872935242934</c:v>
                </c:pt>
                <c:pt idx="28">
                  <c:v>101.6771892190236</c:v>
                </c:pt>
                <c:pt idx="29">
                  <c:v>101.33113896571477</c:v>
                </c:pt>
                <c:pt idx="30">
                  <c:v>100.38536168360898</c:v>
                </c:pt>
                <c:pt idx="31">
                  <c:v>98.960758366239702</c:v>
                </c:pt>
                <c:pt idx="32">
                  <c:v>97.849887235045998</c:v>
                </c:pt>
                <c:pt idx="33">
                  <c:v>97.775209127971763</c:v>
                </c:pt>
                <c:pt idx="34">
                  <c:v>99.03312754702263</c:v>
                </c:pt>
                <c:pt idx="35">
                  <c:v>101.2347968347425</c:v>
                </c:pt>
                <c:pt idx="36">
                  <c:v>103.62750994663368</c:v>
                </c:pt>
                <c:pt idx="37">
                  <c:v>105.48899014252859</c:v>
                </c:pt>
                <c:pt idx="38">
                  <c:v>106.38023665250061</c:v>
                </c:pt>
              </c:numCache>
            </c:numRef>
          </c:val>
          <c:smooth val="0"/>
          <c:extLst>
            <c:ext xmlns:c16="http://schemas.microsoft.com/office/drawing/2014/chart" uri="{C3380CC4-5D6E-409C-BE32-E72D297353CC}">
              <c16:uniqueId val="{0000002F-FC3C-45D4-8E79-86250E25EDB1}"/>
            </c:ext>
          </c:extLst>
        </c:ser>
        <c:dLbls>
          <c:showLegendKey val="0"/>
          <c:showVal val="0"/>
          <c:showCatName val="0"/>
          <c:showSerName val="0"/>
          <c:showPercent val="0"/>
          <c:showBubbleSize val="0"/>
        </c:dLbls>
        <c:marker val="1"/>
        <c:smooth val="0"/>
        <c:axId val="2092158352"/>
        <c:axId val="2092178480"/>
      </c:lineChart>
      <c:dateAx>
        <c:axId val="2092158352"/>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2092178480"/>
        <c:crosses val="autoZero"/>
        <c:auto val="1"/>
        <c:lblOffset val="0"/>
        <c:baseTimeUnit val="months"/>
        <c:majorUnit val="12"/>
        <c:majorTimeUnit val="months"/>
      </c:dateAx>
      <c:valAx>
        <c:axId val="2092178480"/>
        <c:scaling>
          <c:orientation val="minMax"/>
          <c:max val="115"/>
          <c:min val="7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58352"/>
        <c:crosses val="autoZero"/>
        <c:crossBetween val="midCat"/>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graf'!$AV$7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8.0912066024101198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324-4321-8199-47AA157AEA2D}"/>
                </c:ext>
              </c:extLst>
            </c:dLbl>
            <c:dLbl>
              <c:idx val="12"/>
              <c:layout>
                <c:manualLayout>
                  <c:x val="8.0923539164956912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324-4321-8199-47AA157AEA2D}"/>
                </c:ext>
              </c:extLst>
            </c:dLbl>
            <c:dLbl>
              <c:idx val="24"/>
              <c:layout>
                <c:manualLayout>
                  <c:x val="7.9575271278938819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324-4321-8199-47AA157AEA2D}"/>
                </c:ext>
              </c:extLst>
            </c:dLbl>
            <c:dLbl>
              <c:idx val="36"/>
              <c:layout>
                <c:manualLayout>
                  <c:x val="-3.0250000000001617E-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324-4321-8199-47AA157AEA2D}"/>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graf'!$AV$32:$AV$70</c:f>
              <c:numCache>
                <c:formatCode>General</c:formatCode>
                <c:ptCount val="39"/>
                <c:pt idx="0">
                  <c:v>55</c:v>
                </c:pt>
                <c:pt idx="12">
                  <c:v>55</c:v>
                </c:pt>
                <c:pt idx="24">
                  <c:v>55</c:v>
                </c:pt>
                <c:pt idx="36">
                  <c:v>55</c:v>
                </c:pt>
              </c:numCache>
            </c:numRef>
          </c:val>
          <c:smooth val="0"/>
          <c:extLst>
            <c:ext xmlns:c16="http://schemas.microsoft.com/office/drawing/2014/chart" uri="{C3380CC4-5D6E-409C-BE32-E72D297353CC}">
              <c16:uniqueId val="{00000004-A324-4321-8199-47AA157AEA2D}"/>
            </c:ext>
          </c:extLst>
        </c:ser>
        <c:ser>
          <c:idx val="4"/>
          <c:order val="1"/>
          <c:tx>
            <c:strRef>
              <c:f>'Prerađivačka_6 graf'!$AW$7</c:f>
              <c:strCache>
                <c:ptCount val="1"/>
                <c:pt idx="0">
                  <c:v>Series5</c:v>
                </c:pt>
              </c:strCache>
            </c:strRef>
          </c:tx>
          <c:spPr>
            <a:ln w="25400" cap="rnd">
              <a:noFill/>
              <a:round/>
            </a:ln>
            <a:effectLst/>
          </c:spPr>
          <c:marker>
            <c:symbol val="none"/>
          </c:marker>
          <c:dLbls>
            <c:dLbl>
              <c:idx val="0"/>
              <c:tx>
                <c:rich>
                  <a:bodyPr/>
                  <a:lstStyle/>
                  <a:p>
                    <a:fld id="{BC77EE38-F9E0-4947-8043-FC8C824DA139}"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A324-4321-8199-47AA157AEA2D}"/>
                </c:ext>
              </c:extLst>
            </c:dLbl>
            <c:dLbl>
              <c:idx val="1"/>
              <c:tx>
                <c:rich>
                  <a:bodyPr/>
                  <a:lstStyle/>
                  <a:p>
                    <a:fld id="{169413D7-E26C-4C63-99EE-BCD84D9C48C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A324-4321-8199-47AA157AEA2D}"/>
                </c:ext>
              </c:extLst>
            </c:dLbl>
            <c:dLbl>
              <c:idx val="2"/>
              <c:tx>
                <c:rich>
                  <a:bodyPr/>
                  <a:lstStyle/>
                  <a:p>
                    <a:fld id="{475E4CFC-21BF-4BC4-9305-6E283DA0F99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A324-4321-8199-47AA157AEA2D}"/>
                </c:ext>
              </c:extLst>
            </c:dLbl>
            <c:dLbl>
              <c:idx val="3"/>
              <c:tx>
                <c:rich>
                  <a:bodyPr/>
                  <a:lstStyle/>
                  <a:p>
                    <a:fld id="{2876B48B-2F4D-4C73-8279-CF132E9B08A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A324-4321-8199-47AA157AEA2D}"/>
                </c:ext>
              </c:extLst>
            </c:dLbl>
            <c:dLbl>
              <c:idx val="4"/>
              <c:tx>
                <c:rich>
                  <a:bodyPr/>
                  <a:lstStyle/>
                  <a:p>
                    <a:fld id="{D4523E6B-C521-4F81-8412-39F946E1413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A324-4321-8199-47AA157AEA2D}"/>
                </c:ext>
              </c:extLst>
            </c:dLbl>
            <c:dLbl>
              <c:idx val="5"/>
              <c:tx>
                <c:rich>
                  <a:bodyPr/>
                  <a:lstStyle/>
                  <a:p>
                    <a:fld id="{14CDD00B-BDBE-4C20-BB26-569B97D3F58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A324-4321-8199-47AA157AEA2D}"/>
                </c:ext>
              </c:extLst>
            </c:dLbl>
            <c:dLbl>
              <c:idx val="6"/>
              <c:tx>
                <c:rich>
                  <a:bodyPr/>
                  <a:lstStyle/>
                  <a:p>
                    <a:fld id="{BD60BE0C-340E-450B-8CAA-A18C7374058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A324-4321-8199-47AA157AEA2D}"/>
                </c:ext>
              </c:extLst>
            </c:dLbl>
            <c:dLbl>
              <c:idx val="7"/>
              <c:tx>
                <c:rich>
                  <a:bodyPr/>
                  <a:lstStyle/>
                  <a:p>
                    <a:fld id="{86CF0CFD-D3DD-44A5-B273-EEE2410FD2A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A324-4321-8199-47AA157AEA2D}"/>
                </c:ext>
              </c:extLst>
            </c:dLbl>
            <c:dLbl>
              <c:idx val="8"/>
              <c:tx>
                <c:rich>
                  <a:bodyPr/>
                  <a:lstStyle/>
                  <a:p>
                    <a:fld id="{6D22C2D2-2A50-4595-A022-6C202056294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A324-4321-8199-47AA157AEA2D}"/>
                </c:ext>
              </c:extLst>
            </c:dLbl>
            <c:dLbl>
              <c:idx val="9"/>
              <c:tx>
                <c:rich>
                  <a:bodyPr/>
                  <a:lstStyle/>
                  <a:p>
                    <a:fld id="{DBC0BDC5-77F6-49FC-B174-58C3A1C9CC3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A324-4321-8199-47AA157AEA2D}"/>
                </c:ext>
              </c:extLst>
            </c:dLbl>
            <c:dLbl>
              <c:idx val="10"/>
              <c:tx>
                <c:rich>
                  <a:bodyPr/>
                  <a:lstStyle/>
                  <a:p>
                    <a:fld id="{8BC639CE-C715-4331-B8B5-79B3C5C22CB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A324-4321-8199-47AA157AEA2D}"/>
                </c:ext>
              </c:extLst>
            </c:dLbl>
            <c:dLbl>
              <c:idx val="11"/>
              <c:tx>
                <c:rich>
                  <a:bodyPr/>
                  <a:lstStyle/>
                  <a:p>
                    <a:fld id="{618D6E3F-EE61-4432-BCDA-04898D14829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A324-4321-8199-47AA157AEA2D}"/>
                </c:ext>
              </c:extLst>
            </c:dLbl>
            <c:dLbl>
              <c:idx val="12"/>
              <c:tx>
                <c:rich>
                  <a:bodyPr/>
                  <a:lstStyle/>
                  <a:p>
                    <a:fld id="{5007A3EA-DFA6-4CFD-B383-959039DBFB9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A324-4321-8199-47AA157AEA2D}"/>
                </c:ext>
              </c:extLst>
            </c:dLbl>
            <c:dLbl>
              <c:idx val="13"/>
              <c:tx>
                <c:rich>
                  <a:bodyPr/>
                  <a:lstStyle/>
                  <a:p>
                    <a:fld id="{F624A3B9-C897-4206-A9ED-C6DC04B5E40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A324-4321-8199-47AA157AEA2D}"/>
                </c:ext>
              </c:extLst>
            </c:dLbl>
            <c:dLbl>
              <c:idx val="14"/>
              <c:tx>
                <c:rich>
                  <a:bodyPr/>
                  <a:lstStyle/>
                  <a:p>
                    <a:fld id="{A0622343-EE26-44AC-BCD0-742B1437AC3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A324-4321-8199-47AA157AEA2D}"/>
                </c:ext>
              </c:extLst>
            </c:dLbl>
            <c:dLbl>
              <c:idx val="15"/>
              <c:tx>
                <c:rich>
                  <a:bodyPr/>
                  <a:lstStyle/>
                  <a:p>
                    <a:fld id="{26A26ED1-17D8-4DF3-A6E0-BD118812198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A324-4321-8199-47AA157AEA2D}"/>
                </c:ext>
              </c:extLst>
            </c:dLbl>
            <c:dLbl>
              <c:idx val="16"/>
              <c:tx>
                <c:rich>
                  <a:bodyPr/>
                  <a:lstStyle/>
                  <a:p>
                    <a:fld id="{979841BA-9BA9-4206-8EFC-89913F97B60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A324-4321-8199-47AA157AEA2D}"/>
                </c:ext>
              </c:extLst>
            </c:dLbl>
            <c:dLbl>
              <c:idx val="17"/>
              <c:tx>
                <c:rich>
                  <a:bodyPr/>
                  <a:lstStyle/>
                  <a:p>
                    <a:fld id="{8C382A5C-A9BA-4130-B47D-AE11950AD8D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A324-4321-8199-47AA157AEA2D}"/>
                </c:ext>
              </c:extLst>
            </c:dLbl>
            <c:dLbl>
              <c:idx val="18"/>
              <c:tx>
                <c:rich>
                  <a:bodyPr/>
                  <a:lstStyle/>
                  <a:p>
                    <a:fld id="{04068DFC-7D8F-4DE6-A765-6CDAEBFB14A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A324-4321-8199-47AA157AEA2D}"/>
                </c:ext>
              </c:extLst>
            </c:dLbl>
            <c:dLbl>
              <c:idx val="19"/>
              <c:tx>
                <c:rich>
                  <a:bodyPr/>
                  <a:lstStyle/>
                  <a:p>
                    <a:fld id="{2552F682-C7D9-46C1-AEEF-D4B075DDA49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A324-4321-8199-47AA157AEA2D}"/>
                </c:ext>
              </c:extLst>
            </c:dLbl>
            <c:dLbl>
              <c:idx val="20"/>
              <c:tx>
                <c:rich>
                  <a:bodyPr/>
                  <a:lstStyle/>
                  <a:p>
                    <a:fld id="{E1EFE250-516C-4399-A9E6-A8F81F5B2C1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A324-4321-8199-47AA157AEA2D}"/>
                </c:ext>
              </c:extLst>
            </c:dLbl>
            <c:dLbl>
              <c:idx val="21"/>
              <c:tx>
                <c:rich>
                  <a:bodyPr/>
                  <a:lstStyle/>
                  <a:p>
                    <a:fld id="{0B7C72B6-02F3-442E-AFC4-FF863564BBA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A324-4321-8199-47AA157AEA2D}"/>
                </c:ext>
              </c:extLst>
            </c:dLbl>
            <c:dLbl>
              <c:idx val="22"/>
              <c:tx>
                <c:rich>
                  <a:bodyPr/>
                  <a:lstStyle/>
                  <a:p>
                    <a:fld id="{1F9BF70B-70A8-4C61-86B2-AF466B1D70A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A324-4321-8199-47AA157AEA2D}"/>
                </c:ext>
              </c:extLst>
            </c:dLbl>
            <c:dLbl>
              <c:idx val="23"/>
              <c:tx>
                <c:rich>
                  <a:bodyPr/>
                  <a:lstStyle/>
                  <a:p>
                    <a:fld id="{E0977397-323E-4A27-9C17-0C6FBB5FE90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A324-4321-8199-47AA157AEA2D}"/>
                </c:ext>
              </c:extLst>
            </c:dLbl>
            <c:dLbl>
              <c:idx val="24"/>
              <c:tx>
                <c:rich>
                  <a:bodyPr/>
                  <a:lstStyle/>
                  <a:p>
                    <a:fld id="{7D57BBFF-4554-4777-985D-AEDCC2802FD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A324-4321-8199-47AA157AEA2D}"/>
                </c:ext>
              </c:extLst>
            </c:dLbl>
            <c:dLbl>
              <c:idx val="25"/>
              <c:tx>
                <c:rich>
                  <a:bodyPr/>
                  <a:lstStyle/>
                  <a:p>
                    <a:fld id="{507C6D68-9B77-4A7C-B439-B0C647331FB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A324-4321-8199-47AA157AEA2D}"/>
                </c:ext>
              </c:extLst>
            </c:dLbl>
            <c:dLbl>
              <c:idx val="26"/>
              <c:tx>
                <c:rich>
                  <a:bodyPr/>
                  <a:lstStyle/>
                  <a:p>
                    <a:fld id="{B00E7686-EA8A-4E21-A313-30A022EB1C9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A324-4321-8199-47AA157AEA2D}"/>
                </c:ext>
              </c:extLst>
            </c:dLbl>
            <c:dLbl>
              <c:idx val="27"/>
              <c:tx>
                <c:rich>
                  <a:bodyPr/>
                  <a:lstStyle/>
                  <a:p>
                    <a:fld id="{9E3B2076-65F7-4754-9363-0B315943D32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A324-4321-8199-47AA157AEA2D}"/>
                </c:ext>
              </c:extLst>
            </c:dLbl>
            <c:dLbl>
              <c:idx val="28"/>
              <c:tx>
                <c:rich>
                  <a:bodyPr/>
                  <a:lstStyle/>
                  <a:p>
                    <a:fld id="{9B52F7F2-05BF-4E03-8858-4AEE5F45374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A324-4321-8199-47AA157AEA2D}"/>
                </c:ext>
              </c:extLst>
            </c:dLbl>
            <c:dLbl>
              <c:idx val="29"/>
              <c:tx>
                <c:rich>
                  <a:bodyPr/>
                  <a:lstStyle/>
                  <a:p>
                    <a:fld id="{139A5083-7F37-40E1-B54D-21372F4780F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A324-4321-8199-47AA157AEA2D}"/>
                </c:ext>
              </c:extLst>
            </c:dLbl>
            <c:dLbl>
              <c:idx val="30"/>
              <c:tx>
                <c:rich>
                  <a:bodyPr/>
                  <a:lstStyle/>
                  <a:p>
                    <a:fld id="{8A615F13-5409-48F0-B7C5-D7673BA8CBB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A324-4321-8199-47AA157AEA2D}"/>
                </c:ext>
              </c:extLst>
            </c:dLbl>
            <c:dLbl>
              <c:idx val="31"/>
              <c:tx>
                <c:rich>
                  <a:bodyPr/>
                  <a:lstStyle/>
                  <a:p>
                    <a:fld id="{4BFB2603-7089-440A-8CA3-9EF67C8357C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4-A324-4321-8199-47AA157AEA2D}"/>
                </c:ext>
              </c:extLst>
            </c:dLbl>
            <c:dLbl>
              <c:idx val="32"/>
              <c:tx>
                <c:rich>
                  <a:bodyPr/>
                  <a:lstStyle/>
                  <a:p>
                    <a:fld id="{A889DA8A-DDC8-42BE-B1AE-845861E7D19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A324-4321-8199-47AA157AEA2D}"/>
                </c:ext>
              </c:extLst>
            </c:dLbl>
            <c:dLbl>
              <c:idx val="33"/>
              <c:tx>
                <c:rich>
                  <a:bodyPr/>
                  <a:lstStyle/>
                  <a:p>
                    <a:fld id="{91EB03C6-0035-410D-8BDF-7754F8D5469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A324-4321-8199-47AA157AEA2D}"/>
                </c:ext>
              </c:extLst>
            </c:dLbl>
            <c:dLbl>
              <c:idx val="34"/>
              <c:tx>
                <c:rich>
                  <a:bodyPr/>
                  <a:lstStyle/>
                  <a:p>
                    <a:fld id="{DA0E8E6C-6D57-49FD-AC1F-B37D3A9E0D4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7-A324-4321-8199-47AA157AEA2D}"/>
                </c:ext>
              </c:extLst>
            </c:dLbl>
            <c:dLbl>
              <c:idx val="35"/>
              <c:tx>
                <c:rich>
                  <a:bodyPr/>
                  <a:lstStyle/>
                  <a:p>
                    <a:fld id="{2C311521-447C-48C4-9840-5AD8C74865B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A324-4321-8199-47AA157AEA2D}"/>
                </c:ext>
              </c:extLst>
            </c:dLbl>
            <c:dLbl>
              <c:idx val="36"/>
              <c:tx>
                <c:rich>
                  <a:bodyPr/>
                  <a:lstStyle/>
                  <a:p>
                    <a:fld id="{93A007BE-A4D7-4FE9-8F08-86B31E53B37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A324-4321-8199-47AA157AEA2D}"/>
                </c:ext>
              </c:extLst>
            </c:dLbl>
            <c:dLbl>
              <c:idx val="37"/>
              <c:tx>
                <c:rich>
                  <a:bodyPr/>
                  <a:lstStyle/>
                  <a:p>
                    <a:fld id="{510106A4-76D2-486C-BC75-FA145CC32CD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A-A324-4321-8199-47AA157AEA2D}"/>
                </c:ext>
              </c:extLst>
            </c:dLbl>
            <c:dLbl>
              <c:idx val="38"/>
              <c:tx>
                <c:rich>
                  <a:bodyPr/>
                  <a:lstStyle/>
                  <a:p>
                    <a:fld id="{D6F1DB92-B762-4119-911D-DAE895F7E6E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A324-4321-8199-47AA157AEA2D}"/>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graf'!$AW$32:$AW$70</c:f>
              <c:numCache>
                <c:formatCode>General</c:formatCode>
                <c:ptCount val="39"/>
                <c:pt idx="0">
                  <c:v>55</c:v>
                </c:pt>
                <c:pt idx="1">
                  <c:v>55</c:v>
                </c:pt>
                <c:pt idx="2">
                  <c:v>55</c:v>
                </c:pt>
                <c:pt idx="3">
                  <c:v>55</c:v>
                </c:pt>
                <c:pt idx="4">
                  <c:v>55</c:v>
                </c:pt>
                <c:pt idx="5">
                  <c:v>55</c:v>
                </c:pt>
                <c:pt idx="6">
                  <c:v>55</c:v>
                </c:pt>
                <c:pt idx="7">
                  <c:v>55</c:v>
                </c:pt>
                <c:pt idx="8">
                  <c:v>55</c:v>
                </c:pt>
                <c:pt idx="9">
                  <c:v>55</c:v>
                </c:pt>
                <c:pt idx="10">
                  <c:v>55</c:v>
                </c:pt>
                <c:pt idx="11">
                  <c:v>55</c:v>
                </c:pt>
                <c:pt idx="12">
                  <c:v>55</c:v>
                </c:pt>
                <c:pt idx="13">
                  <c:v>55</c:v>
                </c:pt>
                <c:pt idx="14">
                  <c:v>55</c:v>
                </c:pt>
                <c:pt idx="15">
                  <c:v>55</c:v>
                </c:pt>
                <c:pt idx="16">
                  <c:v>55</c:v>
                </c:pt>
                <c:pt idx="17">
                  <c:v>55</c:v>
                </c:pt>
                <c:pt idx="18">
                  <c:v>55</c:v>
                </c:pt>
                <c:pt idx="19">
                  <c:v>55</c:v>
                </c:pt>
                <c:pt idx="20">
                  <c:v>55</c:v>
                </c:pt>
                <c:pt idx="21">
                  <c:v>55</c:v>
                </c:pt>
                <c:pt idx="22">
                  <c:v>55</c:v>
                </c:pt>
                <c:pt idx="23">
                  <c:v>55</c:v>
                </c:pt>
                <c:pt idx="24">
                  <c:v>55</c:v>
                </c:pt>
                <c:pt idx="25">
                  <c:v>55</c:v>
                </c:pt>
                <c:pt idx="26">
                  <c:v>55</c:v>
                </c:pt>
                <c:pt idx="27">
                  <c:v>55</c:v>
                </c:pt>
                <c:pt idx="28">
                  <c:v>55</c:v>
                </c:pt>
                <c:pt idx="29">
                  <c:v>55</c:v>
                </c:pt>
                <c:pt idx="30">
                  <c:v>55</c:v>
                </c:pt>
                <c:pt idx="31">
                  <c:v>55</c:v>
                </c:pt>
                <c:pt idx="32">
                  <c:v>55</c:v>
                </c:pt>
                <c:pt idx="33">
                  <c:v>55</c:v>
                </c:pt>
                <c:pt idx="34">
                  <c:v>55</c:v>
                </c:pt>
                <c:pt idx="35">
                  <c:v>55</c:v>
                </c:pt>
                <c:pt idx="36">
                  <c:v>55</c:v>
                </c:pt>
                <c:pt idx="37">
                  <c:v>55</c:v>
                </c:pt>
                <c:pt idx="38">
                  <c:v>55</c:v>
                </c:pt>
              </c:numCache>
            </c:numRef>
          </c:val>
          <c:smooth val="0"/>
          <c:extLst>
            <c:ext xmlns:c15="http://schemas.microsoft.com/office/drawing/2012/chart" uri="{02D57815-91ED-43cb-92C2-25804820EDAC}">
              <c15:datalabelsRange>
                <c15:f>'Prerađivačka_6 graf'!$E$32:$E$70</c15:f>
                <c15:dlblRangeCache>
                  <c:ptCount val="3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15:dlblRangeCache>
              </c15:datalabelsRange>
            </c:ext>
            <c:ext xmlns:c16="http://schemas.microsoft.com/office/drawing/2014/chart" uri="{C3380CC4-5D6E-409C-BE32-E72D297353CC}">
              <c16:uniqueId val="{0000002C-A324-4321-8199-47AA157AEA2D}"/>
            </c:ext>
          </c:extLst>
        </c:ser>
        <c:ser>
          <c:idx val="0"/>
          <c:order val="2"/>
          <c:tx>
            <c:strRef>
              <c:f>'Prerađivačka_6 graf'!$AX$7</c:f>
              <c:strCache>
                <c:ptCount val="1"/>
                <c:pt idx="0">
                  <c:v>y</c:v>
                </c:pt>
              </c:strCache>
            </c:strRef>
          </c:tx>
          <c:spPr>
            <a:ln w="12700" cap="rnd">
              <a:solidFill>
                <a:srgbClr val="92278F"/>
              </a:solidFill>
              <a:prstDash val="sysDash"/>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graf'!$AX$32:$AX$70</c:f>
              <c:numCache>
                <c:formatCode>0.0</c:formatCode>
                <c:ptCount val="39"/>
                <c:pt idx="0">
                  <c:v>70.584277223000001</c:v>
                </c:pt>
                <c:pt idx="1">
                  <c:v>75.361668722999994</c:v>
                </c:pt>
                <c:pt idx="2">
                  <c:v>98.844902993999995</c:v>
                </c:pt>
                <c:pt idx="3">
                  <c:v>89.626556016999999</c:v>
                </c:pt>
                <c:pt idx="4">
                  <c:v>94.471234719999998</c:v>
                </c:pt>
                <c:pt idx="5">
                  <c:v>93.798362678000004</c:v>
                </c:pt>
                <c:pt idx="6">
                  <c:v>90.568576875999995</c:v>
                </c:pt>
                <c:pt idx="7">
                  <c:v>81.552091511</c:v>
                </c:pt>
                <c:pt idx="8">
                  <c:v>92.250756980999995</c:v>
                </c:pt>
                <c:pt idx="9">
                  <c:v>98.172030952</c:v>
                </c:pt>
                <c:pt idx="10">
                  <c:v>102.545699226</c:v>
                </c:pt>
                <c:pt idx="11">
                  <c:v>95.345968374999998</c:v>
                </c:pt>
                <c:pt idx="12">
                  <c:v>78.255018504000006</c:v>
                </c:pt>
                <c:pt idx="13">
                  <c:v>92.654480206000002</c:v>
                </c:pt>
                <c:pt idx="14">
                  <c:v>80.273634630000004</c:v>
                </c:pt>
                <c:pt idx="15">
                  <c:v>68.094650666999996</c:v>
                </c:pt>
                <c:pt idx="16">
                  <c:v>83.301558819999997</c:v>
                </c:pt>
                <c:pt idx="17">
                  <c:v>101.33452955</c:v>
                </c:pt>
                <c:pt idx="18">
                  <c:v>99.181339015000006</c:v>
                </c:pt>
                <c:pt idx="19">
                  <c:v>106.448357071</c:v>
                </c:pt>
                <c:pt idx="20">
                  <c:v>109.610855669</c:v>
                </c:pt>
                <c:pt idx="21">
                  <c:v>104.83346417</c:v>
                </c:pt>
                <c:pt idx="22">
                  <c:v>99.585062241000003</c:v>
                </c:pt>
                <c:pt idx="23">
                  <c:v>134.237972412</c:v>
                </c:pt>
                <c:pt idx="24">
                  <c:v>71.926605504999998</c:v>
                </c:pt>
                <c:pt idx="25">
                  <c:v>92.999053926000002</c:v>
                </c:pt>
                <c:pt idx="26">
                  <c:v>108.272058824</c:v>
                </c:pt>
                <c:pt idx="27">
                  <c:v>99.383200627999997</c:v>
                </c:pt>
                <c:pt idx="28">
                  <c:v>101.603678367</c:v>
                </c:pt>
                <c:pt idx="29">
                  <c:v>101.267242346</c:v>
                </c:pt>
                <c:pt idx="30">
                  <c:v>99.181339015000006</c:v>
                </c:pt>
                <c:pt idx="31">
                  <c:v>97.028148479999999</c:v>
                </c:pt>
                <c:pt idx="32">
                  <c:v>101.670965571</c:v>
                </c:pt>
                <c:pt idx="33">
                  <c:v>108.332398789</c:v>
                </c:pt>
                <c:pt idx="34">
                  <c:v>109.94729169</c:v>
                </c:pt>
                <c:pt idx="35">
                  <c:v>107.659526747</c:v>
                </c:pt>
                <c:pt idx="36">
                  <c:v>77.5</c:v>
                </c:pt>
                <c:pt idx="37">
                  <c:v>98.6</c:v>
                </c:pt>
                <c:pt idx="38">
                  <c:v>117.8</c:v>
                </c:pt>
              </c:numCache>
            </c:numRef>
          </c:val>
          <c:smooth val="0"/>
          <c:extLst>
            <c:ext xmlns:c16="http://schemas.microsoft.com/office/drawing/2014/chart" uri="{C3380CC4-5D6E-409C-BE32-E72D297353CC}">
              <c16:uniqueId val="{0000002D-A324-4321-8199-47AA157AEA2D}"/>
            </c:ext>
          </c:extLst>
        </c:ser>
        <c:ser>
          <c:idx val="1"/>
          <c:order val="3"/>
          <c:tx>
            <c:strRef>
              <c:f>'Prerađivačka_6 graf'!$AY$7</c:f>
              <c:strCache>
                <c:ptCount val="1"/>
                <c:pt idx="0">
                  <c:v>sa</c:v>
                </c:pt>
              </c:strCache>
            </c:strRef>
          </c:tx>
          <c:spPr>
            <a:ln w="22225" cap="rnd">
              <a:solidFill>
                <a:srgbClr val="25AAE1"/>
              </a:solidFill>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graf'!$AY$32:$AY$70</c:f>
              <c:numCache>
                <c:formatCode>0.0</c:formatCode>
                <c:ptCount val="39"/>
                <c:pt idx="0">
                  <c:v>90.511041727000006</c:v>
                </c:pt>
                <c:pt idx="1">
                  <c:v>79.170254721000006</c:v>
                </c:pt>
                <c:pt idx="2">
                  <c:v>92.771126570000007</c:v>
                </c:pt>
                <c:pt idx="3">
                  <c:v>94.079362644</c:v>
                </c:pt>
                <c:pt idx="4">
                  <c:v>94.212473930000002</c:v>
                </c:pt>
                <c:pt idx="5">
                  <c:v>91.755844053999994</c:v>
                </c:pt>
                <c:pt idx="6">
                  <c:v>90.953747827000001</c:v>
                </c:pt>
                <c:pt idx="7">
                  <c:v>82.022623205000002</c:v>
                </c:pt>
                <c:pt idx="8">
                  <c:v>88.276963494</c:v>
                </c:pt>
                <c:pt idx="9">
                  <c:v>91.147938940000003</c:v>
                </c:pt>
                <c:pt idx="10">
                  <c:v>96.732311343000006</c:v>
                </c:pt>
                <c:pt idx="11">
                  <c:v>91.07432378</c:v>
                </c:pt>
                <c:pt idx="12">
                  <c:v>101.179756602</c:v>
                </c:pt>
                <c:pt idx="13">
                  <c:v>94.080582552999999</c:v>
                </c:pt>
                <c:pt idx="14">
                  <c:v>74.296688205999999</c:v>
                </c:pt>
                <c:pt idx="15">
                  <c:v>71.287795525000007</c:v>
                </c:pt>
                <c:pt idx="16">
                  <c:v>84.829768787000006</c:v>
                </c:pt>
                <c:pt idx="17">
                  <c:v>96.549607277999996</c:v>
                </c:pt>
                <c:pt idx="18">
                  <c:v>98.750332178999997</c:v>
                </c:pt>
                <c:pt idx="19">
                  <c:v>108.55284084500001</c:v>
                </c:pt>
                <c:pt idx="20">
                  <c:v>103.497376731</c:v>
                </c:pt>
                <c:pt idx="21">
                  <c:v>98.267865784999998</c:v>
                </c:pt>
                <c:pt idx="22">
                  <c:v>93.617571021000003</c:v>
                </c:pt>
                <c:pt idx="23">
                  <c:v>126.10390033199999</c:v>
                </c:pt>
                <c:pt idx="24">
                  <c:v>95.345709280999998</c:v>
                </c:pt>
                <c:pt idx="25">
                  <c:v>99.266142177999996</c:v>
                </c:pt>
                <c:pt idx="26">
                  <c:v>99.389843307999996</c:v>
                </c:pt>
                <c:pt idx="27">
                  <c:v>104.05324640000001</c:v>
                </c:pt>
                <c:pt idx="28">
                  <c:v>100.948825747</c:v>
                </c:pt>
                <c:pt idx="29">
                  <c:v>96.321465043000003</c:v>
                </c:pt>
                <c:pt idx="30">
                  <c:v>100.01192677500001</c:v>
                </c:pt>
                <c:pt idx="31">
                  <c:v>97.105335695999997</c:v>
                </c:pt>
                <c:pt idx="32">
                  <c:v>96.107439237999998</c:v>
                </c:pt>
                <c:pt idx="33">
                  <c:v>102.586727039</c:v>
                </c:pt>
                <c:pt idx="34">
                  <c:v>101.74097534400001</c:v>
                </c:pt>
                <c:pt idx="35">
                  <c:v>100.79947845300001</c:v>
                </c:pt>
                <c:pt idx="36">
                  <c:v>100.73340706099999</c:v>
                </c:pt>
                <c:pt idx="37">
                  <c:v>105.563786236</c:v>
                </c:pt>
                <c:pt idx="38">
                  <c:v>108.511704905</c:v>
                </c:pt>
              </c:numCache>
            </c:numRef>
          </c:val>
          <c:smooth val="0"/>
          <c:extLst>
            <c:ext xmlns:c16="http://schemas.microsoft.com/office/drawing/2014/chart" uri="{C3380CC4-5D6E-409C-BE32-E72D297353CC}">
              <c16:uniqueId val="{0000002E-A324-4321-8199-47AA157AEA2D}"/>
            </c:ext>
          </c:extLst>
        </c:ser>
        <c:ser>
          <c:idx val="2"/>
          <c:order val="4"/>
          <c:tx>
            <c:strRef>
              <c:f>'Prerađivačka_6 graf'!$AZ$7</c:f>
              <c:strCache>
                <c:ptCount val="1"/>
                <c:pt idx="0">
                  <c:v>t</c:v>
                </c:pt>
              </c:strCache>
            </c:strRef>
          </c:tx>
          <c:spPr>
            <a:ln w="25400" cap="rnd">
              <a:solidFill>
                <a:srgbClr val="FF0000"/>
              </a:solidFill>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graf'!$AZ$32:$AZ$70</c:f>
              <c:numCache>
                <c:formatCode>0.0</c:formatCode>
                <c:ptCount val="39"/>
                <c:pt idx="0">
                  <c:v>86.489831482</c:v>
                </c:pt>
                <c:pt idx="1">
                  <c:v>88.810133367000006</c:v>
                </c:pt>
                <c:pt idx="2">
                  <c:v>91.043693806999997</c:v>
                </c:pt>
                <c:pt idx="3">
                  <c:v>92.290925005000005</c:v>
                </c:pt>
                <c:pt idx="4">
                  <c:v>92.246623799000005</c:v>
                </c:pt>
                <c:pt idx="5">
                  <c:v>91.329643610000005</c:v>
                </c:pt>
                <c:pt idx="6">
                  <c:v>90.234703048</c:v>
                </c:pt>
                <c:pt idx="7">
                  <c:v>89.563512815999999</c:v>
                </c:pt>
                <c:pt idx="8">
                  <c:v>89.776206306000006</c:v>
                </c:pt>
                <c:pt idx="9">
                  <c:v>90.940354278000001</c:v>
                </c:pt>
                <c:pt idx="10">
                  <c:v>92.319529516000003</c:v>
                </c:pt>
                <c:pt idx="11">
                  <c:v>92.921906411999998</c:v>
                </c:pt>
                <c:pt idx="12">
                  <c:v>92.304722757999997</c:v>
                </c:pt>
                <c:pt idx="13">
                  <c:v>90.773987668999993</c:v>
                </c:pt>
                <c:pt idx="14">
                  <c:v>89.410637159000004</c:v>
                </c:pt>
                <c:pt idx="15">
                  <c:v>89.503364403000006</c:v>
                </c:pt>
                <c:pt idx="16">
                  <c:v>91.400156183999997</c:v>
                </c:pt>
                <c:pt idx="17">
                  <c:v>94.511384079999999</c:v>
                </c:pt>
                <c:pt idx="18">
                  <c:v>97.875960914999993</c:v>
                </c:pt>
                <c:pt idx="19">
                  <c:v>100.514793345</c:v>
                </c:pt>
                <c:pt idx="20">
                  <c:v>101.629985397</c:v>
                </c:pt>
                <c:pt idx="21">
                  <c:v>101.140704384</c:v>
                </c:pt>
                <c:pt idx="22">
                  <c:v>99.913782729000005</c:v>
                </c:pt>
                <c:pt idx="23">
                  <c:v>99.009207570000001</c:v>
                </c:pt>
                <c:pt idx="24">
                  <c:v>98.927801544000005</c:v>
                </c:pt>
                <c:pt idx="25">
                  <c:v>99.44249327</c:v>
                </c:pt>
                <c:pt idx="26">
                  <c:v>100.13054364</c:v>
                </c:pt>
                <c:pt idx="27">
                  <c:v>100.30645687000001</c:v>
                </c:pt>
                <c:pt idx="28">
                  <c:v>99.888641399999997</c:v>
                </c:pt>
                <c:pt idx="29">
                  <c:v>99.217405225999997</c:v>
                </c:pt>
                <c:pt idx="30">
                  <c:v>98.64837661</c:v>
                </c:pt>
                <c:pt idx="31">
                  <c:v>98.391734928999995</c:v>
                </c:pt>
                <c:pt idx="32">
                  <c:v>98.648447071000007</c:v>
                </c:pt>
                <c:pt idx="33">
                  <c:v>99.399434853000002</c:v>
                </c:pt>
                <c:pt idx="34">
                  <c:v>100.457864339</c:v>
                </c:pt>
                <c:pt idx="35">
                  <c:v>101.712402422</c:v>
                </c:pt>
                <c:pt idx="36">
                  <c:v>103.34014945200001</c:v>
                </c:pt>
                <c:pt idx="37">
                  <c:v>105.32652894500001</c:v>
                </c:pt>
                <c:pt idx="38">
                  <c:v>107.313600628</c:v>
                </c:pt>
              </c:numCache>
            </c:numRef>
          </c:val>
          <c:smooth val="0"/>
          <c:extLst>
            <c:ext xmlns:c16="http://schemas.microsoft.com/office/drawing/2014/chart" uri="{C3380CC4-5D6E-409C-BE32-E72D297353CC}">
              <c16:uniqueId val="{0000002F-A324-4321-8199-47AA157AEA2D}"/>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2092165968"/>
        <c:crosses val="autoZero"/>
        <c:auto val="1"/>
        <c:lblOffset val="0"/>
        <c:baseTimeUnit val="months"/>
        <c:majorUnit val="12"/>
        <c:majorTimeUnit val="months"/>
      </c:dateAx>
      <c:valAx>
        <c:axId val="2092165968"/>
        <c:scaling>
          <c:orientation val="minMax"/>
          <c:max val="135"/>
          <c:min val="55"/>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80656"/>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graf'!$AK$7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7.6503598568012948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6FB-4A97-A195-8C81E803241E}"/>
                </c:ext>
              </c:extLst>
            </c:dLbl>
            <c:dLbl>
              <c:idx val="12"/>
              <c:layout>
                <c:manualLayout>
                  <c:x val="7.6490039401547069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6FB-4A97-A195-8C81E803241E}"/>
                </c:ext>
              </c:extLst>
            </c:dLbl>
            <c:dLbl>
              <c:idx val="24"/>
              <c:layout>
                <c:manualLayout>
                  <c:x val="7.9593002496624987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6FB-4A97-A195-8C81E803241E}"/>
                </c:ext>
              </c:extLst>
            </c:dLbl>
            <c:dLbl>
              <c:idx val="36"/>
              <c:layout>
                <c:manualLayout>
                  <c:x val="-3.0250000000001617E-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6FB-4A97-A195-8C81E803241E}"/>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graf'!$AK$32:$AK$70</c:f>
              <c:numCache>
                <c:formatCode>General</c:formatCode>
                <c:ptCount val="39"/>
                <c:pt idx="0">
                  <c:v>65</c:v>
                </c:pt>
                <c:pt idx="12">
                  <c:v>65</c:v>
                </c:pt>
                <c:pt idx="24">
                  <c:v>65</c:v>
                </c:pt>
                <c:pt idx="36">
                  <c:v>65</c:v>
                </c:pt>
              </c:numCache>
            </c:numRef>
          </c:val>
          <c:smooth val="0"/>
          <c:extLst>
            <c:ext xmlns:c16="http://schemas.microsoft.com/office/drawing/2014/chart" uri="{C3380CC4-5D6E-409C-BE32-E72D297353CC}">
              <c16:uniqueId val="{00000004-D6FB-4A97-A195-8C81E803241E}"/>
            </c:ext>
          </c:extLst>
        </c:ser>
        <c:ser>
          <c:idx val="4"/>
          <c:order val="1"/>
          <c:tx>
            <c:strRef>
              <c:f>'Prerađivačka_6 graf'!$AL$7</c:f>
              <c:strCache>
                <c:ptCount val="1"/>
                <c:pt idx="0">
                  <c:v>Series5</c:v>
                </c:pt>
              </c:strCache>
            </c:strRef>
          </c:tx>
          <c:spPr>
            <a:ln w="25400" cap="rnd">
              <a:noFill/>
              <a:round/>
            </a:ln>
            <a:effectLst/>
          </c:spPr>
          <c:marker>
            <c:symbol val="none"/>
          </c:marker>
          <c:dLbls>
            <c:dLbl>
              <c:idx val="0"/>
              <c:tx>
                <c:rich>
                  <a:bodyPr/>
                  <a:lstStyle/>
                  <a:p>
                    <a:fld id="{89DE37E7-B187-4A1B-8ED7-ED0B4933742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D6FB-4A97-A195-8C81E803241E}"/>
                </c:ext>
              </c:extLst>
            </c:dLbl>
            <c:dLbl>
              <c:idx val="1"/>
              <c:tx>
                <c:rich>
                  <a:bodyPr/>
                  <a:lstStyle/>
                  <a:p>
                    <a:fld id="{8CC8238B-9B34-4D6D-BA8E-34D75C15178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D6FB-4A97-A195-8C81E803241E}"/>
                </c:ext>
              </c:extLst>
            </c:dLbl>
            <c:dLbl>
              <c:idx val="2"/>
              <c:tx>
                <c:rich>
                  <a:bodyPr/>
                  <a:lstStyle/>
                  <a:p>
                    <a:fld id="{BABD56FE-7EE4-4B68-9F21-812CA434CA3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D6FB-4A97-A195-8C81E803241E}"/>
                </c:ext>
              </c:extLst>
            </c:dLbl>
            <c:dLbl>
              <c:idx val="3"/>
              <c:tx>
                <c:rich>
                  <a:bodyPr/>
                  <a:lstStyle/>
                  <a:p>
                    <a:fld id="{92F7EEF2-25F0-465C-9A1E-D817D14CD49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D6FB-4A97-A195-8C81E803241E}"/>
                </c:ext>
              </c:extLst>
            </c:dLbl>
            <c:dLbl>
              <c:idx val="4"/>
              <c:tx>
                <c:rich>
                  <a:bodyPr/>
                  <a:lstStyle/>
                  <a:p>
                    <a:fld id="{CD0B2A53-F072-4153-AF70-C51A5EED09B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D6FB-4A97-A195-8C81E803241E}"/>
                </c:ext>
              </c:extLst>
            </c:dLbl>
            <c:dLbl>
              <c:idx val="5"/>
              <c:tx>
                <c:rich>
                  <a:bodyPr/>
                  <a:lstStyle/>
                  <a:p>
                    <a:fld id="{33456B8A-626A-4B56-A50A-C81899BD4E9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D6FB-4A97-A195-8C81E803241E}"/>
                </c:ext>
              </c:extLst>
            </c:dLbl>
            <c:dLbl>
              <c:idx val="6"/>
              <c:tx>
                <c:rich>
                  <a:bodyPr/>
                  <a:lstStyle/>
                  <a:p>
                    <a:fld id="{3DA64947-6EB7-41CA-931D-0A8A335BFF4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D6FB-4A97-A195-8C81E803241E}"/>
                </c:ext>
              </c:extLst>
            </c:dLbl>
            <c:dLbl>
              <c:idx val="7"/>
              <c:tx>
                <c:rich>
                  <a:bodyPr/>
                  <a:lstStyle/>
                  <a:p>
                    <a:fld id="{159A3570-217F-4D5B-9D9E-92CE3F5924D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D6FB-4A97-A195-8C81E803241E}"/>
                </c:ext>
              </c:extLst>
            </c:dLbl>
            <c:dLbl>
              <c:idx val="8"/>
              <c:tx>
                <c:rich>
                  <a:bodyPr/>
                  <a:lstStyle/>
                  <a:p>
                    <a:fld id="{F4CC59C4-ED83-434B-87C9-0DC97BF596A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D6FB-4A97-A195-8C81E803241E}"/>
                </c:ext>
              </c:extLst>
            </c:dLbl>
            <c:dLbl>
              <c:idx val="9"/>
              <c:tx>
                <c:rich>
                  <a:bodyPr/>
                  <a:lstStyle/>
                  <a:p>
                    <a:fld id="{FB6C3EF3-6C71-46DE-A3AA-4FDD62AB919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D6FB-4A97-A195-8C81E803241E}"/>
                </c:ext>
              </c:extLst>
            </c:dLbl>
            <c:dLbl>
              <c:idx val="10"/>
              <c:tx>
                <c:rich>
                  <a:bodyPr/>
                  <a:lstStyle/>
                  <a:p>
                    <a:fld id="{7962591D-85B3-4F0A-9FB5-1CE4DCCA07E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D6FB-4A97-A195-8C81E803241E}"/>
                </c:ext>
              </c:extLst>
            </c:dLbl>
            <c:dLbl>
              <c:idx val="11"/>
              <c:tx>
                <c:rich>
                  <a:bodyPr/>
                  <a:lstStyle/>
                  <a:p>
                    <a:fld id="{32D2B7D7-733B-4724-9DB8-61F6C25777F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D6FB-4A97-A195-8C81E803241E}"/>
                </c:ext>
              </c:extLst>
            </c:dLbl>
            <c:dLbl>
              <c:idx val="12"/>
              <c:tx>
                <c:rich>
                  <a:bodyPr/>
                  <a:lstStyle/>
                  <a:p>
                    <a:fld id="{85D5A171-2FEF-4C70-B508-885521B117F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D6FB-4A97-A195-8C81E803241E}"/>
                </c:ext>
              </c:extLst>
            </c:dLbl>
            <c:dLbl>
              <c:idx val="13"/>
              <c:tx>
                <c:rich>
                  <a:bodyPr/>
                  <a:lstStyle/>
                  <a:p>
                    <a:fld id="{F21664E1-CA20-49A5-A126-08F56DA2F4F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D6FB-4A97-A195-8C81E803241E}"/>
                </c:ext>
              </c:extLst>
            </c:dLbl>
            <c:dLbl>
              <c:idx val="14"/>
              <c:tx>
                <c:rich>
                  <a:bodyPr/>
                  <a:lstStyle/>
                  <a:p>
                    <a:fld id="{8250401D-74A8-4CEC-A8AC-BF99F9F8FF3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D6FB-4A97-A195-8C81E803241E}"/>
                </c:ext>
              </c:extLst>
            </c:dLbl>
            <c:dLbl>
              <c:idx val="15"/>
              <c:tx>
                <c:rich>
                  <a:bodyPr/>
                  <a:lstStyle/>
                  <a:p>
                    <a:fld id="{2A76EF5C-8AAC-464E-82C7-B083DBCAE4B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D6FB-4A97-A195-8C81E803241E}"/>
                </c:ext>
              </c:extLst>
            </c:dLbl>
            <c:dLbl>
              <c:idx val="16"/>
              <c:tx>
                <c:rich>
                  <a:bodyPr/>
                  <a:lstStyle/>
                  <a:p>
                    <a:fld id="{1FCB388D-00DE-4DE9-B329-615A254AB18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D6FB-4A97-A195-8C81E803241E}"/>
                </c:ext>
              </c:extLst>
            </c:dLbl>
            <c:dLbl>
              <c:idx val="17"/>
              <c:tx>
                <c:rich>
                  <a:bodyPr/>
                  <a:lstStyle/>
                  <a:p>
                    <a:fld id="{6DFABB5B-0F5C-411B-BE6F-12F3F1D10EF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D6FB-4A97-A195-8C81E803241E}"/>
                </c:ext>
              </c:extLst>
            </c:dLbl>
            <c:dLbl>
              <c:idx val="18"/>
              <c:tx>
                <c:rich>
                  <a:bodyPr/>
                  <a:lstStyle/>
                  <a:p>
                    <a:fld id="{53B7F8A0-3456-4AE1-BD2B-C5C492A719C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D6FB-4A97-A195-8C81E803241E}"/>
                </c:ext>
              </c:extLst>
            </c:dLbl>
            <c:dLbl>
              <c:idx val="19"/>
              <c:tx>
                <c:rich>
                  <a:bodyPr/>
                  <a:lstStyle/>
                  <a:p>
                    <a:fld id="{F94A70A6-700B-4B75-9B1F-722DCDED189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D6FB-4A97-A195-8C81E803241E}"/>
                </c:ext>
              </c:extLst>
            </c:dLbl>
            <c:dLbl>
              <c:idx val="20"/>
              <c:tx>
                <c:rich>
                  <a:bodyPr/>
                  <a:lstStyle/>
                  <a:p>
                    <a:fld id="{4D7C5399-4FB2-4CB7-B9E0-CB18BC85D3B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D6FB-4A97-A195-8C81E803241E}"/>
                </c:ext>
              </c:extLst>
            </c:dLbl>
            <c:dLbl>
              <c:idx val="21"/>
              <c:tx>
                <c:rich>
                  <a:bodyPr/>
                  <a:lstStyle/>
                  <a:p>
                    <a:fld id="{F05EB263-4005-4A8D-8AB0-E65CD8097D6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D6FB-4A97-A195-8C81E803241E}"/>
                </c:ext>
              </c:extLst>
            </c:dLbl>
            <c:dLbl>
              <c:idx val="22"/>
              <c:tx>
                <c:rich>
                  <a:bodyPr/>
                  <a:lstStyle/>
                  <a:p>
                    <a:fld id="{C8E70141-8D73-4D3C-8C0E-4BA40E76134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D6FB-4A97-A195-8C81E803241E}"/>
                </c:ext>
              </c:extLst>
            </c:dLbl>
            <c:dLbl>
              <c:idx val="23"/>
              <c:tx>
                <c:rich>
                  <a:bodyPr/>
                  <a:lstStyle/>
                  <a:p>
                    <a:fld id="{60A57431-4227-4031-BFE3-94772134897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D6FB-4A97-A195-8C81E803241E}"/>
                </c:ext>
              </c:extLst>
            </c:dLbl>
            <c:dLbl>
              <c:idx val="24"/>
              <c:tx>
                <c:rich>
                  <a:bodyPr/>
                  <a:lstStyle/>
                  <a:p>
                    <a:fld id="{0133C7E2-D339-40E6-82F6-37A07BFF894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D6FB-4A97-A195-8C81E803241E}"/>
                </c:ext>
              </c:extLst>
            </c:dLbl>
            <c:dLbl>
              <c:idx val="25"/>
              <c:tx>
                <c:rich>
                  <a:bodyPr/>
                  <a:lstStyle/>
                  <a:p>
                    <a:fld id="{20446E23-F75B-4756-9638-9D6E0B72066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D6FB-4A97-A195-8C81E803241E}"/>
                </c:ext>
              </c:extLst>
            </c:dLbl>
            <c:dLbl>
              <c:idx val="26"/>
              <c:tx>
                <c:rich>
                  <a:bodyPr/>
                  <a:lstStyle/>
                  <a:p>
                    <a:fld id="{F8E25CEE-92F1-420E-ADD6-9484AC63315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D6FB-4A97-A195-8C81E803241E}"/>
                </c:ext>
              </c:extLst>
            </c:dLbl>
            <c:dLbl>
              <c:idx val="27"/>
              <c:tx>
                <c:rich>
                  <a:bodyPr/>
                  <a:lstStyle/>
                  <a:p>
                    <a:fld id="{BCBA50B6-E6C0-417C-A03D-001BEABF1E6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D6FB-4A97-A195-8C81E803241E}"/>
                </c:ext>
              </c:extLst>
            </c:dLbl>
            <c:dLbl>
              <c:idx val="28"/>
              <c:tx>
                <c:rich>
                  <a:bodyPr/>
                  <a:lstStyle/>
                  <a:p>
                    <a:fld id="{17376D8A-1CBB-418E-967E-30D48BA9350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D6FB-4A97-A195-8C81E803241E}"/>
                </c:ext>
              </c:extLst>
            </c:dLbl>
            <c:dLbl>
              <c:idx val="29"/>
              <c:tx>
                <c:rich>
                  <a:bodyPr/>
                  <a:lstStyle/>
                  <a:p>
                    <a:fld id="{C4441C27-360F-4B4A-A484-F7D62F5DD34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D6FB-4A97-A195-8C81E803241E}"/>
                </c:ext>
              </c:extLst>
            </c:dLbl>
            <c:dLbl>
              <c:idx val="30"/>
              <c:tx>
                <c:rich>
                  <a:bodyPr/>
                  <a:lstStyle/>
                  <a:p>
                    <a:fld id="{CA83E6A2-DE68-41BB-AD0A-DBCBC1F3EF7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D6FB-4A97-A195-8C81E803241E}"/>
                </c:ext>
              </c:extLst>
            </c:dLbl>
            <c:dLbl>
              <c:idx val="31"/>
              <c:tx>
                <c:rich>
                  <a:bodyPr/>
                  <a:lstStyle/>
                  <a:p>
                    <a:fld id="{852EB21D-9312-4A8C-AB8F-F1149142D25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4-D6FB-4A97-A195-8C81E803241E}"/>
                </c:ext>
              </c:extLst>
            </c:dLbl>
            <c:dLbl>
              <c:idx val="32"/>
              <c:tx>
                <c:rich>
                  <a:bodyPr/>
                  <a:lstStyle/>
                  <a:p>
                    <a:fld id="{3487FBA4-1CD9-4470-AA9B-3BFB1309708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D6FB-4A97-A195-8C81E803241E}"/>
                </c:ext>
              </c:extLst>
            </c:dLbl>
            <c:dLbl>
              <c:idx val="33"/>
              <c:tx>
                <c:rich>
                  <a:bodyPr/>
                  <a:lstStyle/>
                  <a:p>
                    <a:fld id="{7F1DDACC-94B8-42A5-9BDE-AB24D27B895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D6FB-4A97-A195-8C81E803241E}"/>
                </c:ext>
              </c:extLst>
            </c:dLbl>
            <c:dLbl>
              <c:idx val="34"/>
              <c:tx>
                <c:rich>
                  <a:bodyPr/>
                  <a:lstStyle/>
                  <a:p>
                    <a:fld id="{9E85DE9D-50FF-4F7C-ACC9-BCF2127F1AA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7-D6FB-4A97-A195-8C81E803241E}"/>
                </c:ext>
              </c:extLst>
            </c:dLbl>
            <c:dLbl>
              <c:idx val="35"/>
              <c:tx>
                <c:rich>
                  <a:bodyPr/>
                  <a:lstStyle/>
                  <a:p>
                    <a:fld id="{08EA92CF-AA87-4859-9996-6161DA53741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D6FB-4A97-A195-8C81E803241E}"/>
                </c:ext>
              </c:extLst>
            </c:dLbl>
            <c:dLbl>
              <c:idx val="36"/>
              <c:tx>
                <c:rich>
                  <a:bodyPr/>
                  <a:lstStyle/>
                  <a:p>
                    <a:fld id="{46A124CE-2D2D-4769-94BE-6B1C07C3B5D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D6FB-4A97-A195-8C81E803241E}"/>
                </c:ext>
              </c:extLst>
            </c:dLbl>
            <c:dLbl>
              <c:idx val="37"/>
              <c:tx>
                <c:rich>
                  <a:bodyPr/>
                  <a:lstStyle/>
                  <a:p>
                    <a:fld id="{5335ACB4-996C-4AD3-BA8B-10118273294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A-D6FB-4A97-A195-8C81E803241E}"/>
                </c:ext>
              </c:extLst>
            </c:dLbl>
            <c:dLbl>
              <c:idx val="38"/>
              <c:tx>
                <c:rich>
                  <a:bodyPr/>
                  <a:lstStyle/>
                  <a:p>
                    <a:fld id="{9D88A4AD-7069-4C26-A643-A6FF3DCB63F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D6FB-4A97-A195-8C81E803241E}"/>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graf'!$AL$32:$AL$70</c:f>
              <c:numCache>
                <c:formatCode>General</c:formatCode>
                <c:ptCount val="39"/>
                <c:pt idx="0">
                  <c:v>65</c:v>
                </c:pt>
                <c:pt idx="1">
                  <c:v>65</c:v>
                </c:pt>
                <c:pt idx="2">
                  <c:v>65</c:v>
                </c:pt>
                <c:pt idx="3">
                  <c:v>65</c:v>
                </c:pt>
                <c:pt idx="4">
                  <c:v>65</c:v>
                </c:pt>
                <c:pt idx="5">
                  <c:v>65</c:v>
                </c:pt>
                <c:pt idx="6">
                  <c:v>65</c:v>
                </c:pt>
                <c:pt idx="7">
                  <c:v>65</c:v>
                </c:pt>
                <c:pt idx="8">
                  <c:v>65</c:v>
                </c:pt>
                <c:pt idx="9">
                  <c:v>65</c:v>
                </c:pt>
                <c:pt idx="10">
                  <c:v>65</c:v>
                </c:pt>
                <c:pt idx="11">
                  <c:v>65</c:v>
                </c:pt>
                <c:pt idx="12">
                  <c:v>65</c:v>
                </c:pt>
                <c:pt idx="13">
                  <c:v>65</c:v>
                </c:pt>
                <c:pt idx="14">
                  <c:v>65</c:v>
                </c:pt>
                <c:pt idx="15">
                  <c:v>65</c:v>
                </c:pt>
                <c:pt idx="16">
                  <c:v>65</c:v>
                </c:pt>
                <c:pt idx="17">
                  <c:v>65</c:v>
                </c:pt>
                <c:pt idx="18">
                  <c:v>65</c:v>
                </c:pt>
                <c:pt idx="19">
                  <c:v>65</c:v>
                </c:pt>
                <c:pt idx="20">
                  <c:v>65</c:v>
                </c:pt>
                <c:pt idx="21">
                  <c:v>65</c:v>
                </c:pt>
                <c:pt idx="22">
                  <c:v>65</c:v>
                </c:pt>
                <c:pt idx="23">
                  <c:v>65</c:v>
                </c:pt>
                <c:pt idx="24">
                  <c:v>65</c:v>
                </c:pt>
                <c:pt idx="25">
                  <c:v>65</c:v>
                </c:pt>
                <c:pt idx="26">
                  <c:v>65</c:v>
                </c:pt>
                <c:pt idx="27">
                  <c:v>65</c:v>
                </c:pt>
                <c:pt idx="28">
                  <c:v>65</c:v>
                </c:pt>
                <c:pt idx="29">
                  <c:v>65</c:v>
                </c:pt>
                <c:pt idx="30">
                  <c:v>65</c:v>
                </c:pt>
                <c:pt idx="31">
                  <c:v>65</c:v>
                </c:pt>
                <c:pt idx="32">
                  <c:v>65</c:v>
                </c:pt>
                <c:pt idx="33">
                  <c:v>65</c:v>
                </c:pt>
                <c:pt idx="34">
                  <c:v>65</c:v>
                </c:pt>
                <c:pt idx="35">
                  <c:v>65</c:v>
                </c:pt>
                <c:pt idx="36">
                  <c:v>65</c:v>
                </c:pt>
                <c:pt idx="37">
                  <c:v>65</c:v>
                </c:pt>
                <c:pt idx="38">
                  <c:v>65</c:v>
                </c:pt>
              </c:numCache>
            </c:numRef>
          </c:val>
          <c:smooth val="0"/>
          <c:extLst>
            <c:ext xmlns:c15="http://schemas.microsoft.com/office/drawing/2012/chart" uri="{02D57815-91ED-43cb-92C2-25804820EDAC}">
              <c15:datalabelsRange>
                <c15:f>'Prerađivačka_6 graf'!$E$32:$E$70</c15:f>
                <c15:dlblRangeCache>
                  <c:ptCount val="3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15:dlblRangeCache>
              </c15:datalabelsRange>
            </c:ext>
            <c:ext xmlns:c16="http://schemas.microsoft.com/office/drawing/2014/chart" uri="{C3380CC4-5D6E-409C-BE32-E72D297353CC}">
              <c16:uniqueId val="{0000002C-D6FB-4A97-A195-8C81E803241E}"/>
            </c:ext>
          </c:extLst>
        </c:ser>
        <c:ser>
          <c:idx val="0"/>
          <c:order val="2"/>
          <c:tx>
            <c:strRef>
              <c:f>'Prerađivačka_6 graf'!$AM$7</c:f>
              <c:strCache>
                <c:ptCount val="1"/>
                <c:pt idx="0">
                  <c:v>y</c:v>
                </c:pt>
              </c:strCache>
            </c:strRef>
          </c:tx>
          <c:spPr>
            <a:ln w="12700" cap="rnd">
              <a:solidFill>
                <a:srgbClr val="92278F"/>
              </a:solidFill>
              <a:prstDash val="sysDash"/>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graf'!$AM$32:$AM$70</c:f>
              <c:numCache>
                <c:formatCode>0.0</c:formatCode>
                <c:ptCount val="39"/>
                <c:pt idx="0">
                  <c:v>92.989484226339542</c:v>
                </c:pt>
                <c:pt idx="1">
                  <c:v>97.346019028542841</c:v>
                </c:pt>
                <c:pt idx="2">
                  <c:v>123.25988983475216</c:v>
                </c:pt>
                <c:pt idx="3">
                  <c:v>120.63094641962948</c:v>
                </c:pt>
                <c:pt idx="4">
                  <c:v>129.94491737606413</c:v>
                </c:pt>
                <c:pt idx="5">
                  <c:v>113.34501752628947</c:v>
                </c:pt>
                <c:pt idx="6">
                  <c:v>114.92238357536309</c:v>
                </c:pt>
                <c:pt idx="7">
                  <c:v>82.323485227841786</c:v>
                </c:pt>
                <c:pt idx="8">
                  <c:v>117.85177766649979</c:v>
                </c:pt>
                <c:pt idx="9">
                  <c:v>120.18027040560844</c:v>
                </c:pt>
                <c:pt idx="10">
                  <c:v>111.61742613920885</c:v>
                </c:pt>
                <c:pt idx="11">
                  <c:v>110.56584877315976</c:v>
                </c:pt>
                <c:pt idx="12">
                  <c:v>97.346019028542841</c:v>
                </c:pt>
                <c:pt idx="13">
                  <c:v>89.909864797195809</c:v>
                </c:pt>
                <c:pt idx="14">
                  <c:v>90.736104156234376</c:v>
                </c:pt>
                <c:pt idx="15">
                  <c:v>89.984977466199325</c:v>
                </c:pt>
                <c:pt idx="16">
                  <c:v>91.412118177265924</c:v>
                </c:pt>
                <c:pt idx="17">
                  <c:v>96.36955433149727</c:v>
                </c:pt>
                <c:pt idx="18">
                  <c:v>98.24737105658491</c:v>
                </c:pt>
                <c:pt idx="19">
                  <c:v>95.693540310465735</c:v>
                </c:pt>
                <c:pt idx="20">
                  <c:v>92.01301952929397</c:v>
                </c:pt>
                <c:pt idx="21">
                  <c:v>73.760640961442178</c:v>
                </c:pt>
                <c:pt idx="22">
                  <c:v>79.018527791687561</c:v>
                </c:pt>
                <c:pt idx="23">
                  <c:v>105.45818728092142</c:v>
                </c:pt>
                <c:pt idx="24">
                  <c:v>98.132586367880478</c:v>
                </c:pt>
                <c:pt idx="25">
                  <c:v>91.815856777493607</c:v>
                </c:pt>
                <c:pt idx="26">
                  <c:v>105.67853705486043</c:v>
                </c:pt>
                <c:pt idx="27">
                  <c:v>97.421131697546343</c:v>
                </c:pt>
                <c:pt idx="28">
                  <c:v>97.195793690535837</c:v>
                </c:pt>
                <c:pt idx="29">
                  <c:v>96.59489233850779</c:v>
                </c:pt>
                <c:pt idx="30">
                  <c:v>102.07811717576367</c:v>
                </c:pt>
                <c:pt idx="31">
                  <c:v>105.2328492739109</c:v>
                </c:pt>
                <c:pt idx="32">
                  <c:v>106.735102653981</c:v>
                </c:pt>
                <c:pt idx="33">
                  <c:v>94.71707561342015</c:v>
                </c:pt>
                <c:pt idx="34">
                  <c:v>92.989484226339542</c:v>
                </c:pt>
                <c:pt idx="35">
                  <c:v>110.49073610415626</c:v>
                </c:pt>
                <c:pt idx="36">
                  <c:v>104.1</c:v>
                </c:pt>
                <c:pt idx="37">
                  <c:v>101.5</c:v>
                </c:pt>
                <c:pt idx="38">
                  <c:v>109.8</c:v>
                </c:pt>
              </c:numCache>
            </c:numRef>
          </c:val>
          <c:smooth val="0"/>
          <c:extLst>
            <c:ext xmlns:c16="http://schemas.microsoft.com/office/drawing/2014/chart" uri="{C3380CC4-5D6E-409C-BE32-E72D297353CC}">
              <c16:uniqueId val="{0000002D-D6FB-4A97-A195-8C81E803241E}"/>
            </c:ext>
          </c:extLst>
        </c:ser>
        <c:ser>
          <c:idx val="1"/>
          <c:order val="3"/>
          <c:tx>
            <c:strRef>
              <c:f>'Prerađivačka_6 graf'!$AN$7</c:f>
              <c:strCache>
                <c:ptCount val="1"/>
                <c:pt idx="0">
                  <c:v>sa</c:v>
                </c:pt>
              </c:strCache>
            </c:strRef>
          </c:tx>
          <c:spPr>
            <a:ln w="22225" cap="rnd">
              <a:solidFill>
                <a:srgbClr val="25AAE1"/>
              </a:solidFill>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graf'!$AN$32:$AN$70</c:f>
              <c:numCache>
                <c:formatCode>0.0</c:formatCode>
                <c:ptCount val="39"/>
                <c:pt idx="0">
                  <c:v>100.36273189198083</c:v>
                </c:pt>
                <c:pt idx="1">
                  <c:v>105.84238436289381</c:v>
                </c:pt>
                <c:pt idx="2">
                  <c:v>122.95437111498299</c:v>
                </c:pt>
                <c:pt idx="3">
                  <c:v>117.31003693436664</c:v>
                </c:pt>
                <c:pt idx="4">
                  <c:v>123.47377911096109</c:v>
                </c:pt>
                <c:pt idx="5">
                  <c:v>115.01659722732914</c:v>
                </c:pt>
                <c:pt idx="6">
                  <c:v>109.52222888413235</c:v>
                </c:pt>
                <c:pt idx="7">
                  <c:v>80.761219815124022</c:v>
                </c:pt>
                <c:pt idx="8">
                  <c:v>121.47233885863488</c:v>
                </c:pt>
                <c:pt idx="9">
                  <c:v>116.95776232034579</c:v>
                </c:pt>
                <c:pt idx="10">
                  <c:v>116.5273252741612</c:v>
                </c:pt>
                <c:pt idx="11">
                  <c:v>106.15932940672455</c:v>
                </c:pt>
                <c:pt idx="12">
                  <c:v>102.91345773600723</c:v>
                </c:pt>
                <c:pt idx="13">
                  <c:v>95.29501573463331</c:v>
                </c:pt>
                <c:pt idx="14">
                  <c:v>87.924434502354885</c:v>
                </c:pt>
                <c:pt idx="15">
                  <c:v>88.541511511571031</c:v>
                </c:pt>
                <c:pt idx="16">
                  <c:v>89.773899954861562</c:v>
                </c:pt>
                <c:pt idx="17">
                  <c:v>94.117330570530953</c:v>
                </c:pt>
                <c:pt idx="18">
                  <c:v>94.306817440972736</c:v>
                </c:pt>
                <c:pt idx="19">
                  <c:v>95.35096515369662</c:v>
                </c:pt>
                <c:pt idx="20">
                  <c:v>91.07367079102076</c:v>
                </c:pt>
                <c:pt idx="21">
                  <c:v>73.889872367941791</c:v>
                </c:pt>
                <c:pt idx="22">
                  <c:v>83.756403511848632</c:v>
                </c:pt>
                <c:pt idx="23">
                  <c:v>99.003017063902632</c:v>
                </c:pt>
                <c:pt idx="24">
                  <c:v>104.57919441252881</c:v>
                </c:pt>
                <c:pt idx="25">
                  <c:v>99.437554627749222</c:v>
                </c:pt>
                <c:pt idx="26">
                  <c:v>100.55717857742349</c:v>
                </c:pt>
                <c:pt idx="27">
                  <c:v>97.366536445543034</c:v>
                </c:pt>
                <c:pt idx="28">
                  <c:v>92.394514383843145</c:v>
                </c:pt>
                <c:pt idx="29">
                  <c:v>94.45153215941292</c:v>
                </c:pt>
                <c:pt idx="30">
                  <c:v>100.29952025255861</c:v>
                </c:pt>
                <c:pt idx="31">
                  <c:v>102.09563841276984</c:v>
                </c:pt>
                <c:pt idx="32">
                  <c:v>104.17262190133908</c:v>
                </c:pt>
                <c:pt idx="33">
                  <c:v>97.698142545045258</c:v>
                </c:pt>
                <c:pt idx="34">
                  <c:v>97.803141066817204</c:v>
                </c:pt>
                <c:pt idx="35">
                  <c:v>103.47778643149957</c:v>
                </c:pt>
                <c:pt idx="36">
                  <c:v>106.57695612683581</c:v>
                </c:pt>
                <c:pt idx="37">
                  <c:v>108.64826183299918</c:v>
                </c:pt>
                <c:pt idx="38">
                  <c:v>103.68663620686563</c:v>
                </c:pt>
              </c:numCache>
            </c:numRef>
          </c:val>
          <c:smooth val="0"/>
          <c:extLst>
            <c:ext xmlns:c16="http://schemas.microsoft.com/office/drawing/2014/chart" uri="{C3380CC4-5D6E-409C-BE32-E72D297353CC}">
              <c16:uniqueId val="{0000002E-D6FB-4A97-A195-8C81E803241E}"/>
            </c:ext>
          </c:extLst>
        </c:ser>
        <c:ser>
          <c:idx val="2"/>
          <c:order val="4"/>
          <c:tx>
            <c:strRef>
              <c:f>'Prerađivačka_6 graf'!$AO$7</c:f>
              <c:strCache>
                <c:ptCount val="1"/>
                <c:pt idx="0">
                  <c:v>t</c:v>
                </c:pt>
              </c:strCache>
            </c:strRef>
          </c:tx>
          <c:spPr>
            <a:ln w="25400" cap="rnd">
              <a:solidFill>
                <a:srgbClr val="FF0000"/>
              </a:solidFill>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graf'!$AO$32:$AO$70</c:f>
              <c:numCache>
                <c:formatCode>0.0</c:formatCode>
                <c:ptCount val="39"/>
                <c:pt idx="0">
                  <c:v>106.35319346506206</c:v>
                </c:pt>
                <c:pt idx="1">
                  <c:v>110.02719363367757</c:v>
                </c:pt>
                <c:pt idx="2">
                  <c:v>113.74688260672187</c:v>
                </c:pt>
                <c:pt idx="3">
                  <c:v>116.51118628313344</c:v>
                </c:pt>
                <c:pt idx="4">
                  <c:v>117.79449307926239</c:v>
                </c:pt>
                <c:pt idx="5">
                  <c:v>117.71483082818996</c:v>
                </c:pt>
                <c:pt idx="6">
                  <c:v>117.09183840656061</c:v>
                </c:pt>
                <c:pt idx="7">
                  <c:v>116.72563049366347</c:v>
                </c:pt>
                <c:pt idx="8">
                  <c:v>116.57202287773467</c:v>
                </c:pt>
                <c:pt idx="9">
                  <c:v>115.65026936881399</c:v>
                </c:pt>
                <c:pt idx="10">
                  <c:v>112.80478977016249</c:v>
                </c:pt>
                <c:pt idx="11">
                  <c:v>107.90927581309408</c:v>
                </c:pt>
                <c:pt idx="12">
                  <c:v>101.71177763412376</c:v>
                </c:pt>
                <c:pt idx="13">
                  <c:v>95.9073949714127</c:v>
                </c:pt>
                <c:pt idx="14">
                  <c:v>91.991570413534291</c:v>
                </c:pt>
                <c:pt idx="15">
                  <c:v>90.377329243807438</c:v>
                </c:pt>
                <c:pt idx="16">
                  <c:v>90.618400516729849</c:v>
                </c:pt>
                <c:pt idx="17">
                  <c:v>91.589186200447983</c:v>
                </c:pt>
                <c:pt idx="18">
                  <c:v>92.214556543732868</c:v>
                </c:pt>
                <c:pt idx="19">
                  <c:v>92.327966341432131</c:v>
                </c:pt>
                <c:pt idx="20">
                  <c:v>92.205309988073509</c:v>
                </c:pt>
                <c:pt idx="21">
                  <c:v>92.582207652604382</c:v>
                </c:pt>
                <c:pt idx="22">
                  <c:v>94.006607485605286</c:v>
                </c:pt>
                <c:pt idx="23">
                  <c:v>96.155794467553463</c:v>
                </c:pt>
                <c:pt idx="24">
                  <c:v>98.09187211900813</c:v>
                </c:pt>
                <c:pt idx="25">
                  <c:v>98.959137835431719</c:v>
                </c:pt>
                <c:pt idx="26">
                  <c:v>98.568107945035976</c:v>
                </c:pt>
                <c:pt idx="27">
                  <c:v>97.598806343268549</c:v>
                </c:pt>
                <c:pt idx="28">
                  <c:v>97.020195111626947</c:v>
                </c:pt>
                <c:pt idx="29">
                  <c:v>97.27752753096533</c:v>
                </c:pt>
                <c:pt idx="30">
                  <c:v>98.246825129836282</c:v>
                </c:pt>
                <c:pt idx="31">
                  <c:v>99.3076045684832</c:v>
                </c:pt>
                <c:pt idx="32">
                  <c:v>100.29255744049422</c:v>
                </c:pt>
                <c:pt idx="33">
                  <c:v>101.14055859477598</c:v>
                </c:pt>
                <c:pt idx="34">
                  <c:v>101.94856033878833</c:v>
                </c:pt>
                <c:pt idx="35">
                  <c:v>102.9853657591614</c:v>
                </c:pt>
                <c:pt idx="36">
                  <c:v>104.40260005871869</c:v>
                </c:pt>
                <c:pt idx="37">
                  <c:v>105.94759189484547</c:v>
                </c:pt>
                <c:pt idx="38">
                  <c:v>107.04663298546693</c:v>
                </c:pt>
              </c:numCache>
            </c:numRef>
          </c:val>
          <c:smooth val="0"/>
          <c:extLst>
            <c:ext xmlns:c16="http://schemas.microsoft.com/office/drawing/2014/chart" uri="{C3380CC4-5D6E-409C-BE32-E72D297353CC}">
              <c16:uniqueId val="{0000002F-D6FB-4A97-A195-8C81E803241E}"/>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2092165968"/>
        <c:crosses val="autoZero"/>
        <c:auto val="1"/>
        <c:lblOffset val="0"/>
        <c:baseTimeUnit val="months"/>
        <c:majorUnit val="12"/>
        <c:majorTimeUnit val="months"/>
      </c:dateAx>
      <c:valAx>
        <c:axId val="2092165968"/>
        <c:scaling>
          <c:orientation val="minMax"/>
          <c:min val="65"/>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80656"/>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graf'!$BF$7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7.6601648070889428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7AB-4397-9ADC-3B0CBF04231D}"/>
                </c:ext>
              </c:extLst>
            </c:dLbl>
            <c:dLbl>
              <c:idx val="12"/>
              <c:layout>
                <c:manualLayout>
                  <c:x val="8.0941164856449033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7AB-4397-9ADC-3B0CBF04231D}"/>
                </c:ext>
              </c:extLst>
            </c:dLbl>
            <c:dLbl>
              <c:idx val="24"/>
              <c:layout>
                <c:manualLayout>
                  <c:x val="7.9457581258181781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7AB-4397-9ADC-3B0CBF04231D}"/>
                </c:ext>
              </c:extLst>
            </c:dLbl>
            <c:dLbl>
              <c:idx val="36"/>
              <c:layout>
                <c:manualLayout>
                  <c:x val="-3.0352615770103055E-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7AB-4397-9ADC-3B0CBF04231D}"/>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graf'!$BF$32:$BF$70</c:f>
              <c:numCache>
                <c:formatCode>General</c:formatCode>
                <c:ptCount val="39"/>
                <c:pt idx="0">
                  <c:v>60</c:v>
                </c:pt>
                <c:pt idx="12">
                  <c:v>60</c:v>
                </c:pt>
                <c:pt idx="24">
                  <c:v>60</c:v>
                </c:pt>
                <c:pt idx="36">
                  <c:v>60</c:v>
                </c:pt>
              </c:numCache>
            </c:numRef>
          </c:val>
          <c:smooth val="0"/>
          <c:extLst>
            <c:ext xmlns:c16="http://schemas.microsoft.com/office/drawing/2014/chart" uri="{C3380CC4-5D6E-409C-BE32-E72D297353CC}">
              <c16:uniqueId val="{00000004-E7AB-4397-9ADC-3B0CBF04231D}"/>
            </c:ext>
          </c:extLst>
        </c:ser>
        <c:ser>
          <c:idx val="4"/>
          <c:order val="1"/>
          <c:tx>
            <c:strRef>
              <c:f>'Prerađivačka_6 graf'!$BG$7</c:f>
              <c:strCache>
                <c:ptCount val="1"/>
                <c:pt idx="0">
                  <c:v>Series5</c:v>
                </c:pt>
              </c:strCache>
            </c:strRef>
          </c:tx>
          <c:spPr>
            <a:ln w="25400" cap="rnd">
              <a:noFill/>
              <a:round/>
            </a:ln>
            <a:effectLst/>
          </c:spPr>
          <c:marker>
            <c:symbol val="none"/>
          </c:marker>
          <c:dLbls>
            <c:dLbl>
              <c:idx val="0"/>
              <c:tx>
                <c:rich>
                  <a:bodyPr/>
                  <a:lstStyle/>
                  <a:p>
                    <a:fld id="{14B0F7BD-2C2B-4E9E-B507-A6A89022D0DC}"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E7AB-4397-9ADC-3B0CBF04231D}"/>
                </c:ext>
              </c:extLst>
            </c:dLbl>
            <c:dLbl>
              <c:idx val="1"/>
              <c:tx>
                <c:rich>
                  <a:bodyPr/>
                  <a:lstStyle/>
                  <a:p>
                    <a:fld id="{6407272D-51AA-4DBD-A40C-DDC2A39C002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E7AB-4397-9ADC-3B0CBF04231D}"/>
                </c:ext>
              </c:extLst>
            </c:dLbl>
            <c:dLbl>
              <c:idx val="2"/>
              <c:tx>
                <c:rich>
                  <a:bodyPr/>
                  <a:lstStyle/>
                  <a:p>
                    <a:fld id="{28C720AD-1454-4221-85B6-9B076BEE1BC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E7AB-4397-9ADC-3B0CBF04231D}"/>
                </c:ext>
              </c:extLst>
            </c:dLbl>
            <c:dLbl>
              <c:idx val="3"/>
              <c:tx>
                <c:rich>
                  <a:bodyPr/>
                  <a:lstStyle/>
                  <a:p>
                    <a:fld id="{B6829ACE-ED87-47D9-8CEA-1D28959C0CB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E7AB-4397-9ADC-3B0CBF04231D}"/>
                </c:ext>
              </c:extLst>
            </c:dLbl>
            <c:dLbl>
              <c:idx val="4"/>
              <c:tx>
                <c:rich>
                  <a:bodyPr/>
                  <a:lstStyle/>
                  <a:p>
                    <a:fld id="{D8E57BA5-57C4-4FC4-B153-22371C33450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E7AB-4397-9ADC-3B0CBF04231D}"/>
                </c:ext>
              </c:extLst>
            </c:dLbl>
            <c:dLbl>
              <c:idx val="5"/>
              <c:tx>
                <c:rich>
                  <a:bodyPr/>
                  <a:lstStyle/>
                  <a:p>
                    <a:fld id="{0849FA6C-B3A9-420C-888D-FC9ECBB3E7D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E7AB-4397-9ADC-3B0CBF04231D}"/>
                </c:ext>
              </c:extLst>
            </c:dLbl>
            <c:dLbl>
              <c:idx val="6"/>
              <c:tx>
                <c:rich>
                  <a:bodyPr/>
                  <a:lstStyle/>
                  <a:p>
                    <a:fld id="{B532FEBD-5D99-4A6B-B962-CC86CE235EA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E7AB-4397-9ADC-3B0CBF04231D}"/>
                </c:ext>
              </c:extLst>
            </c:dLbl>
            <c:dLbl>
              <c:idx val="7"/>
              <c:tx>
                <c:rich>
                  <a:bodyPr/>
                  <a:lstStyle/>
                  <a:p>
                    <a:fld id="{D4C0DF8A-57A3-4EF4-9C0C-01766508286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E7AB-4397-9ADC-3B0CBF04231D}"/>
                </c:ext>
              </c:extLst>
            </c:dLbl>
            <c:dLbl>
              <c:idx val="8"/>
              <c:tx>
                <c:rich>
                  <a:bodyPr/>
                  <a:lstStyle/>
                  <a:p>
                    <a:fld id="{780E87BD-79C1-417B-B9E4-2005783F9C4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E7AB-4397-9ADC-3B0CBF04231D}"/>
                </c:ext>
              </c:extLst>
            </c:dLbl>
            <c:dLbl>
              <c:idx val="9"/>
              <c:tx>
                <c:rich>
                  <a:bodyPr/>
                  <a:lstStyle/>
                  <a:p>
                    <a:fld id="{FCA980D2-DAB7-4186-BBFC-BA8E9B00131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E7AB-4397-9ADC-3B0CBF04231D}"/>
                </c:ext>
              </c:extLst>
            </c:dLbl>
            <c:dLbl>
              <c:idx val="10"/>
              <c:tx>
                <c:rich>
                  <a:bodyPr/>
                  <a:lstStyle/>
                  <a:p>
                    <a:fld id="{A83CE339-D93A-4403-AF09-7E01A40CC97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E7AB-4397-9ADC-3B0CBF04231D}"/>
                </c:ext>
              </c:extLst>
            </c:dLbl>
            <c:dLbl>
              <c:idx val="11"/>
              <c:tx>
                <c:rich>
                  <a:bodyPr/>
                  <a:lstStyle/>
                  <a:p>
                    <a:fld id="{A6BFE8B0-E748-4D5E-BA72-6D83FC619A5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E7AB-4397-9ADC-3B0CBF04231D}"/>
                </c:ext>
              </c:extLst>
            </c:dLbl>
            <c:dLbl>
              <c:idx val="12"/>
              <c:tx>
                <c:rich>
                  <a:bodyPr/>
                  <a:lstStyle/>
                  <a:p>
                    <a:fld id="{1449E000-D80B-4547-9135-FAE1EB98E1A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E7AB-4397-9ADC-3B0CBF04231D}"/>
                </c:ext>
              </c:extLst>
            </c:dLbl>
            <c:dLbl>
              <c:idx val="13"/>
              <c:tx>
                <c:rich>
                  <a:bodyPr/>
                  <a:lstStyle/>
                  <a:p>
                    <a:fld id="{5A223DB3-254C-4951-80CB-1E29E98003E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E7AB-4397-9ADC-3B0CBF04231D}"/>
                </c:ext>
              </c:extLst>
            </c:dLbl>
            <c:dLbl>
              <c:idx val="14"/>
              <c:tx>
                <c:rich>
                  <a:bodyPr/>
                  <a:lstStyle/>
                  <a:p>
                    <a:fld id="{64770690-31A8-42E5-9573-73146FE1741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E7AB-4397-9ADC-3B0CBF04231D}"/>
                </c:ext>
              </c:extLst>
            </c:dLbl>
            <c:dLbl>
              <c:idx val="15"/>
              <c:tx>
                <c:rich>
                  <a:bodyPr/>
                  <a:lstStyle/>
                  <a:p>
                    <a:fld id="{2669B390-239D-42B0-9AD7-E5F3461A252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E7AB-4397-9ADC-3B0CBF04231D}"/>
                </c:ext>
              </c:extLst>
            </c:dLbl>
            <c:dLbl>
              <c:idx val="16"/>
              <c:tx>
                <c:rich>
                  <a:bodyPr/>
                  <a:lstStyle/>
                  <a:p>
                    <a:fld id="{E57046A6-9021-4B46-9777-71BDDF0E52A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E7AB-4397-9ADC-3B0CBF04231D}"/>
                </c:ext>
              </c:extLst>
            </c:dLbl>
            <c:dLbl>
              <c:idx val="17"/>
              <c:tx>
                <c:rich>
                  <a:bodyPr/>
                  <a:lstStyle/>
                  <a:p>
                    <a:fld id="{E23D6B75-05E8-4F6C-9E22-7F29C6DD06C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E7AB-4397-9ADC-3B0CBF04231D}"/>
                </c:ext>
              </c:extLst>
            </c:dLbl>
            <c:dLbl>
              <c:idx val="18"/>
              <c:tx>
                <c:rich>
                  <a:bodyPr/>
                  <a:lstStyle/>
                  <a:p>
                    <a:fld id="{DB396FE5-5815-4E1C-B1C2-9AB03583D7B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E7AB-4397-9ADC-3B0CBF04231D}"/>
                </c:ext>
              </c:extLst>
            </c:dLbl>
            <c:dLbl>
              <c:idx val="19"/>
              <c:tx>
                <c:rich>
                  <a:bodyPr/>
                  <a:lstStyle/>
                  <a:p>
                    <a:fld id="{04C3FFE4-D4E7-4660-BB19-365653733D3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E7AB-4397-9ADC-3B0CBF04231D}"/>
                </c:ext>
              </c:extLst>
            </c:dLbl>
            <c:dLbl>
              <c:idx val="20"/>
              <c:tx>
                <c:rich>
                  <a:bodyPr/>
                  <a:lstStyle/>
                  <a:p>
                    <a:fld id="{BF455A83-F08D-40F8-9A00-D2B80ABAE2D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E7AB-4397-9ADC-3B0CBF04231D}"/>
                </c:ext>
              </c:extLst>
            </c:dLbl>
            <c:dLbl>
              <c:idx val="21"/>
              <c:tx>
                <c:rich>
                  <a:bodyPr/>
                  <a:lstStyle/>
                  <a:p>
                    <a:fld id="{165D2ABA-5841-4FDD-98D5-D1D5832CE88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E7AB-4397-9ADC-3B0CBF04231D}"/>
                </c:ext>
              </c:extLst>
            </c:dLbl>
            <c:dLbl>
              <c:idx val="22"/>
              <c:tx>
                <c:rich>
                  <a:bodyPr/>
                  <a:lstStyle/>
                  <a:p>
                    <a:fld id="{4BA17C54-EE4C-41FB-8DDF-ABA6D229723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E7AB-4397-9ADC-3B0CBF04231D}"/>
                </c:ext>
              </c:extLst>
            </c:dLbl>
            <c:dLbl>
              <c:idx val="23"/>
              <c:tx>
                <c:rich>
                  <a:bodyPr/>
                  <a:lstStyle/>
                  <a:p>
                    <a:fld id="{7962F135-8C74-44B4-9801-ED1365A7924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E7AB-4397-9ADC-3B0CBF04231D}"/>
                </c:ext>
              </c:extLst>
            </c:dLbl>
            <c:dLbl>
              <c:idx val="24"/>
              <c:tx>
                <c:rich>
                  <a:bodyPr/>
                  <a:lstStyle/>
                  <a:p>
                    <a:fld id="{97E17602-D465-4313-9373-EA490AC6651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E7AB-4397-9ADC-3B0CBF04231D}"/>
                </c:ext>
              </c:extLst>
            </c:dLbl>
            <c:dLbl>
              <c:idx val="25"/>
              <c:tx>
                <c:rich>
                  <a:bodyPr/>
                  <a:lstStyle/>
                  <a:p>
                    <a:fld id="{1F819A55-43E5-4085-BDA5-04350BD4941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E7AB-4397-9ADC-3B0CBF04231D}"/>
                </c:ext>
              </c:extLst>
            </c:dLbl>
            <c:dLbl>
              <c:idx val="26"/>
              <c:tx>
                <c:rich>
                  <a:bodyPr/>
                  <a:lstStyle/>
                  <a:p>
                    <a:fld id="{C36A606A-4A11-4BCB-8737-88C8112AF9E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E7AB-4397-9ADC-3B0CBF04231D}"/>
                </c:ext>
              </c:extLst>
            </c:dLbl>
            <c:dLbl>
              <c:idx val="27"/>
              <c:tx>
                <c:rich>
                  <a:bodyPr/>
                  <a:lstStyle/>
                  <a:p>
                    <a:fld id="{146AA689-5A77-48C3-96FD-C908C5475CC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E7AB-4397-9ADC-3B0CBF04231D}"/>
                </c:ext>
              </c:extLst>
            </c:dLbl>
            <c:dLbl>
              <c:idx val="28"/>
              <c:tx>
                <c:rich>
                  <a:bodyPr/>
                  <a:lstStyle/>
                  <a:p>
                    <a:fld id="{28E29763-AAF2-4140-8621-C7AEB3DD556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E7AB-4397-9ADC-3B0CBF04231D}"/>
                </c:ext>
              </c:extLst>
            </c:dLbl>
            <c:dLbl>
              <c:idx val="29"/>
              <c:tx>
                <c:rich>
                  <a:bodyPr/>
                  <a:lstStyle/>
                  <a:p>
                    <a:fld id="{237A1357-65CB-4C66-B66C-A96B15879E5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E7AB-4397-9ADC-3B0CBF04231D}"/>
                </c:ext>
              </c:extLst>
            </c:dLbl>
            <c:dLbl>
              <c:idx val="30"/>
              <c:tx>
                <c:rich>
                  <a:bodyPr/>
                  <a:lstStyle/>
                  <a:p>
                    <a:fld id="{46A96BE7-E063-4245-A6C6-836541855E8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E7AB-4397-9ADC-3B0CBF04231D}"/>
                </c:ext>
              </c:extLst>
            </c:dLbl>
            <c:dLbl>
              <c:idx val="31"/>
              <c:tx>
                <c:rich>
                  <a:bodyPr/>
                  <a:lstStyle/>
                  <a:p>
                    <a:fld id="{747A35D9-8550-410B-98A4-E633709C5A5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4-E7AB-4397-9ADC-3B0CBF04231D}"/>
                </c:ext>
              </c:extLst>
            </c:dLbl>
            <c:dLbl>
              <c:idx val="32"/>
              <c:tx>
                <c:rich>
                  <a:bodyPr/>
                  <a:lstStyle/>
                  <a:p>
                    <a:fld id="{23A62762-C03D-40A5-9FA2-785F75DFF6F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E7AB-4397-9ADC-3B0CBF04231D}"/>
                </c:ext>
              </c:extLst>
            </c:dLbl>
            <c:dLbl>
              <c:idx val="33"/>
              <c:tx>
                <c:rich>
                  <a:bodyPr/>
                  <a:lstStyle/>
                  <a:p>
                    <a:fld id="{114B2A33-2FCA-4750-8914-5005D8182DE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E7AB-4397-9ADC-3B0CBF04231D}"/>
                </c:ext>
              </c:extLst>
            </c:dLbl>
            <c:dLbl>
              <c:idx val="34"/>
              <c:tx>
                <c:rich>
                  <a:bodyPr/>
                  <a:lstStyle/>
                  <a:p>
                    <a:fld id="{D7060C0E-3BDC-4C1A-B876-9997A0C5ACC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7-E7AB-4397-9ADC-3B0CBF04231D}"/>
                </c:ext>
              </c:extLst>
            </c:dLbl>
            <c:dLbl>
              <c:idx val="35"/>
              <c:tx>
                <c:rich>
                  <a:bodyPr/>
                  <a:lstStyle/>
                  <a:p>
                    <a:fld id="{89480346-4934-4FC4-87FD-9CC9D435309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E7AB-4397-9ADC-3B0CBF04231D}"/>
                </c:ext>
              </c:extLst>
            </c:dLbl>
            <c:dLbl>
              <c:idx val="36"/>
              <c:tx>
                <c:rich>
                  <a:bodyPr/>
                  <a:lstStyle/>
                  <a:p>
                    <a:fld id="{59249B3B-726A-4335-BACC-7D3F6FC873F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E7AB-4397-9ADC-3B0CBF04231D}"/>
                </c:ext>
              </c:extLst>
            </c:dLbl>
            <c:dLbl>
              <c:idx val="37"/>
              <c:tx>
                <c:rich>
                  <a:bodyPr/>
                  <a:lstStyle/>
                  <a:p>
                    <a:fld id="{4E349C45-BBBE-48AC-9085-951E33DD14D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A-E7AB-4397-9ADC-3B0CBF04231D}"/>
                </c:ext>
              </c:extLst>
            </c:dLbl>
            <c:dLbl>
              <c:idx val="38"/>
              <c:tx>
                <c:rich>
                  <a:bodyPr/>
                  <a:lstStyle/>
                  <a:p>
                    <a:fld id="{EED0D105-1A95-4AAC-84BD-412CA490A35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E7AB-4397-9ADC-3B0CBF04231D}"/>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graf'!$BG$32:$BG$70</c:f>
              <c:numCache>
                <c:formatCode>General</c:formatCode>
                <c:ptCount val="39"/>
                <c:pt idx="0">
                  <c:v>60</c:v>
                </c:pt>
                <c:pt idx="1">
                  <c:v>60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c:v>
                </c:pt>
                <c:pt idx="19">
                  <c:v>60</c:v>
                </c:pt>
                <c:pt idx="20">
                  <c:v>60</c:v>
                </c:pt>
                <c:pt idx="21">
                  <c:v>60</c:v>
                </c:pt>
                <c:pt idx="22">
                  <c:v>60</c:v>
                </c:pt>
                <c:pt idx="23">
                  <c:v>60</c:v>
                </c:pt>
                <c:pt idx="24">
                  <c:v>60</c:v>
                </c:pt>
                <c:pt idx="25">
                  <c:v>60</c:v>
                </c:pt>
                <c:pt idx="26">
                  <c:v>60</c:v>
                </c:pt>
                <c:pt idx="27">
                  <c:v>60</c:v>
                </c:pt>
                <c:pt idx="28">
                  <c:v>60</c:v>
                </c:pt>
                <c:pt idx="29">
                  <c:v>60</c:v>
                </c:pt>
                <c:pt idx="30">
                  <c:v>60</c:v>
                </c:pt>
                <c:pt idx="31">
                  <c:v>60</c:v>
                </c:pt>
                <c:pt idx="32">
                  <c:v>60</c:v>
                </c:pt>
                <c:pt idx="33">
                  <c:v>60</c:v>
                </c:pt>
                <c:pt idx="34">
                  <c:v>60</c:v>
                </c:pt>
                <c:pt idx="35">
                  <c:v>60</c:v>
                </c:pt>
                <c:pt idx="36">
                  <c:v>60</c:v>
                </c:pt>
                <c:pt idx="37">
                  <c:v>60</c:v>
                </c:pt>
                <c:pt idx="38">
                  <c:v>60</c:v>
                </c:pt>
              </c:numCache>
            </c:numRef>
          </c:val>
          <c:smooth val="0"/>
          <c:extLst>
            <c:ext xmlns:c15="http://schemas.microsoft.com/office/drawing/2012/chart" uri="{02D57815-91ED-43cb-92C2-25804820EDAC}">
              <c15:datalabelsRange>
                <c15:f>'Prerađivačka_6 graf'!$E$32:$E$70</c15:f>
                <c15:dlblRangeCache>
                  <c:ptCount val="3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15:dlblRangeCache>
              </c15:datalabelsRange>
            </c:ext>
            <c:ext xmlns:c16="http://schemas.microsoft.com/office/drawing/2014/chart" uri="{C3380CC4-5D6E-409C-BE32-E72D297353CC}">
              <c16:uniqueId val="{0000002C-E7AB-4397-9ADC-3B0CBF04231D}"/>
            </c:ext>
          </c:extLst>
        </c:ser>
        <c:ser>
          <c:idx val="0"/>
          <c:order val="2"/>
          <c:tx>
            <c:strRef>
              <c:f>'Prerađivačka_6 graf'!$BH$7</c:f>
              <c:strCache>
                <c:ptCount val="1"/>
                <c:pt idx="0">
                  <c:v>y</c:v>
                </c:pt>
              </c:strCache>
            </c:strRef>
          </c:tx>
          <c:spPr>
            <a:ln w="12700" cap="rnd">
              <a:solidFill>
                <a:srgbClr val="92278F"/>
              </a:solidFill>
              <a:prstDash val="sysDash"/>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graf'!$BH$32:$BH$70</c:f>
              <c:numCache>
                <c:formatCode>0.0</c:formatCode>
                <c:ptCount val="39"/>
                <c:pt idx="0">
                  <c:v>80.900401560997679</c:v>
                </c:pt>
                <c:pt idx="1">
                  <c:v>90.809343362931969</c:v>
                </c:pt>
                <c:pt idx="2">
                  <c:v>103.02584695435779</c:v>
                </c:pt>
                <c:pt idx="3">
                  <c:v>90.809343362931969</c:v>
                </c:pt>
                <c:pt idx="4">
                  <c:v>90.062779254567033</c:v>
                </c:pt>
                <c:pt idx="5">
                  <c:v>91.420168542503248</c:v>
                </c:pt>
                <c:pt idx="6">
                  <c:v>82.461399242124315</c:v>
                </c:pt>
                <c:pt idx="7">
                  <c:v>87.280131214297825</c:v>
                </c:pt>
                <c:pt idx="8">
                  <c:v>90.945082291725583</c:v>
                </c:pt>
                <c:pt idx="9">
                  <c:v>98.546462304168301</c:v>
                </c:pt>
                <c:pt idx="10">
                  <c:v>99.157287483739594</c:v>
                </c:pt>
                <c:pt idx="11">
                  <c:v>127.45885413720943</c:v>
                </c:pt>
                <c:pt idx="12">
                  <c:v>82.393529777727508</c:v>
                </c:pt>
                <c:pt idx="13">
                  <c:v>97.121203551835293</c:v>
                </c:pt>
                <c:pt idx="14">
                  <c:v>89.587693003789383</c:v>
                </c:pt>
                <c:pt idx="15">
                  <c:v>63.118601889033421</c:v>
                </c:pt>
                <c:pt idx="16">
                  <c:v>74.181324585713469</c:v>
                </c:pt>
                <c:pt idx="17">
                  <c:v>96.374639443470386</c:v>
                </c:pt>
                <c:pt idx="18">
                  <c:v>80.425315310220014</c:v>
                </c:pt>
                <c:pt idx="19">
                  <c:v>88.63752050223404</c:v>
                </c:pt>
                <c:pt idx="20">
                  <c:v>99.021548554945994</c:v>
                </c:pt>
                <c:pt idx="21">
                  <c:v>99.021548554945994</c:v>
                </c:pt>
                <c:pt idx="22">
                  <c:v>94.474294440359699</c:v>
                </c:pt>
                <c:pt idx="23">
                  <c:v>100.03959052089814</c:v>
                </c:pt>
                <c:pt idx="24">
                  <c:v>82.374768089053802</c:v>
                </c:pt>
                <c:pt idx="25">
                  <c:v>92.377131394182541</c:v>
                </c:pt>
                <c:pt idx="26">
                  <c:v>108.39222614840989</c:v>
                </c:pt>
                <c:pt idx="27">
                  <c:v>90.334257112154276</c:v>
                </c:pt>
                <c:pt idx="28">
                  <c:v>95.695944799502286</c:v>
                </c:pt>
                <c:pt idx="29">
                  <c:v>107.50523160454726</c:v>
                </c:pt>
                <c:pt idx="30">
                  <c:v>92.370341044058591</c:v>
                </c:pt>
                <c:pt idx="31">
                  <c:v>103.63667213392907</c:v>
                </c:pt>
                <c:pt idx="32">
                  <c:v>110.55935750240371</c:v>
                </c:pt>
                <c:pt idx="33">
                  <c:v>99.157287483739594</c:v>
                </c:pt>
                <c:pt idx="34">
                  <c:v>103.50093320513545</c:v>
                </c:pt>
                <c:pt idx="35">
                  <c:v>113.61348340026017</c:v>
                </c:pt>
                <c:pt idx="36">
                  <c:v>88.7</c:v>
                </c:pt>
                <c:pt idx="37">
                  <c:v>92.1</c:v>
                </c:pt>
                <c:pt idx="38">
                  <c:v>122.7</c:v>
                </c:pt>
              </c:numCache>
            </c:numRef>
          </c:val>
          <c:smooth val="0"/>
          <c:extLst>
            <c:ext xmlns:c16="http://schemas.microsoft.com/office/drawing/2014/chart" uri="{C3380CC4-5D6E-409C-BE32-E72D297353CC}">
              <c16:uniqueId val="{0000002D-E7AB-4397-9ADC-3B0CBF04231D}"/>
            </c:ext>
          </c:extLst>
        </c:ser>
        <c:ser>
          <c:idx val="1"/>
          <c:order val="3"/>
          <c:tx>
            <c:strRef>
              <c:f>'Prerađivačka_6 graf'!$BI$7</c:f>
              <c:strCache>
                <c:ptCount val="1"/>
                <c:pt idx="0">
                  <c:v>sa</c:v>
                </c:pt>
              </c:strCache>
            </c:strRef>
          </c:tx>
          <c:spPr>
            <a:ln w="22225" cap="rnd">
              <a:solidFill>
                <a:srgbClr val="25AAE1"/>
              </a:solidFill>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graf'!$BI$32:$BI$70</c:f>
              <c:numCache>
                <c:formatCode>0.0</c:formatCode>
                <c:ptCount val="39"/>
                <c:pt idx="0">
                  <c:v>95.472829665287918</c:v>
                </c:pt>
                <c:pt idx="1">
                  <c:v>92.273486602087274</c:v>
                </c:pt>
                <c:pt idx="2">
                  <c:v>97.425336075456144</c:v>
                </c:pt>
                <c:pt idx="3">
                  <c:v>91.677783070669491</c:v>
                </c:pt>
                <c:pt idx="4">
                  <c:v>92.984056192382326</c:v>
                </c:pt>
                <c:pt idx="5">
                  <c:v>88.98363653414215</c:v>
                </c:pt>
                <c:pt idx="6">
                  <c:v>88.181622275908865</c:v>
                </c:pt>
                <c:pt idx="7">
                  <c:v>87.655312901268132</c:v>
                </c:pt>
                <c:pt idx="8">
                  <c:v>85.255559409772516</c:v>
                </c:pt>
                <c:pt idx="9">
                  <c:v>93.270418761528276</c:v>
                </c:pt>
                <c:pt idx="10">
                  <c:v>98.098408860549128</c:v>
                </c:pt>
                <c:pt idx="11">
                  <c:v>120.67946492361887</c:v>
                </c:pt>
                <c:pt idx="12">
                  <c:v>95.488893778566194</c:v>
                </c:pt>
                <c:pt idx="13">
                  <c:v>99.186676828551157</c:v>
                </c:pt>
                <c:pt idx="14">
                  <c:v>82.455642513565451</c:v>
                </c:pt>
                <c:pt idx="15">
                  <c:v>64.994483180800003</c:v>
                </c:pt>
                <c:pt idx="16">
                  <c:v>79.489954529361142</c:v>
                </c:pt>
                <c:pt idx="17">
                  <c:v>89.139017699927166</c:v>
                </c:pt>
                <c:pt idx="18">
                  <c:v>85.85670782629056</c:v>
                </c:pt>
                <c:pt idx="19">
                  <c:v>90.727294376290601</c:v>
                </c:pt>
                <c:pt idx="20">
                  <c:v>90.851075945688876</c:v>
                </c:pt>
                <c:pt idx="21">
                  <c:v>96.010026836167356</c:v>
                </c:pt>
                <c:pt idx="22">
                  <c:v>93.152705352628828</c:v>
                </c:pt>
                <c:pt idx="23">
                  <c:v>91.071976353217195</c:v>
                </c:pt>
                <c:pt idx="24">
                  <c:v>97.322906088265199</c:v>
                </c:pt>
                <c:pt idx="25">
                  <c:v>97.63036041077315</c:v>
                </c:pt>
                <c:pt idx="26">
                  <c:v>97.110822777949494</c:v>
                </c:pt>
                <c:pt idx="27">
                  <c:v>94.6791507192859</c:v>
                </c:pt>
                <c:pt idx="28">
                  <c:v>98.427681314452002</c:v>
                </c:pt>
                <c:pt idx="29">
                  <c:v>99.405119135344634</c:v>
                </c:pt>
                <c:pt idx="30">
                  <c:v>100.27115997862346</c:v>
                </c:pt>
                <c:pt idx="31">
                  <c:v>103.41891348048205</c:v>
                </c:pt>
                <c:pt idx="32">
                  <c:v>101.74333959932113</c:v>
                </c:pt>
                <c:pt idx="33">
                  <c:v>98.1750972197284</c:v>
                </c:pt>
                <c:pt idx="34">
                  <c:v>99.631936699039912</c:v>
                </c:pt>
                <c:pt idx="35">
                  <c:v>102.51410479946431</c:v>
                </c:pt>
                <c:pt idx="36">
                  <c:v>100.15445028700098</c:v>
                </c:pt>
                <c:pt idx="37">
                  <c:v>97.861167483681996</c:v>
                </c:pt>
                <c:pt idx="38">
                  <c:v>109.43646703284767</c:v>
                </c:pt>
              </c:numCache>
            </c:numRef>
          </c:val>
          <c:smooth val="0"/>
          <c:extLst>
            <c:ext xmlns:c16="http://schemas.microsoft.com/office/drawing/2014/chart" uri="{C3380CC4-5D6E-409C-BE32-E72D297353CC}">
              <c16:uniqueId val="{0000002E-E7AB-4397-9ADC-3B0CBF04231D}"/>
            </c:ext>
          </c:extLst>
        </c:ser>
        <c:ser>
          <c:idx val="2"/>
          <c:order val="4"/>
          <c:tx>
            <c:strRef>
              <c:f>'Prerađivačka_6 graf'!$BJ$7</c:f>
              <c:strCache>
                <c:ptCount val="1"/>
                <c:pt idx="0">
                  <c:v>t</c:v>
                </c:pt>
              </c:strCache>
            </c:strRef>
          </c:tx>
          <c:spPr>
            <a:ln w="25400" cap="rnd">
              <a:solidFill>
                <a:srgbClr val="FF0000"/>
              </a:solidFill>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graf'!$BJ$32:$BJ$70</c:f>
              <c:numCache>
                <c:formatCode>0.0</c:formatCode>
                <c:ptCount val="39"/>
                <c:pt idx="0">
                  <c:v>92.987492211045222</c:v>
                </c:pt>
                <c:pt idx="1">
                  <c:v>93.529715869791133</c:v>
                </c:pt>
                <c:pt idx="2">
                  <c:v>93.748969486517041</c:v>
                </c:pt>
                <c:pt idx="3">
                  <c:v>93.044289699327805</c:v>
                </c:pt>
                <c:pt idx="4">
                  <c:v>91.416835432100115</c:v>
                </c:pt>
                <c:pt idx="5">
                  <c:v>89.670045193184009</c:v>
                </c:pt>
                <c:pt idx="6">
                  <c:v>88.612575657589332</c:v>
                </c:pt>
                <c:pt idx="7">
                  <c:v>88.880923053411863</c:v>
                </c:pt>
                <c:pt idx="8">
                  <c:v>90.481505038233649</c:v>
                </c:pt>
                <c:pt idx="9">
                  <c:v>92.733746883847061</c:v>
                </c:pt>
                <c:pt idx="10">
                  <c:v>94.51201948815239</c:v>
                </c:pt>
                <c:pt idx="11">
                  <c:v>94.809323101839283</c:v>
                </c:pt>
                <c:pt idx="12">
                  <c:v>93.17759078640546</c:v>
                </c:pt>
                <c:pt idx="13">
                  <c:v>90.057848365243245</c:v>
                </c:pt>
                <c:pt idx="14">
                  <c:v>86.577458531049274</c:v>
                </c:pt>
                <c:pt idx="15">
                  <c:v>83.963650790522252</c:v>
                </c:pt>
                <c:pt idx="16">
                  <c:v>83.158514588763396</c:v>
                </c:pt>
                <c:pt idx="17">
                  <c:v>84.245733805342141</c:v>
                </c:pt>
                <c:pt idx="18">
                  <c:v>86.504618703717171</c:v>
                </c:pt>
                <c:pt idx="19">
                  <c:v>89.07127645144395</c:v>
                </c:pt>
                <c:pt idx="20">
                  <c:v>91.256807776581098</c:v>
                </c:pt>
                <c:pt idx="21">
                  <c:v>92.899010099098959</c:v>
                </c:pt>
                <c:pt idx="22">
                  <c:v>94.054102081545167</c:v>
                </c:pt>
                <c:pt idx="23">
                  <c:v>94.814366933424054</c:v>
                </c:pt>
                <c:pt idx="24">
                  <c:v>95.434696985733979</c:v>
                </c:pt>
                <c:pt idx="25">
                  <c:v>95.947652891570314</c:v>
                </c:pt>
                <c:pt idx="26">
                  <c:v>96.56743613049106</c:v>
                </c:pt>
                <c:pt idx="27">
                  <c:v>97.426751644876532</c:v>
                </c:pt>
                <c:pt idx="28">
                  <c:v>98.476765422749949</c:v>
                </c:pt>
                <c:pt idx="29">
                  <c:v>99.431960807282934</c:v>
                </c:pt>
                <c:pt idx="30">
                  <c:v>100.27238827131087</c:v>
                </c:pt>
                <c:pt idx="31">
                  <c:v>100.8165119116254</c:v>
                </c:pt>
                <c:pt idx="32">
                  <c:v>100.78599548723047</c:v>
                </c:pt>
                <c:pt idx="33">
                  <c:v>100.38615270748528</c:v>
                </c:pt>
                <c:pt idx="34">
                  <c:v>100.21684713624921</c:v>
                </c:pt>
                <c:pt idx="35">
                  <c:v>100.95921632817769</c:v>
                </c:pt>
                <c:pt idx="36">
                  <c:v>102.72514014580004</c:v>
                </c:pt>
                <c:pt idx="37">
                  <c:v>105.51576060840439</c:v>
                </c:pt>
                <c:pt idx="38">
                  <c:v>108.71566656143816</c:v>
                </c:pt>
              </c:numCache>
            </c:numRef>
          </c:val>
          <c:smooth val="0"/>
          <c:extLst>
            <c:ext xmlns:c16="http://schemas.microsoft.com/office/drawing/2014/chart" uri="{C3380CC4-5D6E-409C-BE32-E72D297353CC}">
              <c16:uniqueId val="{0000002F-E7AB-4397-9ADC-3B0CBF04231D}"/>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2092165968"/>
        <c:crosses val="autoZero"/>
        <c:auto val="1"/>
        <c:lblOffset val="0"/>
        <c:baseTimeUnit val="months"/>
        <c:majorUnit val="12"/>
        <c:majorTimeUnit val="months"/>
      </c:dateAx>
      <c:valAx>
        <c:axId val="2092165968"/>
        <c:scaling>
          <c:orientation val="minMax"/>
          <c:max val="130"/>
          <c:min val="6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80656"/>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graf'!$AA$7</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8.1004894163752311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9D4-4B03-B78E-F994B009EF2E}"/>
                </c:ext>
              </c:extLst>
            </c:dLbl>
            <c:dLbl>
              <c:idx val="12"/>
              <c:layout>
                <c:manualLayout>
                  <c:x val="8.5372336449507924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9D4-4B03-B78E-F994B009EF2E}"/>
                </c:ext>
              </c:extLst>
            </c:dLbl>
            <c:dLbl>
              <c:idx val="24"/>
              <c:layout>
                <c:manualLayout>
                  <c:x val="7.9593002496624987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9D4-4B03-B78E-F994B009EF2E}"/>
                </c:ext>
              </c:extLst>
            </c:dLbl>
            <c:dLbl>
              <c:idx val="36"/>
              <c:layout>
                <c:manualLayout>
                  <c:x val="-3.0250000000001617E-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9D4-4B03-B78E-F994B009EF2E}"/>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graf'!$AA$32:$AA$70</c:f>
              <c:numCache>
                <c:formatCode>General</c:formatCode>
                <c:ptCount val="39"/>
                <c:pt idx="0">
                  <c:v>60</c:v>
                </c:pt>
                <c:pt idx="12">
                  <c:v>60</c:v>
                </c:pt>
                <c:pt idx="24">
                  <c:v>60</c:v>
                </c:pt>
                <c:pt idx="36">
                  <c:v>60</c:v>
                </c:pt>
              </c:numCache>
            </c:numRef>
          </c:val>
          <c:smooth val="0"/>
          <c:extLst>
            <c:ext xmlns:c16="http://schemas.microsoft.com/office/drawing/2014/chart" uri="{C3380CC4-5D6E-409C-BE32-E72D297353CC}">
              <c16:uniqueId val="{00000004-C9D4-4B03-B78E-F994B009EF2E}"/>
            </c:ext>
          </c:extLst>
        </c:ser>
        <c:ser>
          <c:idx val="4"/>
          <c:order val="1"/>
          <c:tx>
            <c:strRef>
              <c:f>'Prerađivačka_6 graf'!$AB$7</c:f>
              <c:strCache>
                <c:ptCount val="1"/>
                <c:pt idx="0">
                  <c:v>Series5</c:v>
                </c:pt>
              </c:strCache>
            </c:strRef>
          </c:tx>
          <c:spPr>
            <a:ln w="25400" cap="rnd">
              <a:noFill/>
              <a:round/>
            </a:ln>
            <a:effectLst/>
          </c:spPr>
          <c:marker>
            <c:symbol val="none"/>
          </c:marker>
          <c:dLbls>
            <c:dLbl>
              <c:idx val="0"/>
              <c:tx>
                <c:rich>
                  <a:bodyPr/>
                  <a:lstStyle/>
                  <a:p>
                    <a:fld id="{A9B7BDAC-3B9F-42C5-A973-287B20703677}"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C9D4-4B03-B78E-F994B009EF2E}"/>
                </c:ext>
              </c:extLst>
            </c:dLbl>
            <c:dLbl>
              <c:idx val="1"/>
              <c:tx>
                <c:rich>
                  <a:bodyPr/>
                  <a:lstStyle/>
                  <a:p>
                    <a:fld id="{9B1A7364-FCDE-44E0-B795-A7A34D36A30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C9D4-4B03-B78E-F994B009EF2E}"/>
                </c:ext>
              </c:extLst>
            </c:dLbl>
            <c:dLbl>
              <c:idx val="2"/>
              <c:tx>
                <c:rich>
                  <a:bodyPr/>
                  <a:lstStyle/>
                  <a:p>
                    <a:fld id="{092B118E-31CE-4ECD-9810-D2D454B10D2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C9D4-4B03-B78E-F994B009EF2E}"/>
                </c:ext>
              </c:extLst>
            </c:dLbl>
            <c:dLbl>
              <c:idx val="3"/>
              <c:tx>
                <c:rich>
                  <a:bodyPr/>
                  <a:lstStyle/>
                  <a:p>
                    <a:fld id="{8430C6E7-4850-48FB-9BE7-84BC3DDC84C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C9D4-4B03-B78E-F994B009EF2E}"/>
                </c:ext>
              </c:extLst>
            </c:dLbl>
            <c:dLbl>
              <c:idx val="4"/>
              <c:tx>
                <c:rich>
                  <a:bodyPr/>
                  <a:lstStyle/>
                  <a:p>
                    <a:fld id="{A1201299-42DE-4A03-8E8C-2764568C104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C9D4-4B03-B78E-F994B009EF2E}"/>
                </c:ext>
              </c:extLst>
            </c:dLbl>
            <c:dLbl>
              <c:idx val="5"/>
              <c:tx>
                <c:rich>
                  <a:bodyPr/>
                  <a:lstStyle/>
                  <a:p>
                    <a:fld id="{23DF7DCD-AED0-423E-B8E1-AA67B0D9C0A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C9D4-4B03-B78E-F994B009EF2E}"/>
                </c:ext>
              </c:extLst>
            </c:dLbl>
            <c:dLbl>
              <c:idx val="6"/>
              <c:tx>
                <c:rich>
                  <a:bodyPr/>
                  <a:lstStyle/>
                  <a:p>
                    <a:fld id="{23C16A6C-95A1-4A28-B8F1-70A62B4FED9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C9D4-4B03-B78E-F994B009EF2E}"/>
                </c:ext>
              </c:extLst>
            </c:dLbl>
            <c:dLbl>
              <c:idx val="7"/>
              <c:tx>
                <c:rich>
                  <a:bodyPr/>
                  <a:lstStyle/>
                  <a:p>
                    <a:fld id="{9DC2EE1B-B643-4225-BA02-AE9B99D529D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C9D4-4B03-B78E-F994B009EF2E}"/>
                </c:ext>
              </c:extLst>
            </c:dLbl>
            <c:dLbl>
              <c:idx val="8"/>
              <c:tx>
                <c:rich>
                  <a:bodyPr/>
                  <a:lstStyle/>
                  <a:p>
                    <a:fld id="{D0198048-E218-4838-AFAF-CDF66EE2404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C9D4-4B03-B78E-F994B009EF2E}"/>
                </c:ext>
              </c:extLst>
            </c:dLbl>
            <c:dLbl>
              <c:idx val="9"/>
              <c:tx>
                <c:rich>
                  <a:bodyPr/>
                  <a:lstStyle/>
                  <a:p>
                    <a:fld id="{1DCD6643-DB49-4D62-A38F-69435EE63B7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C9D4-4B03-B78E-F994B009EF2E}"/>
                </c:ext>
              </c:extLst>
            </c:dLbl>
            <c:dLbl>
              <c:idx val="10"/>
              <c:tx>
                <c:rich>
                  <a:bodyPr/>
                  <a:lstStyle/>
                  <a:p>
                    <a:fld id="{A3559693-23BB-4A33-A9DA-8E6F7C7022A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C9D4-4B03-B78E-F994B009EF2E}"/>
                </c:ext>
              </c:extLst>
            </c:dLbl>
            <c:dLbl>
              <c:idx val="11"/>
              <c:tx>
                <c:rich>
                  <a:bodyPr/>
                  <a:lstStyle/>
                  <a:p>
                    <a:fld id="{774B8958-7922-480C-A170-FC7C5EF74E1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C9D4-4B03-B78E-F994B009EF2E}"/>
                </c:ext>
              </c:extLst>
            </c:dLbl>
            <c:dLbl>
              <c:idx val="12"/>
              <c:tx>
                <c:rich>
                  <a:bodyPr/>
                  <a:lstStyle/>
                  <a:p>
                    <a:fld id="{E97216B7-7333-4DB0-AC15-9EECCE338F7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C9D4-4B03-B78E-F994B009EF2E}"/>
                </c:ext>
              </c:extLst>
            </c:dLbl>
            <c:dLbl>
              <c:idx val="13"/>
              <c:tx>
                <c:rich>
                  <a:bodyPr/>
                  <a:lstStyle/>
                  <a:p>
                    <a:fld id="{CFE8508C-E3A2-4DD1-8840-B475BD9E767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C9D4-4B03-B78E-F994B009EF2E}"/>
                </c:ext>
              </c:extLst>
            </c:dLbl>
            <c:dLbl>
              <c:idx val="14"/>
              <c:tx>
                <c:rich>
                  <a:bodyPr/>
                  <a:lstStyle/>
                  <a:p>
                    <a:fld id="{4F94E76A-0E8B-417E-8C5E-87548848539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C9D4-4B03-B78E-F994B009EF2E}"/>
                </c:ext>
              </c:extLst>
            </c:dLbl>
            <c:dLbl>
              <c:idx val="15"/>
              <c:tx>
                <c:rich>
                  <a:bodyPr/>
                  <a:lstStyle/>
                  <a:p>
                    <a:fld id="{F7A48F92-19B0-4303-A1E4-A397BC9BE19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C9D4-4B03-B78E-F994B009EF2E}"/>
                </c:ext>
              </c:extLst>
            </c:dLbl>
            <c:dLbl>
              <c:idx val="16"/>
              <c:tx>
                <c:rich>
                  <a:bodyPr/>
                  <a:lstStyle/>
                  <a:p>
                    <a:fld id="{8C03EE14-5495-4D59-94C2-D4E6ED905FD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C9D4-4B03-B78E-F994B009EF2E}"/>
                </c:ext>
              </c:extLst>
            </c:dLbl>
            <c:dLbl>
              <c:idx val="17"/>
              <c:tx>
                <c:rich>
                  <a:bodyPr/>
                  <a:lstStyle/>
                  <a:p>
                    <a:fld id="{FC55027C-8F03-4E06-8E7D-DD4E567D6AE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C9D4-4B03-B78E-F994B009EF2E}"/>
                </c:ext>
              </c:extLst>
            </c:dLbl>
            <c:dLbl>
              <c:idx val="18"/>
              <c:tx>
                <c:rich>
                  <a:bodyPr/>
                  <a:lstStyle/>
                  <a:p>
                    <a:fld id="{B3B78ACF-F372-4C8E-89F1-9CB66D9DF9F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C9D4-4B03-B78E-F994B009EF2E}"/>
                </c:ext>
              </c:extLst>
            </c:dLbl>
            <c:dLbl>
              <c:idx val="19"/>
              <c:tx>
                <c:rich>
                  <a:bodyPr/>
                  <a:lstStyle/>
                  <a:p>
                    <a:fld id="{6E45011F-1399-46CC-8DF8-D218A11E311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C9D4-4B03-B78E-F994B009EF2E}"/>
                </c:ext>
              </c:extLst>
            </c:dLbl>
            <c:dLbl>
              <c:idx val="20"/>
              <c:tx>
                <c:rich>
                  <a:bodyPr/>
                  <a:lstStyle/>
                  <a:p>
                    <a:fld id="{2A23697C-8716-4250-B1D6-83D50DE0402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C9D4-4B03-B78E-F994B009EF2E}"/>
                </c:ext>
              </c:extLst>
            </c:dLbl>
            <c:dLbl>
              <c:idx val="21"/>
              <c:tx>
                <c:rich>
                  <a:bodyPr/>
                  <a:lstStyle/>
                  <a:p>
                    <a:fld id="{744409EB-2D00-42C5-89F9-D5D81D8AD48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C9D4-4B03-B78E-F994B009EF2E}"/>
                </c:ext>
              </c:extLst>
            </c:dLbl>
            <c:dLbl>
              <c:idx val="22"/>
              <c:tx>
                <c:rich>
                  <a:bodyPr/>
                  <a:lstStyle/>
                  <a:p>
                    <a:fld id="{8FF6651E-8C34-45CE-91AE-97B6E0A49D9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C9D4-4B03-B78E-F994B009EF2E}"/>
                </c:ext>
              </c:extLst>
            </c:dLbl>
            <c:dLbl>
              <c:idx val="23"/>
              <c:tx>
                <c:rich>
                  <a:bodyPr/>
                  <a:lstStyle/>
                  <a:p>
                    <a:fld id="{60F753BA-BD12-4738-9EB6-0394B6FD0A5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C9D4-4B03-B78E-F994B009EF2E}"/>
                </c:ext>
              </c:extLst>
            </c:dLbl>
            <c:dLbl>
              <c:idx val="24"/>
              <c:tx>
                <c:rich>
                  <a:bodyPr/>
                  <a:lstStyle/>
                  <a:p>
                    <a:fld id="{3A3A54A5-90DA-48E3-8646-021DCA7693A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C9D4-4B03-B78E-F994B009EF2E}"/>
                </c:ext>
              </c:extLst>
            </c:dLbl>
            <c:dLbl>
              <c:idx val="25"/>
              <c:tx>
                <c:rich>
                  <a:bodyPr/>
                  <a:lstStyle/>
                  <a:p>
                    <a:fld id="{3BC200A9-1A5B-4AAE-B1AF-6C4A312CA48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C9D4-4B03-B78E-F994B009EF2E}"/>
                </c:ext>
              </c:extLst>
            </c:dLbl>
            <c:dLbl>
              <c:idx val="26"/>
              <c:tx>
                <c:rich>
                  <a:bodyPr/>
                  <a:lstStyle/>
                  <a:p>
                    <a:fld id="{72EF1934-19C4-4D7A-BC9D-B721B1EED77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C9D4-4B03-B78E-F994B009EF2E}"/>
                </c:ext>
              </c:extLst>
            </c:dLbl>
            <c:dLbl>
              <c:idx val="27"/>
              <c:tx>
                <c:rich>
                  <a:bodyPr/>
                  <a:lstStyle/>
                  <a:p>
                    <a:fld id="{ADDD2686-41ED-480A-BF48-24A197D31C3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C9D4-4B03-B78E-F994B009EF2E}"/>
                </c:ext>
              </c:extLst>
            </c:dLbl>
            <c:dLbl>
              <c:idx val="28"/>
              <c:tx>
                <c:rich>
                  <a:bodyPr/>
                  <a:lstStyle/>
                  <a:p>
                    <a:fld id="{2E728E96-4D0D-4C32-801B-8675CF6B781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C9D4-4B03-B78E-F994B009EF2E}"/>
                </c:ext>
              </c:extLst>
            </c:dLbl>
            <c:dLbl>
              <c:idx val="29"/>
              <c:tx>
                <c:rich>
                  <a:bodyPr/>
                  <a:lstStyle/>
                  <a:p>
                    <a:fld id="{0709FC18-EA70-459B-9CE8-250B342A201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C9D4-4B03-B78E-F994B009EF2E}"/>
                </c:ext>
              </c:extLst>
            </c:dLbl>
            <c:dLbl>
              <c:idx val="30"/>
              <c:tx>
                <c:rich>
                  <a:bodyPr/>
                  <a:lstStyle/>
                  <a:p>
                    <a:fld id="{2495DECF-771E-499A-B617-DC44F978856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C9D4-4B03-B78E-F994B009EF2E}"/>
                </c:ext>
              </c:extLst>
            </c:dLbl>
            <c:dLbl>
              <c:idx val="31"/>
              <c:tx>
                <c:rich>
                  <a:bodyPr/>
                  <a:lstStyle/>
                  <a:p>
                    <a:fld id="{EBB845D1-0275-4FDB-9732-8ACC55DE820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4-C9D4-4B03-B78E-F994B009EF2E}"/>
                </c:ext>
              </c:extLst>
            </c:dLbl>
            <c:dLbl>
              <c:idx val="32"/>
              <c:tx>
                <c:rich>
                  <a:bodyPr/>
                  <a:lstStyle/>
                  <a:p>
                    <a:fld id="{D72F61EE-C305-4BF0-A54E-9174B8BBD92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C9D4-4B03-B78E-F994B009EF2E}"/>
                </c:ext>
              </c:extLst>
            </c:dLbl>
            <c:dLbl>
              <c:idx val="33"/>
              <c:tx>
                <c:rich>
                  <a:bodyPr/>
                  <a:lstStyle/>
                  <a:p>
                    <a:fld id="{048280D5-F030-489E-B005-49467D3C122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C9D4-4B03-B78E-F994B009EF2E}"/>
                </c:ext>
              </c:extLst>
            </c:dLbl>
            <c:dLbl>
              <c:idx val="34"/>
              <c:tx>
                <c:rich>
                  <a:bodyPr/>
                  <a:lstStyle/>
                  <a:p>
                    <a:fld id="{18D970B5-5DBD-42B7-921A-BE192DC1EED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7-C9D4-4B03-B78E-F994B009EF2E}"/>
                </c:ext>
              </c:extLst>
            </c:dLbl>
            <c:dLbl>
              <c:idx val="35"/>
              <c:tx>
                <c:rich>
                  <a:bodyPr/>
                  <a:lstStyle/>
                  <a:p>
                    <a:fld id="{5FB3CE03-2C51-4316-93A2-6C9D9B52EA8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C9D4-4B03-B78E-F994B009EF2E}"/>
                </c:ext>
              </c:extLst>
            </c:dLbl>
            <c:dLbl>
              <c:idx val="36"/>
              <c:tx>
                <c:rich>
                  <a:bodyPr/>
                  <a:lstStyle/>
                  <a:p>
                    <a:fld id="{BEC82CE5-79F5-4521-B20D-F67EB5F81FA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C9D4-4B03-B78E-F994B009EF2E}"/>
                </c:ext>
              </c:extLst>
            </c:dLbl>
            <c:dLbl>
              <c:idx val="37"/>
              <c:tx>
                <c:rich>
                  <a:bodyPr/>
                  <a:lstStyle/>
                  <a:p>
                    <a:fld id="{59EE27D8-CBA1-4B62-9665-96379AF280D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A-C9D4-4B03-B78E-F994B009EF2E}"/>
                </c:ext>
              </c:extLst>
            </c:dLbl>
            <c:dLbl>
              <c:idx val="38"/>
              <c:tx>
                <c:rich>
                  <a:bodyPr/>
                  <a:lstStyle/>
                  <a:p>
                    <a:fld id="{83D3D4CE-EC50-4EEE-B62A-34793EF72E8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C9D4-4B03-B78E-F994B009EF2E}"/>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graf'!$AB$32:$AB$70</c:f>
              <c:numCache>
                <c:formatCode>General</c:formatCode>
                <c:ptCount val="39"/>
                <c:pt idx="0">
                  <c:v>60</c:v>
                </c:pt>
                <c:pt idx="1">
                  <c:v>60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c:v>
                </c:pt>
                <c:pt idx="19">
                  <c:v>60</c:v>
                </c:pt>
                <c:pt idx="20">
                  <c:v>60</c:v>
                </c:pt>
                <c:pt idx="21">
                  <c:v>60</c:v>
                </c:pt>
                <c:pt idx="22">
                  <c:v>60</c:v>
                </c:pt>
                <c:pt idx="23">
                  <c:v>60</c:v>
                </c:pt>
                <c:pt idx="24">
                  <c:v>60</c:v>
                </c:pt>
                <c:pt idx="25">
                  <c:v>60</c:v>
                </c:pt>
                <c:pt idx="26">
                  <c:v>60</c:v>
                </c:pt>
                <c:pt idx="27">
                  <c:v>60</c:v>
                </c:pt>
                <c:pt idx="28">
                  <c:v>60</c:v>
                </c:pt>
                <c:pt idx="29">
                  <c:v>60</c:v>
                </c:pt>
                <c:pt idx="30">
                  <c:v>60</c:v>
                </c:pt>
                <c:pt idx="31">
                  <c:v>60</c:v>
                </c:pt>
                <c:pt idx="32">
                  <c:v>60</c:v>
                </c:pt>
                <c:pt idx="33">
                  <c:v>60</c:v>
                </c:pt>
                <c:pt idx="34">
                  <c:v>60</c:v>
                </c:pt>
                <c:pt idx="35">
                  <c:v>60</c:v>
                </c:pt>
                <c:pt idx="36">
                  <c:v>60</c:v>
                </c:pt>
                <c:pt idx="37">
                  <c:v>60</c:v>
                </c:pt>
                <c:pt idx="38">
                  <c:v>60</c:v>
                </c:pt>
              </c:numCache>
            </c:numRef>
          </c:val>
          <c:smooth val="0"/>
          <c:extLst>
            <c:ext xmlns:c15="http://schemas.microsoft.com/office/drawing/2012/chart" uri="{02D57815-91ED-43cb-92C2-25804820EDAC}">
              <c15:datalabelsRange>
                <c15:f>'Prerađivačka_6 graf'!$E$32:$E$70</c15:f>
                <c15:dlblRangeCache>
                  <c:ptCount val="3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15:dlblRangeCache>
              </c15:datalabelsRange>
            </c:ext>
            <c:ext xmlns:c16="http://schemas.microsoft.com/office/drawing/2014/chart" uri="{C3380CC4-5D6E-409C-BE32-E72D297353CC}">
              <c16:uniqueId val="{0000002C-C9D4-4B03-B78E-F994B009EF2E}"/>
            </c:ext>
          </c:extLst>
        </c:ser>
        <c:ser>
          <c:idx val="0"/>
          <c:order val="2"/>
          <c:tx>
            <c:strRef>
              <c:f>'Prerađivačka_6 graf'!$AC$7</c:f>
              <c:strCache>
                <c:ptCount val="1"/>
                <c:pt idx="0">
                  <c:v>y</c:v>
                </c:pt>
              </c:strCache>
            </c:strRef>
          </c:tx>
          <c:spPr>
            <a:ln w="12700" cap="rnd">
              <a:solidFill>
                <a:srgbClr val="7F3F98"/>
              </a:solidFill>
              <a:prstDash val="sysDash"/>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graf'!$AC$32:$AC$70</c:f>
              <c:numCache>
                <c:formatCode>0.0</c:formatCode>
                <c:ptCount val="39"/>
                <c:pt idx="0">
                  <c:v>75.204765450484004</c:v>
                </c:pt>
                <c:pt idx="1">
                  <c:v>78.108711839166062</c:v>
                </c:pt>
                <c:pt idx="2">
                  <c:v>87.192851824274015</c:v>
                </c:pt>
                <c:pt idx="3">
                  <c:v>91.734921816828006</c:v>
                </c:pt>
                <c:pt idx="4">
                  <c:v>100.96798212956068</c:v>
                </c:pt>
                <c:pt idx="5">
                  <c:v>91.660461653015645</c:v>
                </c:pt>
                <c:pt idx="6">
                  <c:v>99.478778853313486</c:v>
                </c:pt>
                <c:pt idx="7">
                  <c:v>72.970960536113196</c:v>
                </c:pt>
                <c:pt idx="8">
                  <c:v>89.873417721519004</c:v>
                </c:pt>
                <c:pt idx="9">
                  <c:v>107.59493670886077</c:v>
                </c:pt>
                <c:pt idx="10">
                  <c:v>107.59493670886077</c:v>
                </c:pt>
                <c:pt idx="11">
                  <c:v>111.54132539091589</c:v>
                </c:pt>
                <c:pt idx="12">
                  <c:v>80.565897244973954</c:v>
                </c:pt>
                <c:pt idx="13">
                  <c:v>100.07446016381239</c:v>
                </c:pt>
                <c:pt idx="14">
                  <c:v>100.37230081906183</c:v>
                </c:pt>
                <c:pt idx="15">
                  <c:v>104.39314966492927</c:v>
                </c:pt>
                <c:pt idx="16">
                  <c:v>115.71109456440807</c:v>
                </c:pt>
                <c:pt idx="17">
                  <c:v>107.07371556217427</c:v>
                </c:pt>
                <c:pt idx="18">
                  <c:v>95.383469843633662</c:v>
                </c:pt>
                <c:pt idx="19">
                  <c:v>81.23603871928519</c:v>
                </c:pt>
                <c:pt idx="20">
                  <c:v>93.670886075949383</c:v>
                </c:pt>
                <c:pt idx="21">
                  <c:v>93.224125093075216</c:v>
                </c:pt>
                <c:pt idx="22">
                  <c:v>72.226358897989584</c:v>
                </c:pt>
                <c:pt idx="23">
                  <c:v>95.457930007446024</c:v>
                </c:pt>
                <c:pt idx="24">
                  <c:v>75.582479030754897</c:v>
                </c:pt>
                <c:pt idx="25">
                  <c:v>97.078870496592003</c:v>
                </c:pt>
                <c:pt idx="26">
                  <c:v>105.38979788257939</c:v>
                </c:pt>
                <c:pt idx="27">
                  <c:v>101.11690245718543</c:v>
                </c:pt>
                <c:pt idx="28">
                  <c:v>97.468354430379762</c:v>
                </c:pt>
                <c:pt idx="29">
                  <c:v>102.60610573343263</c:v>
                </c:pt>
                <c:pt idx="30">
                  <c:v>83.32092330603129</c:v>
                </c:pt>
                <c:pt idx="31">
                  <c:v>91.213700670141478</c:v>
                </c:pt>
                <c:pt idx="32">
                  <c:v>103.64854802680566</c:v>
                </c:pt>
                <c:pt idx="33">
                  <c:v>97.393894266567401</c:v>
                </c:pt>
                <c:pt idx="34">
                  <c:v>115.04095309009681</c:v>
                </c:pt>
                <c:pt idx="35">
                  <c:v>130.23082650781834</c:v>
                </c:pt>
                <c:pt idx="36">
                  <c:v>80.8</c:v>
                </c:pt>
                <c:pt idx="37">
                  <c:v>102.5</c:v>
                </c:pt>
                <c:pt idx="38">
                  <c:v>109.5</c:v>
                </c:pt>
              </c:numCache>
            </c:numRef>
          </c:val>
          <c:smooth val="0"/>
          <c:extLst>
            <c:ext xmlns:c16="http://schemas.microsoft.com/office/drawing/2014/chart" uri="{C3380CC4-5D6E-409C-BE32-E72D297353CC}">
              <c16:uniqueId val="{0000002D-C9D4-4B03-B78E-F994B009EF2E}"/>
            </c:ext>
          </c:extLst>
        </c:ser>
        <c:ser>
          <c:idx val="1"/>
          <c:order val="3"/>
          <c:tx>
            <c:strRef>
              <c:f>'Prerađivačka_6 graf'!$AD$7</c:f>
              <c:strCache>
                <c:ptCount val="1"/>
                <c:pt idx="0">
                  <c:v>sa</c:v>
                </c:pt>
              </c:strCache>
            </c:strRef>
          </c:tx>
          <c:spPr>
            <a:ln w="22225" cap="rnd">
              <a:solidFill>
                <a:srgbClr val="25AAE1"/>
              </a:solidFill>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graf'!$AD$32:$AD$70</c:f>
              <c:numCache>
                <c:formatCode>0.0</c:formatCode>
                <c:ptCount val="39"/>
                <c:pt idx="0">
                  <c:v>89.869750051626013</c:v>
                </c:pt>
                <c:pt idx="1">
                  <c:v>81.959395098062515</c:v>
                </c:pt>
                <c:pt idx="2">
                  <c:v>86.804750550097197</c:v>
                </c:pt>
                <c:pt idx="3">
                  <c:v>91.096626796165097</c:v>
                </c:pt>
                <c:pt idx="4">
                  <c:v>92.047302605756656</c:v>
                </c:pt>
                <c:pt idx="5">
                  <c:v>89.755653011601112</c:v>
                </c:pt>
                <c:pt idx="6">
                  <c:v>99.881091628720057</c:v>
                </c:pt>
                <c:pt idx="7">
                  <c:v>80.557063335676759</c:v>
                </c:pt>
                <c:pt idx="8">
                  <c:v>91.677299197943967</c:v>
                </c:pt>
                <c:pt idx="9">
                  <c:v>104.29665312713652</c:v>
                </c:pt>
                <c:pt idx="10">
                  <c:v>100.35882415038913</c:v>
                </c:pt>
                <c:pt idx="11">
                  <c:v>102.35738350757055</c:v>
                </c:pt>
                <c:pt idx="12">
                  <c:v>97.973004370256831</c:v>
                </c:pt>
                <c:pt idx="13">
                  <c:v>98.71302964816735</c:v>
                </c:pt>
                <c:pt idx="14">
                  <c:v>98.31117605441402</c:v>
                </c:pt>
                <c:pt idx="15">
                  <c:v>102.68482521576477</c:v>
                </c:pt>
                <c:pt idx="16">
                  <c:v>107.3128998510995</c:v>
                </c:pt>
                <c:pt idx="17">
                  <c:v>102.84657856995972</c:v>
                </c:pt>
                <c:pt idx="18">
                  <c:v>96.606026145163895</c:v>
                </c:pt>
                <c:pt idx="19">
                  <c:v>91.486362017118083</c:v>
                </c:pt>
                <c:pt idx="20">
                  <c:v>94.759674707096181</c:v>
                </c:pt>
                <c:pt idx="21">
                  <c:v>90.893105849320406</c:v>
                </c:pt>
                <c:pt idx="22">
                  <c:v>67.665042611120626</c:v>
                </c:pt>
                <c:pt idx="23">
                  <c:v>85.44468203223478</c:v>
                </c:pt>
                <c:pt idx="24">
                  <c:v>94.795587182259652</c:v>
                </c:pt>
                <c:pt idx="25">
                  <c:v>101.55217745043561</c:v>
                </c:pt>
                <c:pt idx="26">
                  <c:v>101.66675997954886</c:v>
                </c:pt>
                <c:pt idx="27">
                  <c:v>98.873092761338839</c:v>
                </c:pt>
                <c:pt idx="28">
                  <c:v>89.383994835635761</c:v>
                </c:pt>
                <c:pt idx="29">
                  <c:v>98.177839635662153</c:v>
                </c:pt>
                <c:pt idx="30">
                  <c:v>85.651312433901097</c:v>
                </c:pt>
                <c:pt idx="31">
                  <c:v>102.70029522582165</c:v>
                </c:pt>
                <c:pt idx="32">
                  <c:v>104.57330045079638</c:v>
                </c:pt>
                <c:pt idx="33">
                  <c:v>96.170471700095575</c:v>
                </c:pt>
                <c:pt idx="34">
                  <c:v>107.90985033531746</c:v>
                </c:pt>
                <c:pt idx="35">
                  <c:v>115.49150038185279</c:v>
                </c:pt>
                <c:pt idx="36">
                  <c:v>101.23288711286199</c:v>
                </c:pt>
                <c:pt idx="37">
                  <c:v>106.07204834374457</c:v>
                </c:pt>
                <c:pt idx="38">
                  <c:v>104.68567869769984</c:v>
                </c:pt>
              </c:numCache>
            </c:numRef>
          </c:val>
          <c:smooth val="0"/>
          <c:extLst>
            <c:ext xmlns:c16="http://schemas.microsoft.com/office/drawing/2014/chart" uri="{C3380CC4-5D6E-409C-BE32-E72D297353CC}">
              <c16:uniqueId val="{0000002E-C9D4-4B03-B78E-F994B009EF2E}"/>
            </c:ext>
          </c:extLst>
        </c:ser>
        <c:ser>
          <c:idx val="2"/>
          <c:order val="4"/>
          <c:tx>
            <c:strRef>
              <c:f>'Prerađivačka_6 graf'!$AE$7</c:f>
              <c:strCache>
                <c:ptCount val="1"/>
                <c:pt idx="0">
                  <c:v>t</c:v>
                </c:pt>
              </c:strCache>
            </c:strRef>
          </c:tx>
          <c:spPr>
            <a:ln w="25400" cap="rnd">
              <a:solidFill>
                <a:srgbClr val="FF0000"/>
              </a:solidFill>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graf'!$AE$32:$AE$70</c:f>
              <c:numCache>
                <c:formatCode>0.0</c:formatCode>
                <c:ptCount val="39"/>
                <c:pt idx="0">
                  <c:v>88.977630224093588</c:v>
                </c:pt>
                <c:pt idx="1">
                  <c:v>88.227950111293381</c:v>
                </c:pt>
                <c:pt idx="2">
                  <c:v>88.339442127253406</c:v>
                </c:pt>
                <c:pt idx="3">
                  <c:v>89.179123493082415</c:v>
                </c:pt>
                <c:pt idx="4">
                  <c:v>90.47504160458611</c:v>
                </c:pt>
                <c:pt idx="5">
                  <c:v>92.053237318962019</c:v>
                </c:pt>
                <c:pt idx="6">
                  <c:v>93.780836148899311</c:v>
                </c:pt>
                <c:pt idx="7">
                  <c:v>95.577544592788755</c:v>
                </c:pt>
                <c:pt idx="8">
                  <c:v>97.339462893421256</c:v>
                </c:pt>
                <c:pt idx="9">
                  <c:v>98.849015443357288</c:v>
                </c:pt>
                <c:pt idx="10">
                  <c:v>99.706157950833116</c:v>
                </c:pt>
                <c:pt idx="11">
                  <c:v>99.98105574694722</c:v>
                </c:pt>
                <c:pt idx="12">
                  <c:v>100.18626813628758</c:v>
                </c:pt>
                <c:pt idx="13">
                  <c:v>100.73855032642111</c:v>
                </c:pt>
                <c:pt idx="14">
                  <c:v>101.40124015603548</c:v>
                </c:pt>
                <c:pt idx="15">
                  <c:v>101.95895964939035</c:v>
                </c:pt>
                <c:pt idx="16">
                  <c:v>101.94152169180782</c:v>
                </c:pt>
                <c:pt idx="17">
                  <c:v>100.78901536196078</c:v>
                </c:pt>
                <c:pt idx="18">
                  <c:v>98.412719703939942</c:v>
                </c:pt>
                <c:pt idx="19">
                  <c:v>95.171524278863274</c:v>
                </c:pt>
                <c:pt idx="20">
                  <c:v>92.085580958156072</c:v>
                </c:pt>
                <c:pt idx="21">
                  <c:v>90.247186548197163</c:v>
                </c:pt>
                <c:pt idx="22">
                  <c:v>90.367233211337293</c:v>
                </c:pt>
                <c:pt idx="23">
                  <c:v>91.970066523136424</c:v>
                </c:pt>
                <c:pt idx="24">
                  <c:v>94.177373043104581</c:v>
                </c:pt>
                <c:pt idx="25">
                  <c:v>96.1245848286013</c:v>
                </c:pt>
                <c:pt idx="26">
                  <c:v>97.307212275400744</c:v>
                </c:pt>
                <c:pt idx="27">
                  <c:v>97.745645979496061</c:v>
                </c:pt>
                <c:pt idx="28">
                  <c:v>97.620168403661879</c:v>
                </c:pt>
                <c:pt idx="29">
                  <c:v>97.547959747085258</c:v>
                </c:pt>
                <c:pt idx="30">
                  <c:v>98.473879926420125</c:v>
                </c:pt>
                <c:pt idx="31">
                  <c:v>100.54459098353391</c:v>
                </c:pt>
                <c:pt idx="32">
                  <c:v>103.06063704250764</c:v>
                </c:pt>
                <c:pt idx="33">
                  <c:v>105.20391896626734</c:v>
                </c:pt>
                <c:pt idx="34">
                  <c:v>106.44997813291386</c:v>
                </c:pt>
                <c:pt idx="35">
                  <c:v>106.70785603598894</c:v>
                </c:pt>
                <c:pt idx="36">
                  <c:v>106.24493224699457</c:v>
                </c:pt>
                <c:pt idx="37">
                  <c:v>105.3098372846686</c:v>
                </c:pt>
                <c:pt idx="38">
                  <c:v>104.41828293877539</c:v>
                </c:pt>
              </c:numCache>
            </c:numRef>
          </c:val>
          <c:smooth val="0"/>
          <c:extLst>
            <c:ext xmlns:c16="http://schemas.microsoft.com/office/drawing/2014/chart" uri="{C3380CC4-5D6E-409C-BE32-E72D297353CC}">
              <c16:uniqueId val="{0000002F-C9D4-4B03-B78E-F994B009EF2E}"/>
            </c:ext>
          </c:extLst>
        </c:ser>
        <c:dLbls>
          <c:showLegendKey val="0"/>
          <c:showVal val="0"/>
          <c:showCatName val="0"/>
          <c:showSerName val="0"/>
          <c:showPercent val="0"/>
          <c:showBubbleSize val="0"/>
        </c:dLbls>
        <c:marker val="1"/>
        <c:smooth val="0"/>
        <c:axId val="2092140944"/>
        <c:axId val="2092131696"/>
      </c:lineChart>
      <c:dateAx>
        <c:axId val="2092140944"/>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2092131696"/>
        <c:crosses val="autoZero"/>
        <c:auto val="1"/>
        <c:lblOffset val="0"/>
        <c:baseTimeUnit val="months"/>
        <c:majorUnit val="12"/>
        <c:majorTimeUnit val="months"/>
      </c:dateAx>
      <c:valAx>
        <c:axId val="2092131696"/>
        <c:scaling>
          <c:orientation val="minMax"/>
          <c:max val="130"/>
          <c:min val="6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40944"/>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graf'!$BK$7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8.1024909804892103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681-4C8F-9CBB-03D1B261D314}"/>
                </c:ext>
              </c:extLst>
            </c:dLbl>
            <c:dLbl>
              <c:idx val="12"/>
              <c:layout>
                <c:manualLayout>
                  <c:x val="8.0949826874752981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681-4C8F-9CBB-03D1B261D314}"/>
                </c:ext>
              </c:extLst>
            </c:dLbl>
            <c:dLbl>
              <c:idx val="24"/>
              <c:layout>
                <c:manualLayout>
                  <c:x val="8.3849905051377932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681-4C8F-9CBB-03D1B261D314}"/>
                </c:ext>
              </c:extLst>
            </c:dLbl>
            <c:dLbl>
              <c:idx val="36"/>
              <c:layout>
                <c:manualLayout>
                  <c:x val="-3.0356086226971351E-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681-4C8F-9CBB-03D1B261D314}"/>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graf'!$BK$32:$BK$70</c:f>
              <c:numCache>
                <c:formatCode>General</c:formatCode>
                <c:ptCount val="39"/>
                <c:pt idx="0">
                  <c:v>30</c:v>
                </c:pt>
                <c:pt idx="12">
                  <c:v>30</c:v>
                </c:pt>
                <c:pt idx="24">
                  <c:v>30</c:v>
                </c:pt>
                <c:pt idx="36">
                  <c:v>30</c:v>
                </c:pt>
              </c:numCache>
            </c:numRef>
          </c:val>
          <c:smooth val="0"/>
          <c:extLst>
            <c:ext xmlns:c16="http://schemas.microsoft.com/office/drawing/2014/chart" uri="{C3380CC4-5D6E-409C-BE32-E72D297353CC}">
              <c16:uniqueId val="{00000004-9681-4C8F-9CBB-03D1B261D314}"/>
            </c:ext>
          </c:extLst>
        </c:ser>
        <c:ser>
          <c:idx val="4"/>
          <c:order val="1"/>
          <c:tx>
            <c:strRef>
              <c:f>'Prerađivačka_6 graf'!$BL$7</c:f>
              <c:strCache>
                <c:ptCount val="1"/>
                <c:pt idx="0">
                  <c:v>Series5</c:v>
                </c:pt>
              </c:strCache>
            </c:strRef>
          </c:tx>
          <c:spPr>
            <a:ln w="25400" cap="rnd">
              <a:noFill/>
              <a:round/>
            </a:ln>
            <a:effectLst/>
          </c:spPr>
          <c:marker>
            <c:symbol val="none"/>
          </c:marker>
          <c:dLbls>
            <c:dLbl>
              <c:idx val="0"/>
              <c:tx>
                <c:rich>
                  <a:bodyPr/>
                  <a:lstStyle/>
                  <a:p>
                    <a:fld id="{D86D819B-B01C-4F57-B11F-65B862D8CDD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9681-4C8F-9CBB-03D1B261D314}"/>
                </c:ext>
              </c:extLst>
            </c:dLbl>
            <c:dLbl>
              <c:idx val="1"/>
              <c:tx>
                <c:rich>
                  <a:bodyPr/>
                  <a:lstStyle/>
                  <a:p>
                    <a:fld id="{6827FB0E-E402-40C5-8504-90E7113A0AC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9681-4C8F-9CBB-03D1B261D314}"/>
                </c:ext>
              </c:extLst>
            </c:dLbl>
            <c:dLbl>
              <c:idx val="2"/>
              <c:tx>
                <c:rich>
                  <a:bodyPr/>
                  <a:lstStyle/>
                  <a:p>
                    <a:fld id="{FCE69DC2-A67A-4218-AFDA-AD61FBD9432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9681-4C8F-9CBB-03D1B261D314}"/>
                </c:ext>
              </c:extLst>
            </c:dLbl>
            <c:dLbl>
              <c:idx val="3"/>
              <c:tx>
                <c:rich>
                  <a:bodyPr/>
                  <a:lstStyle/>
                  <a:p>
                    <a:fld id="{CB24F1C8-E67A-43AF-AFEB-4EA281650C8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9681-4C8F-9CBB-03D1B261D314}"/>
                </c:ext>
              </c:extLst>
            </c:dLbl>
            <c:dLbl>
              <c:idx val="4"/>
              <c:tx>
                <c:rich>
                  <a:bodyPr/>
                  <a:lstStyle/>
                  <a:p>
                    <a:fld id="{B56C4943-3761-4679-97D1-B67FD5765B6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9681-4C8F-9CBB-03D1B261D314}"/>
                </c:ext>
              </c:extLst>
            </c:dLbl>
            <c:dLbl>
              <c:idx val="5"/>
              <c:tx>
                <c:rich>
                  <a:bodyPr/>
                  <a:lstStyle/>
                  <a:p>
                    <a:fld id="{D6D45470-8C5E-472F-A6F9-80CD24B1238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9681-4C8F-9CBB-03D1B261D314}"/>
                </c:ext>
              </c:extLst>
            </c:dLbl>
            <c:dLbl>
              <c:idx val="6"/>
              <c:tx>
                <c:rich>
                  <a:bodyPr/>
                  <a:lstStyle/>
                  <a:p>
                    <a:fld id="{C49D1C5B-77F1-489A-8FA5-1275A7709EB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9681-4C8F-9CBB-03D1B261D314}"/>
                </c:ext>
              </c:extLst>
            </c:dLbl>
            <c:dLbl>
              <c:idx val="7"/>
              <c:tx>
                <c:rich>
                  <a:bodyPr/>
                  <a:lstStyle/>
                  <a:p>
                    <a:fld id="{B66C1050-87AD-4C11-B40D-976B559F640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9681-4C8F-9CBB-03D1B261D314}"/>
                </c:ext>
              </c:extLst>
            </c:dLbl>
            <c:dLbl>
              <c:idx val="8"/>
              <c:tx>
                <c:rich>
                  <a:bodyPr/>
                  <a:lstStyle/>
                  <a:p>
                    <a:fld id="{9E39500B-87F0-492B-9C3B-7B146602962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9681-4C8F-9CBB-03D1B261D314}"/>
                </c:ext>
              </c:extLst>
            </c:dLbl>
            <c:dLbl>
              <c:idx val="9"/>
              <c:tx>
                <c:rich>
                  <a:bodyPr/>
                  <a:lstStyle/>
                  <a:p>
                    <a:fld id="{568E6FDE-AFCA-4B8A-8757-AFD98928B4B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9681-4C8F-9CBB-03D1B261D314}"/>
                </c:ext>
              </c:extLst>
            </c:dLbl>
            <c:dLbl>
              <c:idx val="10"/>
              <c:tx>
                <c:rich>
                  <a:bodyPr/>
                  <a:lstStyle/>
                  <a:p>
                    <a:fld id="{2F980AF8-2766-4948-9249-3BC4A7C4F5D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9681-4C8F-9CBB-03D1B261D314}"/>
                </c:ext>
              </c:extLst>
            </c:dLbl>
            <c:dLbl>
              <c:idx val="11"/>
              <c:tx>
                <c:rich>
                  <a:bodyPr/>
                  <a:lstStyle/>
                  <a:p>
                    <a:fld id="{87205268-5689-488E-965C-DCEADD5734C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9681-4C8F-9CBB-03D1B261D314}"/>
                </c:ext>
              </c:extLst>
            </c:dLbl>
            <c:dLbl>
              <c:idx val="12"/>
              <c:tx>
                <c:rich>
                  <a:bodyPr/>
                  <a:lstStyle/>
                  <a:p>
                    <a:fld id="{283EC62B-476B-430D-8D42-3EE5C3F4EF2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9681-4C8F-9CBB-03D1B261D314}"/>
                </c:ext>
              </c:extLst>
            </c:dLbl>
            <c:dLbl>
              <c:idx val="13"/>
              <c:tx>
                <c:rich>
                  <a:bodyPr/>
                  <a:lstStyle/>
                  <a:p>
                    <a:fld id="{A4C2F5B5-00C3-4F19-A60A-8B4540731BD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9681-4C8F-9CBB-03D1B261D314}"/>
                </c:ext>
              </c:extLst>
            </c:dLbl>
            <c:dLbl>
              <c:idx val="14"/>
              <c:tx>
                <c:rich>
                  <a:bodyPr/>
                  <a:lstStyle/>
                  <a:p>
                    <a:fld id="{E0F9D627-BC57-4B2E-B4A3-0004EE14C9C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9681-4C8F-9CBB-03D1B261D314}"/>
                </c:ext>
              </c:extLst>
            </c:dLbl>
            <c:dLbl>
              <c:idx val="15"/>
              <c:tx>
                <c:rich>
                  <a:bodyPr/>
                  <a:lstStyle/>
                  <a:p>
                    <a:fld id="{15E4228D-8DC2-48FA-A123-231CCFA6956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9681-4C8F-9CBB-03D1B261D314}"/>
                </c:ext>
              </c:extLst>
            </c:dLbl>
            <c:dLbl>
              <c:idx val="16"/>
              <c:tx>
                <c:rich>
                  <a:bodyPr/>
                  <a:lstStyle/>
                  <a:p>
                    <a:fld id="{AEC19BC1-C238-48CF-BF78-B250FA124F7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9681-4C8F-9CBB-03D1B261D314}"/>
                </c:ext>
              </c:extLst>
            </c:dLbl>
            <c:dLbl>
              <c:idx val="17"/>
              <c:tx>
                <c:rich>
                  <a:bodyPr/>
                  <a:lstStyle/>
                  <a:p>
                    <a:fld id="{36BF75D4-F6BB-4059-A38F-569A27CE4FF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9681-4C8F-9CBB-03D1B261D314}"/>
                </c:ext>
              </c:extLst>
            </c:dLbl>
            <c:dLbl>
              <c:idx val="18"/>
              <c:tx>
                <c:rich>
                  <a:bodyPr/>
                  <a:lstStyle/>
                  <a:p>
                    <a:fld id="{1BF76C00-8C56-4C6B-BBD4-227D34BE95A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9681-4C8F-9CBB-03D1B261D314}"/>
                </c:ext>
              </c:extLst>
            </c:dLbl>
            <c:dLbl>
              <c:idx val="19"/>
              <c:tx>
                <c:rich>
                  <a:bodyPr/>
                  <a:lstStyle/>
                  <a:p>
                    <a:fld id="{813AAD73-3D12-42B5-B0DC-C973D3C8BBE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9681-4C8F-9CBB-03D1B261D314}"/>
                </c:ext>
              </c:extLst>
            </c:dLbl>
            <c:dLbl>
              <c:idx val="20"/>
              <c:tx>
                <c:rich>
                  <a:bodyPr/>
                  <a:lstStyle/>
                  <a:p>
                    <a:fld id="{ADAED302-312A-4334-AF3D-ED1B37F4ACB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9681-4C8F-9CBB-03D1B261D314}"/>
                </c:ext>
              </c:extLst>
            </c:dLbl>
            <c:dLbl>
              <c:idx val="21"/>
              <c:tx>
                <c:rich>
                  <a:bodyPr/>
                  <a:lstStyle/>
                  <a:p>
                    <a:fld id="{1B25C97B-F4EF-4EBF-A9C7-155AB1C3094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9681-4C8F-9CBB-03D1B261D314}"/>
                </c:ext>
              </c:extLst>
            </c:dLbl>
            <c:dLbl>
              <c:idx val="22"/>
              <c:tx>
                <c:rich>
                  <a:bodyPr/>
                  <a:lstStyle/>
                  <a:p>
                    <a:fld id="{823A3C9A-B50C-49CE-8E0A-A536FFCD2F7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9681-4C8F-9CBB-03D1B261D314}"/>
                </c:ext>
              </c:extLst>
            </c:dLbl>
            <c:dLbl>
              <c:idx val="23"/>
              <c:tx>
                <c:rich>
                  <a:bodyPr/>
                  <a:lstStyle/>
                  <a:p>
                    <a:fld id="{8BE9A68F-382F-480A-B695-D9CDB9B4515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9681-4C8F-9CBB-03D1B261D314}"/>
                </c:ext>
              </c:extLst>
            </c:dLbl>
            <c:dLbl>
              <c:idx val="24"/>
              <c:tx>
                <c:rich>
                  <a:bodyPr/>
                  <a:lstStyle/>
                  <a:p>
                    <a:fld id="{A4C83659-48F2-43CF-8A01-8B34F0FDB34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9681-4C8F-9CBB-03D1B261D314}"/>
                </c:ext>
              </c:extLst>
            </c:dLbl>
            <c:dLbl>
              <c:idx val="25"/>
              <c:tx>
                <c:rich>
                  <a:bodyPr/>
                  <a:lstStyle/>
                  <a:p>
                    <a:fld id="{EDE62221-526A-4E35-9559-6328413B2B3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9681-4C8F-9CBB-03D1B261D314}"/>
                </c:ext>
              </c:extLst>
            </c:dLbl>
            <c:dLbl>
              <c:idx val="26"/>
              <c:tx>
                <c:rich>
                  <a:bodyPr/>
                  <a:lstStyle/>
                  <a:p>
                    <a:fld id="{7E0308EE-A50E-480E-A6C3-355FF15EEC9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9681-4C8F-9CBB-03D1B261D314}"/>
                </c:ext>
              </c:extLst>
            </c:dLbl>
            <c:dLbl>
              <c:idx val="27"/>
              <c:tx>
                <c:rich>
                  <a:bodyPr/>
                  <a:lstStyle/>
                  <a:p>
                    <a:fld id="{63D4F4B6-6FC9-44AA-B259-0E01B79E209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9681-4C8F-9CBB-03D1B261D314}"/>
                </c:ext>
              </c:extLst>
            </c:dLbl>
            <c:dLbl>
              <c:idx val="28"/>
              <c:tx>
                <c:rich>
                  <a:bodyPr/>
                  <a:lstStyle/>
                  <a:p>
                    <a:fld id="{CED320D6-F8D8-47F8-85F7-2CDF8399E7C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9681-4C8F-9CBB-03D1B261D314}"/>
                </c:ext>
              </c:extLst>
            </c:dLbl>
            <c:dLbl>
              <c:idx val="29"/>
              <c:tx>
                <c:rich>
                  <a:bodyPr/>
                  <a:lstStyle/>
                  <a:p>
                    <a:fld id="{96E16182-FAE4-4872-AC4D-C907DCC5FB5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9681-4C8F-9CBB-03D1B261D314}"/>
                </c:ext>
              </c:extLst>
            </c:dLbl>
            <c:dLbl>
              <c:idx val="30"/>
              <c:tx>
                <c:rich>
                  <a:bodyPr/>
                  <a:lstStyle/>
                  <a:p>
                    <a:fld id="{5A408F49-242F-4D3D-A5C7-AFA071BEC28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9681-4C8F-9CBB-03D1B261D314}"/>
                </c:ext>
              </c:extLst>
            </c:dLbl>
            <c:dLbl>
              <c:idx val="31"/>
              <c:tx>
                <c:rich>
                  <a:bodyPr/>
                  <a:lstStyle/>
                  <a:p>
                    <a:fld id="{57E9D985-8519-4E44-928F-1A5907C4BAE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4-9681-4C8F-9CBB-03D1B261D314}"/>
                </c:ext>
              </c:extLst>
            </c:dLbl>
            <c:dLbl>
              <c:idx val="32"/>
              <c:tx>
                <c:rich>
                  <a:bodyPr/>
                  <a:lstStyle/>
                  <a:p>
                    <a:fld id="{AF04A5F3-F9EC-42D9-A0AE-6F13B1F91F2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9681-4C8F-9CBB-03D1B261D314}"/>
                </c:ext>
              </c:extLst>
            </c:dLbl>
            <c:dLbl>
              <c:idx val="33"/>
              <c:tx>
                <c:rich>
                  <a:bodyPr/>
                  <a:lstStyle/>
                  <a:p>
                    <a:fld id="{8F4DF42D-27AC-430F-9C53-2CE3BF3CCD0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9681-4C8F-9CBB-03D1B261D314}"/>
                </c:ext>
              </c:extLst>
            </c:dLbl>
            <c:dLbl>
              <c:idx val="34"/>
              <c:tx>
                <c:rich>
                  <a:bodyPr/>
                  <a:lstStyle/>
                  <a:p>
                    <a:fld id="{9A5A88E3-6701-48D9-8670-DE3B65BC57E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7-9681-4C8F-9CBB-03D1B261D314}"/>
                </c:ext>
              </c:extLst>
            </c:dLbl>
            <c:dLbl>
              <c:idx val="35"/>
              <c:tx>
                <c:rich>
                  <a:bodyPr/>
                  <a:lstStyle/>
                  <a:p>
                    <a:fld id="{EBC1DED5-AFCD-4BE6-950F-B90F1C9176F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9681-4C8F-9CBB-03D1B261D314}"/>
                </c:ext>
              </c:extLst>
            </c:dLbl>
            <c:dLbl>
              <c:idx val="36"/>
              <c:tx>
                <c:rich>
                  <a:bodyPr/>
                  <a:lstStyle/>
                  <a:p>
                    <a:fld id="{FEAE2484-AAAB-447F-A8AA-AE07FD83325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9681-4C8F-9CBB-03D1B261D314}"/>
                </c:ext>
              </c:extLst>
            </c:dLbl>
            <c:dLbl>
              <c:idx val="37"/>
              <c:tx>
                <c:rich>
                  <a:bodyPr/>
                  <a:lstStyle/>
                  <a:p>
                    <a:fld id="{F9106342-046E-4926-AB57-7670BC4E87D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A-9681-4C8F-9CBB-03D1B261D314}"/>
                </c:ext>
              </c:extLst>
            </c:dLbl>
            <c:dLbl>
              <c:idx val="38"/>
              <c:tx>
                <c:rich>
                  <a:bodyPr/>
                  <a:lstStyle/>
                  <a:p>
                    <a:fld id="{EEE11F06-65FC-4052-A2AC-AB4EEB337F8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9681-4C8F-9CBB-03D1B261D314}"/>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graf'!$BL$32:$BL$70</c:f>
              <c:numCache>
                <c:formatCode>General</c:formatCode>
                <c:ptCount val="39"/>
                <c:pt idx="0">
                  <c:v>30</c:v>
                </c:pt>
                <c:pt idx="1">
                  <c:v>30</c:v>
                </c:pt>
                <c:pt idx="2">
                  <c:v>30</c:v>
                </c:pt>
                <c:pt idx="3">
                  <c:v>30</c:v>
                </c:pt>
                <c:pt idx="4">
                  <c:v>30</c:v>
                </c:pt>
                <c:pt idx="5">
                  <c:v>30</c:v>
                </c:pt>
                <c:pt idx="6">
                  <c:v>30</c:v>
                </c:pt>
                <c:pt idx="7">
                  <c:v>30</c:v>
                </c:pt>
                <c:pt idx="8">
                  <c:v>30</c:v>
                </c:pt>
                <c:pt idx="9">
                  <c:v>30</c:v>
                </c:pt>
                <c:pt idx="10">
                  <c:v>30</c:v>
                </c:pt>
                <c:pt idx="11">
                  <c:v>30</c:v>
                </c:pt>
                <c:pt idx="12">
                  <c:v>30</c:v>
                </c:pt>
                <c:pt idx="13">
                  <c:v>30</c:v>
                </c:pt>
                <c:pt idx="14">
                  <c:v>30</c:v>
                </c:pt>
                <c:pt idx="15">
                  <c:v>30</c:v>
                </c:pt>
                <c:pt idx="16">
                  <c:v>30</c:v>
                </c:pt>
                <c:pt idx="17">
                  <c:v>30</c:v>
                </c:pt>
                <c:pt idx="18">
                  <c:v>30</c:v>
                </c:pt>
                <c:pt idx="19">
                  <c:v>30</c:v>
                </c:pt>
                <c:pt idx="20">
                  <c:v>30</c:v>
                </c:pt>
                <c:pt idx="21">
                  <c:v>30</c:v>
                </c:pt>
                <c:pt idx="22">
                  <c:v>30</c:v>
                </c:pt>
                <c:pt idx="23">
                  <c:v>30</c:v>
                </c:pt>
                <c:pt idx="24">
                  <c:v>30</c:v>
                </c:pt>
                <c:pt idx="25">
                  <c:v>30</c:v>
                </c:pt>
                <c:pt idx="26">
                  <c:v>30</c:v>
                </c:pt>
                <c:pt idx="27">
                  <c:v>30</c:v>
                </c:pt>
                <c:pt idx="28">
                  <c:v>30</c:v>
                </c:pt>
                <c:pt idx="29">
                  <c:v>30</c:v>
                </c:pt>
                <c:pt idx="30">
                  <c:v>30</c:v>
                </c:pt>
                <c:pt idx="31">
                  <c:v>30</c:v>
                </c:pt>
                <c:pt idx="32">
                  <c:v>30</c:v>
                </c:pt>
                <c:pt idx="33">
                  <c:v>30</c:v>
                </c:pt>
                <c:pt idx="34">
                  <c:v>30</c:v>
                </c:pt>
                <c:pt idx="35">
                  <c:v>30</c:v>
                </c:pt>
                <c:pt idx="36">
                  <c:v>30</c:v>
                </c:pt>
                <c:pt idx="37">
                  <c:v>30</c:v>
                </c:pt>
                <c:pt idx="38">
                  <c:v>30</c:v>
                </c:pt>
              </c:numCache>
            </c:numRef>
          </c:val>
          <c:smooth val="0"/>
          <c:extLst>
            <c:ext xmlns:c15="http://schemas.microsoft.com/office/drawing/2012/chart" uri="{02D57815-91ED-43cb-92C2-25804820EDAC}">
              <c15:datalabelsRange>
                <c15:f>'Prerađivačka_6 graf'!$E$32:$E$70</c15:f>
                <c15:dlblRangeCache>
                  <c:ptCount val="3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15:dlblRangeCache>
              </c15:datalabelsRange>
            </c:ext>
            <c:ext xmlns:c16="http://schemas.microsoft.com/office/drawing/2014/chart" uri="{C3380CC4-5D6E-409C-BE32-E72D297353CC}">
              <c16:uniqueId val="{0000002C-9681-4C8F-9CBB-03D1B261D314}"/>
            </c:ext>
          </c:extLst>
        </c:ser>
        <c:ser>
          <c:idx val="0"/>
          <c:order val="2"/>
          <c:tx>
            <c:strRef>
              <c:f>'Prerađivačka_6 graf'!$BM$7</c:f>
              <c:strCache>
                <c:ptCount val="1"/>
                <c:pt idx="0">
                  <c:v>y</c:v>
                </c:pt>
              </c:strCache>
            </c:strRef>
          </c:tx>
          <c:spPr>
            <a:ln w="12700" cap="rnd">
              <a:solidFill>
                <a:srgbClr val="92278F"/>
              </a:solidFill>
              <a:prstDash val="sysDash"/>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graf'!$BM$32:$BM$70</c:f>
              <c:numCache>
                <c:formatCode>0.0</c:formatCode>
                <c:ptCount val="39"/>
                <c:pt idx="0">
                  <c:v>35.496688741721862</c:v>
                </c:pt>
                <c:pt idx="1">
                  <c:v>63.424787133396421</c:v>
                </c:pt>
                <c:pt idx="2">
                  <c:v>97.332071901608344</c:v>
                </c:pt>
                <c:pt idx="3">
                  <c:v>99.526963103122071</c:v>
                </c:pt>
                <c:pt idx="4">
                  <c:v>104.7492904446547</c:v>
                </c:pt>
                <c:pt idx="5">
                  <c:v>101.64616840113531</c:v>
                </c:pt>
                <c:pt idx="6">
                  <c:v>107.47398297067174</c:v>
                </c:pt>
                <c:pt idx="7">
                  <c:v>110.72847682119209</c:v>
                </c:pt>
                <c:pt idx="8">
                  <c:v>107.32261116367079</c:v>
                </c:pt>
                <c:pt idx="9">
                  <c:v>115.04257332071903</c:v>
                </c:pt>
                <c:pt idx="10">
                  <c:v>95.96972563859984</c:v>
                </c:pt>
                <c:pt idx="11">
                  <c:v>74.474929044465483</c:v>
                </c:pt>
                <c:pt idx="12">
                  <c:v>45.714285714285722</c:v>
                </c:pt>
                <c:pt idx="13">
                  <c:v>64.030274361400203</c:v>
                </c:pt>
                <c:pt idx="14">
                  <c:v>81.665089877010431</c:v>
                </c:pt>
                <c:pt idx="15">
                  <c:v>68.117313150425758</c:v>
                </c:pt>
                <c:pt idx="16">
                  <c:v>101.26773888363296</c:v>
                </c:pt>
                <c:pt idx="17">
                  <c:v>100.88930936613059</c:v>
                </c:pt>
                <c:pt idx="18">
                  <c:v>106.86849574266795</c:v>
                </c:pt>
                <c:pt idx="19">
                  <c:v>108.23084200567648</c:v>
                </c:pt>
                <c:pt idx="20">
                  <c:v>113.60454115421005</c:v>
                </c:pt>
                <c:pt idx="21">
                  <c:v>112.46925260170295</c:v>
                </c:pt>
                <c:pt idx="22">
                  <c:v>103.46263008514664</c:v>
                </c:pt>
                <c:pt idx="23">
                  <c:v>93.926206244087055</c:v>
                </c:pt>
                <c:pt idx="24">
                  <c:v>47.608695652173907</c:v>
                </c:pt>
                <c:pt idx="25">
                  <c:v>72.196478220574619</c:v>
                </c:pt>
                <c:pt idx="26">
                  <c:v>103.7328094302554</c:v>
                </c:pt>
                <c:pt idx="27">
                  <c:v>111.63670766319775</c:v>
                </c:pt>
                <c:pt idx="28">
                  <c:v>116.48060548722803</c:v>
                </c:pt>
                <c:pt idx="29">
                  <c:v>117.23746452223276</c:v>
                </c:pt>
                <c:pt idx="30">
                  <c:v>110.04730368968782</c:v>
                </c:pt>
                <c:pt idx="31">
                  <c:v>103.91674550614951</c:v>
                </c:pt>
                <c:pt idx="32">
                  <c:v>113.52885525070957</c:v>
                </c:pt>
                <c:pt idx="33">
                  <c:v>112.46925260170295</c:v>
                </c:pt>
                <c:pt idx="34">
                  <c:v>102.0245979186377</c:v>
                </c:pt>
                <c:pt idx="35">
                  <c:v>87.56859035004733</c:v>
                </c:pt>
                <c:pt idx="36">
                  <c:v>48.4</c:v>
                </c:pt>
                <c:pt idx="37">
                  <c:v>77.900000000000006</c:v>
                </c:pt>
                <c:pt idx="38">
                  <c:v>105.6</c:v>
                </c:pt>
              </c:numCache>
            </c:numRef>
          </c:val>
          <c:smooth val="0"/>
          <c:extLst>
            <c:ext xmlns:c16="http://schemas.microsoft.com/office/drawing/2014/chart" uri="{C3380CC4-5D6E-409C-BE32-E72D297353CC}">
              <c16:uniqueId val="{0000002D-9681-4C8F-9CBB-03D1B261D314}"/>
            </c:ext>
          </c:extLst>
        </c:ser>
        <c:ser>
          <c:idx val="1"/>
          <c:order val="3"/>
          <c:tx>
            <c:strRef>
              <c:f>'Prerađivačka_6 graf'!$BN$7</c:f>
              <c:strCache>
                <c:ptCount val="1"/>
                <c:pt idx="0">
                  <c:v>sa</c:v>
                </c:pt>
              </c:strCache>
            </c:strRef>
          </c:tx>
          <c:spPr>
            <a:ln w="22225" cap="rnd">
              <a:solidFill>
                <a:srgbClr val="25AAE1"/>
              </a:solidFill>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graf'!$BN$32:$BN$70</c:f>
              <c:numCache>
                <c:formatCode>0.0</c:formatCode>
                <c:ptCount val="39"/>
                <c:pt idx="0">
                  <c:v>77.838233881255391</c:v>
                </c:pt>
                <c:pt idx="1">
                  <c:v>97.377256957170474</c:v>
                </c:pt>
                <c:pt idx="2">
                  <c:v>101.82466765743304</c:v>
                </c:pt>
                <c:pt idx="3">
                  <c:v>90.006049617565949</c:v>
                </c:pt>
                <c:pt idx="4">
                  <c:v>91.229572877248245</c:v>
                </c:pt>
                <c:pt idx="5">
                  <c:v>90.205012409794037</c:v>
                </c:pt>
                <c:pt idx="6">
                  <c:v>94.043517135714424</c:v>
                </c:pt>
                <c:pt idx="7">
                  <c:v>96.56512239701793</c:v>
                </c:pt>
                <c:pt idx="8">
                  <c:v>92.467288707922862</c:v>
                </c:pt>
                <c:pt idx="9">
                  <c:v>95.079545918680026</c:v>
                </c:pt>
                <c:pt idx="10">
                  <c:v>92.987450327499218</c:v>
                </c:pt>
                <c:pt idx="11">
                  <c:v>88.805908528716557</c:v>
                </c:pt>
                <c:pt idx="12">
                  <c:v>99.347399935614504</c:v>
                </c:pt>
                <c:pt idx="13">
                  <c:v>88.656878525988446</c:v>
                </c:pt>
                <c:pt idx="14">
                  <c:v>84.189133771943403</c:v>
                </c:pt>
                <c:pt idx="15">
                  <c:v>61.759057986514293</c:v>
                </c:pt>
                <c:pt idx="16">
                  <c:v>89.175297380778858</c:v>
                </c:pt>
                <c:pt idx="17">
                  <c:v>88.226382087749613</c:v>
                </c:pt>
                <c:pt idx="18">
                  <c:v>93.723203290977935</c:v>
                </c:pt>
                <c:pt idx="19">
                  <c:v>96.229702928135112</c:v>
                </c:pt>
                <c:pt idx="20">
                  <c:v>97.050350726342216</c:v>
                </c:pt>
                <c:pt idx="21">
                  <c:v>94.756827872288284</c:v>
                </c:pt>
                <c:pt idx="22">
                  <c:v>100.12773845562567</c:v>
                </c:pt>
                <c:pt idx="23">
                  <c:v>109.84753888142035</c:v>
                </c:pt>
                <c:pt idx="24">
                  <c:v>103.826739905579</c:v>
                </c:pt>
                <c:pt idx="25">
                  <c:v>106.25648614005154</c:v>
                </c:pt>
                <c:pt idx="26">
                  <c:v>105.54227065671424</c:v>
                </c:pt>
                <c:pt idx="27">
                  <c:v>101.48979838782958</c:v>
                </c:pt>
                <c:pt idx="28">
                  <c:v>100.52904381778163</c:v>
                </c:pt>
                <c:pt idx="29">
                  <c:v>102.92110731985676</c:v>
                </c:pt>
                <c:pt idx="30">
                  <c:v>97.539260242603163</c:v>
                </c:pt>
                <c:pt idx="31">
                  <c:v>91.865329160084599</c:v>
                </c:pt>
                <c:pt idx="32">
                  <c:v>97.103374992209098</c:v>
                </c:pt>
                <c:pt idx="33">
                  <c:v>96.545909497778112</c:v>
                </c:pt>
                <c:pt idx="34">
                  <c:v>97.948711483131973</c:v>
                </c:pt>
                <c:pt idx="35">
                  <c:v>101.75570292370587</c:v>
                </c:pt>
                <c:pt idx="36">
                  <c:v>103.11787660263398</c:v>
                </c:pt>
                <c:pt idx="37">
                  <c:v>113.34132715694771</c:v>
                </c:pt>
                <c:pt idx="38">
                  <c:v>106.79017107653335</c:v>
                </c:pt>
              </c:numCache>
            </c:numRef>
          </c:val>
          <c:smooth val="0"/>
          <c:extLst>
            <c:ext xmlns:c16="http://schemas.microsoft.com/office/drawing/2014/chart" uri="{C3380CC4-5D6E-409C-BE32-E72D297353CC}">
              <c16:uniqueId val="{0000002E-9681-4C8F-9CBB-03D1B261D314}"/>
            </c:ext>
          </c:extLst>
        </c:ser>
        <c:ser>
          <c:idx val="2"/>
          <c:order val="4"/>
          <c:tx>
            <c:strRef>
              <c:f>'Prerađivačka_6 graf'!$BO$7</c:f>
              <c:strCache>
                <c:ptCount val="1"/>
                <c:pt idx="0">
                  <c:v>t</c:v>
                </c:pt>
              </c:strCache>
            </c:strRef>
          </c:tx>
          <c:spPr>
            <a:ln w="25400" cap="rnd">
              <a:solidFill>
                <a:srgbClr val="FF0000"/>
              </a:solidFill>
              <a:round/>
            </a:ln>
            <a:effectLst/>
          </c:spPr>
          <c:marker>
            <c:symbol val="none"/>
          </c:marker>
          <c:cat>
            <c:numRef>
              <c:f>'Prerađivačka_6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'Prerađivačka_6 graf'!$BO$32:$BO$70</c:f>
              <c:numCache>
                <c:formatCode>0.0</c:formatCode>
                <c:ptCount val="39"/>
                <c:pt idx="0">
                  <c:v>91.162699099675919</c:v>
                </c:pt>
                <c:pt idx="1">
                  <c:v>90.782816771562466</c:v>
                </c:pt>
                <c:pt idx="2">
                  <c:v>90.737756111975798</c:v>
                </c:pt>
                <c:pt idx="3">
                  <c:v>91.040037158279048</c:v>
                </c:pt>
                <c:pt idx="4">
                  <c:v>91.577846954389258</c:v>
                </c:pt>
                <c:pt idx="5">
                  <c:v>92.341416517030936</c:v>
                </c:pt>
                <c:pt idx="6">
                  <c:v>93.240594530215276</c:v>
                </c:pt>
                <c:pt idx="7">
                  <c:v>93.982270868796888</c:v>
                </c:pt>
                <c:pt idx="8">
                  <c:v>94.189430998631778</c:v>
                </c:pt>
                <c:pt idx="9">
                  <c:v>93.517039088636167</c:v>
                </c:pt>
                <c:pt idx="10">
                  <c:v>92.106453541588422</c:v>
                </c:pt>
                <c:pt idx="11">
                  <c:v>90.400130389467208</c:v>
                </c:pt>
                <c:pt idx="12">
                  <c:v>88.789738911369653</c:v>
                </c:pt>
                <c:pt idx="13">
                  <c:v>87.647590394038801</c:v>
                </c:pt>
                <c:pt idx="14">
                  <c:v>87.195047770448795</c:v>
                </c:pt>
                <c:pt idx="15">
                  <c:v>87.653377208166717</c:v>
                </c:pt>
                <c:pt idx="16">
                  <c:v>88.929508676949297</c:v>
                </c:pt>
                <c:pt idx="17">
                  <c:v>90.568941200999475</c:v>
                </c:pt>
                <c:pt idx="18">
                  <c:v>92.40171415473192</c:v>
                </c:pt>
                <c:pt idx="19">
                  <c:v>94.341597306578635</c:v>
                </c:pt>
                <c:pt idx="20">
                  <c:v>96.337809078835235</c:v>
                </c:pt>
                <c:pt idx="21">
                  <c:v>98.493611157452108</c:v>
                </c:pt>
                <c:pt idx="22">
                  <c:v>100.77210142930441</c:v>
                </c:pt>
                <c:pt idx="23">
                  <c:v>102.71604729438715</c:v>
                </c:pt>
                <c:pt idx="24">
                  <c:v>104.12946635336158</c:v>
                </c:pt>
                <c:pt idx="25">
                  <c:v>104.87471003600068</c:v>
                </c:pt>
                <c:pt idx="26">
                  <c:v>104.60380977454116</c:v>
                </c:pt>
                <c:pt idx="27">
                  <c:v>103.34622484201952</c:v>
                </c:pt>
                <c:pt idx="28">
                  <c:v>101.4855543428576</c:v>
                </c:pt>
                <c:pt idx="29">
                  <c:v>99.502088437696017</c:v>
                </c:pt>
                <c:pt idx="30">
                  <c:v>97.751070456800718</c:v>
                </c:pt>
                <c:pt idx="31">
                  <c:v>96.603980729450825</c:v>
                </c:pt>
                <c:pt idx="32">
                  <c:v>96.355344601825337</c:v>
                </c:pt>
                <c:pt idx="33">
                  <c:v>97.025580942588178</c:v>
                </c:pt>
                <c:pt idx="34">
                  <c:v>98.536605029469627</c:v>
                </c:pt>
                <c:pt idx="35">
                  <c:v>100.63435749554864</c:v>
                </c:pt>
                <c:pt idx="36">
                  <c:v>102.87062834401496</c:v>
                </c:pt>
                <c:pt idx="37">
                  <c:v>104.84339571495315</c:v>
                </c:pt>
                <c:pt idx="38">
                  <c:v>106.45059674262926</c:v>
                </c:pt>
              </c:numCache>
            </c:numRef>
          </c:val>
          <c:smooth val="0"/>
          <c:extLst>
            <c:ext xmlns:c16="http://schemas.microsoft.com/office/drawing/2014/chart" uri="{C3380CC4-5D6E-409C-BE32-E72D297353CC}">
              <c16:uniqueId val="{0000002F-9681-4C8F-9CBB-03D1B261D314}"/>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2092165968"/>
        <c:crosses val="autoZero"/>
        <c:auto val="1"/>
        <c:lblOffset val="0"/>
        <c:baseTimeUnit val="months"/>
        <c:majorUnit val="12"/>
        <c:majorTimeUnit val="months"/>
      </c:dateAx>
      <c:valAx>
        <c:axId val="2092165968"/>
        <c:scaling>
          <c:orientation val="minMax"/>
          <c:min val="3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80656"/>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'[GRAFIKONI_MAKRO_apr22.xlsx]Prerađivačka_6 graf'!$AF$7</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8.1549291513076785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810-4755-8354-CF4C7E9DC59D}"/>
                </c:ext>
              </c:extLst>
            </c:dLbl>
            <c:dLbl>
              <c:idx val="12"/>
              <c:layout>
                <c:manualLayout>
                  <c:x val="7.656694673662677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810-4755-8354-CF4C7E9DC59D}"/>
                </c:ext>
              </c:extLst>
            </c:dLbl>
            <c:dLbl>
              <c:idx val="24"/>
              <c:layout>
                <c:manualLayout>
                  <c:x val="7.9524148861026961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810-4755-8354-CF4C7E9DC59D}"/>
                </c:ext>
              </c:extLst>
            </c:dLbl>
            <c:dLbl>
              <c:idx val="36"/>
              <c:layout>
                <c:manualLayout>
                  <c:x val="-3.0107638888890505E-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810-4755-8354-CF4C7E9DC59D}"/>
                </c:ext>
              </c:extLst>
            </c:dLbl>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'[GRAFIKONI_MAKRO_apr22.xlsx]Prerađivačka_6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'[GRAFIKONI_MAKRO_apr22.xlsx]Prerađivačka_6 graf'!$AF$32:$AF$70</c:f>
              <c:numCache>
                <c:formatCode>General</c:formatCode>
                <c:ptCount val="39"/>
                <c:pt idx="0">
                  <c:v>40</c:v>
                </c:pt>
                <c:pt idx="12">
                  <c:v>40</c:v>
                </c:pt>
                <c:pt idx="24">
                  <c:v>40</c:v>
                </c:pt>
                <c:pt idx="36">
                  <c:v>40</c:v>
                </c:pt>
              </c:numCache>
            </c:numRef>
          </c:val>
          <c:smooth val="0"/>
          <c:extLst>
            <c:ext xmlns:c16="http://schemas.microsoft.com/office/drawing/2014/chart" uri="{C3380CC4-5D6E-409C-BE32-E72D297353CC}">
              <c16:uniqueId val="{00000004-1810-4755-8354-CF4C7E9DC59D}"/>
            </c:ext>
          </c:extLst>
        </c:ser>
        <c:ser>
          <c:idx val="4"/>
          <c:order val="1"/>
          <c:tx>
            <c:strRef>
              <c:f>'[GRAFIKONI_MAKRO_apr22.xlsx]Prerađivačka_6 graf'!$AG$7</c:f>
              <c:strCache>
                <c:ptCount val="1"/>
                <c:pt idx="0">
                  <c:v>Series5</c:v>
                </c:pt>
              </c:strCache>
            </c:strRef>
          </c:tx>
          <c:spPr>
            <a:ln w="28575" cap="rnd">
              <a:noFill/>
              <a:round/>
            </a:ln>
            <a:effectLst/>
          </c:spPr>
          <c:marker>
            <c:symbol val="none"/>
          </c:marker>
          <c:dLbls>
            <c:dLbl>
              <c:idx val="0"/>
              <c:tx>
                <c:rich>
                  <a:bodyPr/>
                  <a:lstStyle/>
                  <a:p>
                    <a:fld id="{D3214A8C-B586-491C-A153-55617A2FAF23}"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1810-4755-8354-CF4C7E9DC59D}"/>
                </c:ext>
              </c:extLst>
            </c:dLbl>
            <c:dLbl>
              <c:idx val="1"/>
              <c:tx>
                <c:rich>
                  <a:bodyPr/>
                  <a:lstStyle/>
                  <a:p>
                    <a:fld id="{82A98ED9-D4C9-4D02-813D-057384FA122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1810-4755-8354-CF4C7E9DC59D}"/>
                </c:ext>
              </c:extLst>
            </c:dLbl>
            <c:dLbl>
              <c:idx val="2"/>
              <c:tx>
                <c:rich>
                  <a:bodyPr/>
                  <a:lstStyle/>
                  <a:p>
                    <a:fld id="{8FBE2CED-00FC-4CE3-A3AB-396C8FD7551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1810-4755-8354-CF4C7E9DC59D}"/>
                </c:ext>
              </c:extLst>
            </c:dLbl>
            <c:dLbl>
              <c:idx val="3"/>
              <c:tx>
                <c:rich>
                  <a:bodyPr/>
                  <a:lstStyle/>
                  <a:p>
                    <a:fld id="{37E91CE1-5A16-4117-9ADB-31A13FA6225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1810-4755-8354-CF4C7E9DC59D}"/>
                </c:ext>
              </c:extLst>
            </c:dLbl>
            <c:dLbl>
              <c:idx val="4"/>
              <c:tx>
                <c:rich>
                  <a:bodyPr/>
                  <a:lstStyle/>
                  <a:p>
                    <a:fld id="{FAA9ADA0-2F01-4D83-8465-3369D19E4E0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1810-4755-8354-CF4C7E9DC59D}"/>
                </c:ext>
              </c:extLst>
            </c:dLbl>
            <c:dLbl>
              <c:idx val="5"/>
              <c:tx>
                <c:rich>
                  <a:bodyPr/>
                  <a:lstStyle/>
                  <a:p>
                    <a:fld id="{5F433A1F-2F7C-4302-B14F-B6FF10201F3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1810-4755-8354-CF4C7E9DC59D}"/>
                </c:ext>
              </c:extLst>
            </c:dLbl>
            <c:dLbl>
              <c:idx val="6"/>
              <c:tx>
                <c:rich>
                  <a:bodyPr/>
                  <a:lstStyle/>
                  <a:p>
                    <a:fld id="{DC02AFBC-4E89-4957-A52B-25553D565FF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1810-4755-8354-CF4C7E9DC59D}"/>
                </c:ext>
              </c:extLst>
            </c:dLbl>
            <c:dLbl>
              <c:idx val="7"/>
              <c:tx>
                <c:rich>
                  <a:bodyPr/>
                  <a:lstStyle/>
                  <a:p>
                    <a:fld id="{B9885398-C849-40AC-8746-AB5EA1951BE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1810-4755-8354-CF4C7E9DC59D}"/>
                </c:ext>
              </c:extLst>
            </c:dLbl>
            <c:dLbl>
              <c:idx val="8"/>
              <c:tx>
                <c:rich>
                  <a:bodyPr/>
                  <a:lstStyle/>
                  <a:p>
                    <a:fld id="{E3F5B937-2D4F-47A1-98F1-854E801B7C3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1810-4755-8354-CF4C7E9DC59D}"/>
                </c:ext>
              </c:extLst>
            </c:dLbl>
            <c:dLbl>
              <c:idx val="9"/>
              <c:tx>
                <c:rich>
                  <a:bodyPr/>
                  <a:lstStyle/>
                  <a:p>
                    <a:fld id="{DE3837AB-C15D-4F27-8E0F-1295B906BED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1810-4755-8354-CF4C7E9DC59D}"/>
                </c:ext>
              </c:extLst>
            </c:dLbl>
            <c:dLbl>
              <c:idx val="10"/>
              <c:tx>
                <c:rich>
                  <a:bodyPr/>
                  <a:lstStyle/>
                  <a:p>
                    <a:fld id="{55F77A55-1A68-4249-A4AD-C15E58F5246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1810-4755-8354-CF4C7E9DC59D}"/>
                </c:ext>
              </c:extLst>
            </c:dLbl>
            <c:dLbl>
              <c:idx val="11"/>
              <c:tx>
                <c:rich>
                  <a:bodyPr/>
                  <a:lstStyle/>
                  <a:p>
                    <a:fld id="{D050B445-9910-46A0-BEC9-A8C45913103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1810-4755-8354-CF4C7E9DC59D}"/>
                </c:ext>
              </c:extLst>
            </c:dLbl>
            <c:dLbl>
              <c:idx val="12"/>
              <c:tx>
                <c:rich>
                  <a:bodyPr/>
                  <a:lstStyle/>
                  <a:p>
                    <a:fld id="{B42FA2BD-4E68-4027-AA3B-D98D4E0AC10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1810-4755-8354-CF4C7E9DC59D}"/>
                </c:ext>
              </c:extLst>
            </c:dLbl>
            <c:dLbl>
              <c:idx val="13"/>
              <c:tx>
                <c:rich>
                  <a:bodyPr/>
                  <a:lstStyle/>
                  <a:p>
                    <a:fld id="{FA261125-F027-440E-8708-A0551CF7235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1810-4755-8354-CF4C7E9DC59D}"/>
                </c:ext>
              </c:extLst>
            </c:dLbl>
            <c:dLbl>
              <c:idx val="14"/>
              <c:tx>
                <c:rich>
                  <a:bodyPr/>
                  <a:lstStyle/>
                  <a:p>
                    <a:fld id="{5CD9E2F6-4280-46EC-B4B3-F7146E97AD2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1810-4755-8354-CF4C7E9DC59D}"/>
                </c:ext>
              </c:extLst>
            </c:dLbl>
            <c:dLbl>
              <c:idx val="15"/>
              <c:tx>
                <c:rich>
                  <a:bodyPr/>
                  <a:lstStyle/>
                  <a:p>
                    <a:fld id="{E2CAD993-CBD6-4487-AD7B-21D0791C352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1810-4755-8354-CF4C7E9DC59D}"/>
                </c:ext>
              </c:extLst>
            </c:dLbl>
            <c:dLbl>
              <c:idx val="16"/>
              <c:tx>
                <c:rich>
                  <a:bodyPr/>
                  <a:lstStyle/>
                  <a:p>
                    <a:fld id="{E707ECD1-77F6-4D3B-9C7D-61411150640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1810-4755-8354-CF4C7E9DC59D}"/>
                </c:ext>
              </c:extLst>
            </c:dLbl>
            <c:dLbl>
              <c:idx val="17"/>
              <c:tx>
                <c:rich>
                  <a:bodyPr/>
                  <a:lstStyle/>
                  <a:p>
                    <a:fld id="{10A47879-0528-4F39-8F02-5E75CD112AF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1810-4755-8354-CF4C7E9DC59D}"/>
                </c:ext>
              </c:extLst>
            </c:dLbl>
            <c:dLbl>
              <c:idx val="18"/>
              <c:tx>
                <c:rich>
                  <a:bodyPr/>
                  <a:lstStyle/>
                  <a:p>
                    <a:fld id="{79319E83-45C1-49F2-B0E1-752C527F066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1810-4755-8354-CF4C7E9DC59D}"/>
                </c:ext>
              </c:extLst>
            </c:dLbl>
            <c:dLbl>
              <c:idx val="19"/>
              <c:tx>
                <c:rich>
                  <a:bodyPr/>
                  <a:lstStyle/>
                  <a:p>
                    <a:fld id="{CE1E7B62-C353-47AF-A7AF-C60AA0CA31F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1810-4755-8354-CF4C7E9DC59D}"/>
                </c:ext>
              </c:extLst>
            </c:dLbl>
            <c:dLbl>
              <c:idx val="20"/>
              <c:tx>
                <c:rich>
                  <a:bodyPr/>
                  <a:lstStyle/>
                  <a:p>
                    <a:fld id="{2150F6B9-28A9-406B-9E68-8F4D9B1EF82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1810-4755-8354-CF4C7E9DC59D}"/>
                </c:ext>
              </c:extLst>
            </c:dLbl>
            <c:dLbl>
              <c:idx val="21"/>
              <c:tx>
                <c:rich>
                  <a:bodyPr/>
                  <a:lstStyle/>
                  <a:p>
                    <a:fld id="{924F301C-CC57-41F2-B2C2-576DF143EFC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1810-4755-8354-CF4C7E9DC59D}"/>
                </c:ext>
              </c:extLst>
            </c:dLbl>
            <c:dLbl>
              <c:idx val="22"/>
              <c:tx>
                <c:rich>
                  <a:bodyPr/>
                  <a:lstStyle/>
                  <a:p>
                    <a:fld id="{CB08EAC1-A174-424B-A596-AF8B36221A9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1810-4755-8354-CF4C7E9DC59D}"/>
                </c:ext>
              </c:extLst>
            </c:dLbl>
            <c:dLbl>
              <c:idx val="23"/>
              <c:tx>
                <c:rich>
                  <a:bodyPr/>
                  <a:lstStyle/>
                  <a:p>
                    <a:fld id="{AC1A4DD6-8B9D-41D9-9E0F-1F39EAEA7B6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1810-4755-8354-CF4C7E9DC59D}"/>
                </c:ext>
              </c:extLst>
            </c:dLbl>
            <c:dLbl>
              <c:idx val="24"/>
              <c:tx>
                <c:rich>
                  <a:bodyPr/>
                  <a:lstStyle/>
                  <a:p>
                    <a:fld id="{FF000B28-C1F7-4EEA-9776-7FF30BC6ECB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1810-4755-8354-CF4C7E9DC59D}"/>
                </c:ext>
              </c:extLst>
            </c:dLbl>
            <c:dLbl>
              <c:idx val="25"/>
              <c:tx>
                <c:rich>
                  <a:bodyPr/>
                  <a:lstStyle/>
                  <a:p>
                    <a:fld id="{449ADBEA-8362-4820-BBD6-01A01B0EFBD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1810-4755-8354-CF4C7E9DC59D}"/>
                </c:ext>
              </c:extLst>
            </c:dLbl>
            <c:dLbl>
              <c:idx val="26"/>
              <c:tx>
                <c:rich>
                  <a:bodyPr/>
                  <a:lstStyle/>
                  <a:p>
                    <a:fld id="{4C668684-409D-44A4-A1E8-2F16AB5A6ED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1810-4755-8354-CF4C7E9DC59D}"/>
                </c:ext>
              </c:extLst>
            </c:dLbl>
            <c:dLbl>
              <c:idx val="27"/>
              <c:tx>
                <c:rich>
                  <a:bodyPr/>
                  <a:lstStyle/>
                  <a:p>
                    <a:fld id="{BBC40310-5237-46A2-B88F-056669F600E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1810-4755-8354-CF4C7E9DC59D}"/>
                </c:ext>
              </c:extLst>
            </c:dLbl>
            <c:dLbl>
              <c:idx val="28"/>
              <c:tx>
                <c:rich>
                  <a:bodyPr/>
                  <a:lstStyle/>
                  <a:p>
                    <a:fld id="{FD54A57C-3F13-4A75-881B-A82B792EE69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1810-4755-8354-CF4C7E9DC59D}"/>
                </c:ext>
              </c:extLst>
            </c:dLbl>
            <c:dLbl>
              <c:idx val="29"/>
              <c:tx>
                <c:rich>
                  <a:bodyPr/>
                  <a:lstStyle/>
                  <a:p>
                    <a:fld id="{C4BDAAF3-91F2-491D-B4F4-B6C6A3BF6D8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1810-4755-8354-CF4C7E9DC59D}"/>
                </c:ext>
              </c:extLst>
            </c:dLbl>
            <c:dLbl>
              <c:idx val="30"/>
              <c:tx>
                <c:rich>
                  <a:bodyPr/>
                  <a:lstStyle/>
                  <a:p>
                    <a:fld id="{1A7EF202-457E-46D0-9254-6E0F4374087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1810-4755-8354-CF4C7E9DC59D}"/>
                </c:ext>
              </c:extLst>
            </c:dLbl>
            <c:dLbl>
              <c:idx val="31"/>
              <c:tx>
                <c:rich>
                  <a:bodyPr/>
                  <a:lstStyle/>
                  <a:p>
                    <a:fld id="{D0D09A83-7B79-47D5-BE15-E299E42CABD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4-1810-4755-8354-CF4C7E9DC59D}"/>
                </c:ext>
              </c:extLst>
            </c:dLbl>
            <c:dLbl>
              <c:idx val="32"/>
              <c:tx>
                <c:rich>
                  <a:bodyPr/>
                  <a:lstStyle/>
                  <a:p>
                    <a:fld id="{526334B8-DE9E-4B9F-B8DD-352CA37F065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1810-4755-8354-CF4C7E9DC59D}"/>
                </c:ext>
              </c:extLst>
            </c:dLbl>
            <c:dLbl>
              <c:idx val="33"/>
              <c:tx>
                <c:rich>
                  <a:bodyPr/>
                  <a:lstStyle/>
                  <a:p>
                    <a:fld id="{428AFD50-1ACF-4225-8408-C64E68A270C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1810-4755-8354-CF4C7E9DC59D}"/>
                </c:ext>
              </c:extLst>
            </c:dLbl>
            <c:dLbl>
              <c:idx val="34"/>
              <c:tx>
                <c:rich>
                  <a:bodyPr/>
                  <a:lstStyle/>
                  <a:p>
                    <a:fld id="{4B88E498-359E-409E-AD85-B5C088003D0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7-1810-4755-8354-CF4C7E9DC59D}"/>
                </c:ext>
              </c:extLst>
            </c:dLbl>
            <c:dLbl>
              <c:idx val="35"/>
              <c:tx>
                <c:rich>
                  <a:bodyPr/>
                  <a:lstStyle/>
                  <a:p>
                    <a:fld id="{5C935A9D-5091-425F-973A-44AA108CB76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1810-4755-8354-CF4C7E9DC59D}"/>
                </c:ext>
              </c:extLst>
            </c:dLbl>
            <c:dLbl>
              <c:idx val="36"/>
              <c:tx>
                <c:rich>
                  <a:bodyPr/>
                  <a:lstStyle/>
                  <a:p>
                    <a:fld id="{DFC98E10-824E-4DB6-BBFD-AAC0B3D6C23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1810-4755-8354-CF4C7E9DC59D}"/>
                </c:ext>
              </c:extLst>
            </c:dLbl>
            <c:dLbl>
              <c:idx val="37"/>
              <c:tx>
                <c:rich>
                  <a:bodyPr/>
                  <a:lstStyle/>
                  <a:p>
                    <a:fld id="{3DBBF95B-4ABD-4162-B9B5-1663207EBE0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A-1810-4755-8354-CF4C7E9DC59D}"/>
                </c:ext>
              </c:extLst>
            </c:dLbl>
            <c:dLbl>
              <c:idx val="38"/>
              <c:tx>
                <c:rich>
                  <a:bodyPr/>
                  <a:lstStyle/>
                  <a:p>
                    <a:fld id="{69F9D238-97E8-4BF6-AA2D-8AE3CF6FE31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1810-4755-8354-CF4C7E9DC59D}"/>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'[GRAFIKONI_MAKRO_apr22.xlsx]Prerađivačka_6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'[GRAFIKONI_MAKRO_apr22.xlsx]Prerađivačka_6 graf'!$AG$32:$AG$70</c:f>
              <c:numCache>
                <c:formatCode>General</c:formatCode>
                <c:ptCount val="39"/>
                <c:pt idx="0">
                  <c:v>40</c:v>
                </c:pt>
                <c:pt idx="1">
                  <c:v>40</c:v>
                </c:pt>
                <c:pt idx="2">
                  <c:v>40</c:v>
                </c:pt>
                <c:pt idx="3">
                  <c:v>40</c:v>
                </c:pt>
                <c:pt idx="4">
                  <c:v>40</c:v>
                </c:pt>
                <c:pt idx="5">
                  <c:v>40</c:v>
                </c:pt>
                <c:pt idx="6">
                  <c:v>40</c:v>
                </c:pt>
                <c:pt idx="7">
                  <c:v>40</c:v>
                </c:pt>
                <c:pt idx="8">
                  <c:v>40</c:v>
                </c:pt>
                <c:pt idx="9">
                  <c:v>40</c:v>
                </c:pt>
                <c:pt idx="10">
                  <c:v>40</c:v>
                </c:pt>
                <c:pt idx="11">
                  <c:v>40</c:v>
                </c:pt>
                <c:pt idx="12">
                  <c:v>40</c:v>
                </c:pt>
                <c:pt idx="13">
                  <c:v>40</c:v>
                </c:pt>
                <c:pt idx="14">
                  <c:v>40</c:v>
                </c:pt>
                <c:pt idx="15">
                  <c:v>40</c:v>
                </c:pt>
                <c:pt idx="16">
                  <c:v>40</c:v>
                </c:pt>
                <c:pt idx="17">
                  <c:v>40</c:v>
                </c:pt>
                <c:pt idx="18">
                  <c:v>40</c:v>
                </c:pt>
                <c:pt idx="19">
                  <c:v>40</c:v>
                </c:pt>
                <c:pt idx="20">
                  <c:v>40</c:v>
                </c:pt>
                <c:pt idx="21">
                  <c:v>40</c:v>
                </c:pt>
                <c:pt idx="22">
                  <c:v>40</c:v>
                </c:pt>
                <c:pt idx="23">
                  <c:v>40</c:v>
                </c:pt>
                <c:pt idx="24">
                  <c:v>40</c:v>
                </c:pt>
                <c:pt idx="25">
                  <c:v>40</c:v>
                </c:pt>
                <c:pt idx="26">
                  <c:v>40</c:v>
                </c:pt>
                <c:pt idx="27">
                  <c:v>40</c:v>
                </c:pt>
                <c:pt idx="28">
                  <c:v>40</c:v>
                </c:pt>
                <c:pt idx="29">
                  <c:v>40</c:v>
                </c:pt>
                <c:pt idx="30">
                  <c:v>40</c:v>
                </c:pt>
                <c:pt idx="31">
                  <c:v>40</c:v>
                </c:pt>
                <c:pt idx="32">
                  <c:v>40</c:v>
                </c:pt>
                <c:pt idx="33">
                  <c:v>40</c:v>
                </c:pt>
                <c:pt idx="34">
                  <c:v>40</c:v>
                </c:pt>
                <c:pt idx="35">
                  <c:v>40</c:v>
                </c:pt>
                <c:pt idx="36">
                  <c:v>40</c:v>
                </c:pt>
                <c:pt idx="37">
                  <c:v>40</c:v>
                </c:pt>
                <c:pt idx="38">
                  <c:v>40</c:v>
                </c:pt>
              </c:numCache>
            </c:numRef>
          </c:val>
          <c:smooth val="0"/>
          <c:extLst>
            <c:ext xmlns:c15="http://schemas.microsoft.com/office/drawing/2012/chart" uri="{02D57815-91ED-43cb-92C2-25804820EDAC}">
              <c15:datalabelsRange>
                <c15:f>'[GRAFIKONI_MAKRO_apr22.xlsx]Prerađivačka_6 graf'!$E$32:$E$70</c15:f>
                <c15:dlblRangeCache>
                  <c:ptCount val="3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15:dlblRangeCache>
              </c15:datalabelsRange>
            </c:ext>
            <c:ext xmlns:c16="http://schemas.microsoft.com/office/drawing/2014/chart" uri="{C3380CC4-5D6E-409C-BE32-E72D297353CC}">
              <c16:uniqueId val="{0000002C-1810-4755-8354-CF4C7E9DC59D}"/>
            </c:ext>
          </c:extLst>
        </c:ser>
        <c:ser>
          <c:idx val="0"/>
          <c:order val="2"/>
          <c:tx>
            <c:strRef>
              <c:f>'[GRAFIKONI_MAKRO_apr22.xlsx]Prerađivačka_6 graf'!$AH$7</c:f>
              <c:strCache>
                <c:ptCount val="1"/>
                <c:pt idx="0">
                  <c:v>y</c:v>
                </c:pt>
              </c:strCache>
            </c:strRef>
          </c:tx>
          <c:spPr>
            <a:ln w="12700" cap="rnd">
              <a:solidFill>
                <a:srgbClr val="7F3F98"/>
              </a:solidFill>
              <a:prstDash val="sysDash"/>
              <a:round/>
            </a:ln>
            <a:effectLst/>
          </c:spPr>
          <c:marker>
            <c:symbol val="none"/>
          </c:marker>
          <c:cat>
            <c:numRef>
              <c:f>'[GRAFIKONI_MAKRO_apr22.xlsx]Prerađivačka_6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'[GRAFIKONI_MAKRO_apr22.xlsx]Prerađivačka_6 graf'!$AH$32:$AH$70</c:f>
              <c:numCache>
                <c:formatCode>0.0</c:formatCode>
                <c:ptCount val="39"/>
                <c:pt idx="0">
                  <c:v>80.980701541449207</c:v>
                </c:pt>
                <c:pt idx="1">
                  <c:v>94.671683456730193</c:v>
                </c:pt>
                <c:pt idx="2">
                  <c:v>107.70724602500303</c:v>
                </c:pt>
                <c:pt idx="3">
                  <c:v>99.405267629566694</c:v>
                </c:pt>
                <c:pt idx="4">
                  <c:v>104.64862240563176</c:v>
                </c:pt>
                <c:pt idx="5">
                  <c:v>100.49763320791358</c:v>
                </c:pt>
                <c:pt idx="6">
                  <c:v>107.70724602500303</c:v>
                </c:pt>
                <c:pt idx="7">
                  <c:v>94.307561597281236</c:v>
                </c:pt>
                <c:pt idx="8">
                  <c:v>105.01274426508071</c:v>
                </c:pt>
                <c:pt idx="9">
                  <c:v>106.46923170287657</c:v>
                </c:pt>
                <c:pt idx="10">
                  <c:v>99.25961888578712</c:v>
                </c:pt>
                <c:pt idx="11">
                  <c:v>83.820852045151099</c:v>
                </c:pt>
                <c:pt idx="12">
                  <c:v>85.932758829955091</c:v>
                </c:pt>
                <c:pt idx="13">
                  <c:v>105.08556863697052</c:v>
                </c:pt>
                <c:pt idx="14">
                  <c:v>101.73564753004005</c:v>
                </c:pt>
                <c:pt idx="15">
                  <c:v>48.355382934822195</c:v>
                </c:pt>
                <c:pt idx="16">
                  <c:v>81.344823400898164</c:v>
                </c:pt>
                <c:pt idx="17">
                  <c:v>92.923898531375173</c:v>
                </c:pt>
                <c:pt idx="18">
                  <c:v>100.13351134846462</c:v>
                </c:pt>
                <c:pt idx="19">
                  <c:v>97.074887729093348</c:v>
                </c:pt>
                <c:pt idx="20">
                  <c:v>113.09624954484769</c:v>
                </c:pt>
                <c:pt idx="21">
                  <c:v>114.18861512319458</c:v>
                </c:pt>
                <c:pt idx="22">
                  <c:v>106.1051098434276</c:v>
                </c:pt>
                <c:pt idx="23">
                  <c:v>98.094428935550425</c:v>
                </c:pt>
                <c:pt idx="24">
                  <c:v>83.087512291052107</c:v>
                </c:pt>
                <c:pt idx="25">
                  <c:v>100.10141987829616</c:v>
                </c:pt>
                <c:pt idx="26">
                  <c:v>107.14285714285712</c:v>
                </c:pt>
                <c:pt idx="27">
                  <c:v>102.46389124893798</c:v>
                </c:pt>
                <c:pt idx="28">
                  <c:v>98.968321398227943</c:v>
                </c:pt>
                <c:pt idx="29">
                  <c:v>106.68770481854595</c:v>
                </c:pt>
                <c:pt idx="30">
                  <c:v>102.46389124893798</c:v>
                </c:pt>
                <c:pt idx="31">
                  <c:v>92.05000606869767</c:v>
                </c:pt>
                <c:pt idx="32">
                  <c:v>102.68236436460737</c:v>
                </c:pt>
                <c:pt idx="33">
                  <c:v>104.28450054618278</c:v>
                </c:pt>
                <c:pt idx="34">
                  <c:v>103.04648622405632</c:v>
                </c:pt>
                <c:pt idx="35">
                  <c:v>97.074887729093348</c:v>
                </c:pt>
                <c:pt idx="36">
                  <c:v>84.5</c:v>
                </c:pt>
                <c:pt idx="37">
                  <c:v>98.7</c:v>
                </c:pt>
                <c:pt idx="38">
                  <c:v>106.5</c:v>
                </c:pt>
              </c:numCache>
            </c:numRef>
          </c:val>
          <c:smooth val="0"/>
          <c:extLst>
            <c:ext xmlns:c16="http://schemas.microsoft.com/office/drawing/2014/chart" uri="{C3380CC4-5D6E-409C-BE32-E72D297353CC}">
              <c16:uniqueId val="{0000002D-1810-4755-8354-CF4C7E9DC59D}"/>
            </c:ext>
          </c:extLst>
        </c:ser>
        <c:ser>
          <c:idx val="1"/>
          <c:order val="3"/>
          <c:tx>
            <c:strRef>
              <c:f>'[GRAFIKONI_MAKRO_apr22.xlsx]Prerađivačka_6 graf'!$AI$7</c:f>
              <c:strCache>
                <c:ptCount val="1"/>
                <c:pt idx="0">
                  <c:v>sa</c:v>
                </c:pt>
              </c:strCache>
            </c:strRef>
          </c:tx>
          <c:spPr>
            <a:ln w="22225" cap="rnd">
              <a:solidFill>
                <a:srgbClr val="25AAE1"/>
              </a:solidFill>
              <a:round/>
            </a:ln>
            <a:effectLst/>
          </c:spPr>
          <c:marker>
            <c:symbol val="none"/>
          </c:marker>
          <c:cat>
            <c:numRef>
              <c:f>'[GRAFIKONI_MAKRO_apr22.xlsx]Prerađivačka_6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'[GRAFIKONI_MAKRO_apr22.xlsx]Prerađivačka_6 graf'!$AI$32:$AI$70</c:f>
              <c:numCache>
                <c:formatCode>0.0</c:formatCode>
                <c:ptCount val="39"/>
                <c:pt idx="0">
                  <c:v>97.30059742866753</c:v>
                </c:pt>
                <c:pt idx="1">
                  <c:v>96.640297452032783</c:v>
                </c:pt>
                <c:pt idx="2">
                  <c:v>100.09054497421633</c:v>
                </c:pt>
                <c:pt idx="3">
                  <c:v>100.01344345697927</c:v>
                </c:pt>
                <c:pt idx="4">
                  <c:v>103.32081122522371</c:v>
                </c:pt>
                <c:pt idx="5">
                  <c:v>97.775365070601026</c:v>
                </c:pt>
                <c:pt idx="6">
                  <c:v>101.67751298746886</c:v>
                </c:pt>
                <c:pt idx="7">
                  <c:v>97.242257999265334</c:v>
                </c:pt>
                <c:pt idx="8">
                  <c:v>99.134358443594166</c:v>
                </c:pt>
                <c:pt idx="9">
                  <c:v>97.28381440674292</c:v>
                </c:pt>
                <c:pt idx="10">
                  <c:v>99.51378247243575</c:v>
                </c:pt>
                <c:pt idx="11">
                  <c:v>93.824182997008265</c:v>
                </c:pt>
                <c:pt idx="12">
                  <c:v>103.10234922509281</c:v>
                </c:pt>
                <c:pt idx="13">
                  <c:v>100.52897428301802</c:v>
                </c:pt>
                <c:pt idx="14">
                  <c:v>94.214641590777717</c:v>
                </c:pt>
                <c:pt idx="15">
                  <c:v>48.65510651563465</c:v>
                </c:pt>
                <c:pt idx="16">
                  <c:v>82.592002375494289</c:v>
                </c:pt>
                <c:pt idx="17">
                  <c:v>88.59674009578606</c:v>
                </c:pt>
                <c:pt idx="18">
                  <c:v>94.907941575776377</c:v>
                </c:pt>
                <c:pt idx="19">
                  <c:v>102.1710568423471</c:v>
                </c:pt>
                <c:pt idx="20">
                  <c:v>105.03714379198156</c:v>
                </c:pt>
                <c:pt idx="21">
                  <c:v>105.31328108498106</c:v>
                </c:pt>
                <c:pt idx="22">
                  <c:v>104.71967012445694</c:v>
                </c:pt>
                <c:pt idx="23">
                  <c:v>107.30649694160032</c:v>
                </c:pt>
                <c:pt idx="24">
                  <c:v>100.76530477265335</c:v>
                </c:pt>
                <c:pt idx="25">
                  <c:v>101.90248613407219</c:v>
                </c:pt>
                <c:pt idx="26">
                  <c:v>98.782420683176909</c:v>
                </c:pt>
                <c:pt idx="27">
                  <c:v>103.50018601188879</c:v>
                </c:pt>
                <c:pt idx="28">
                  <c:v>98.658177105644597</c:v>
                </c:pt>
                <c:pt idx="29">
                  <c:v>102.27108607917175</c:v>
                </c:pt>
                <c:pt idx="30">
                  <c:v>99.037054059936921</c:v>
                </c:pt>
                <c:pt idx="31">
                  <c:v>95.828841126619253</c:v>
                </c:pt>
                <c:pt idx="32">
                  <c:v>95.193968492473644</c:v>
                </c:pt>
                <c:pt idx="33">
                  <c:v>97.250367505622918</c:v>
                </c:pt>
                <c:pt idx="34">
                  <c:v>99.356776485379058</c:v>
                </c:pt>
                <c:pt idx="35">
                  <c:v>104.97860036122744</c:v>
                </c:pt>
                <c:pt idx="36">
                  <c:v>99.835999819964272</c:v>
                </c:pt>
                <c:pt idx="37">
                  <c:v>100.1990124589704</c:v>
                </c:pt>
                <c:pt idx="38">
                  <c:v>98.926252162092879</c:v>
                </c:pt>
              </c:numCache>
            </c:numRef>
          </c:val>
          <c:smooth val="0"/>
          <c:extLst>
            <c:ext xmlns:c16="http://schemas.microsoft.com/office/drawing/2014/chart" uri="{C3380CC4-5D6E-409C-BE32-E72D297353CC}">
              <c16:uniqueId val="{0000002E-1810-4755-8354-CF4C7E9DC59D}"/>
            </c:ext>
          </c:extLst>
        </c:ser>
        <c:ser>
          <c:idx val="2"/>
          <c:order val="4"/>
          <c:tx>
            <c:strRef>
              <c:f>'[GRAFIKONI_MAKRO_apr22.xlsx]Prerađivačka_6 graf'!$AJ$7</c:f>
              <c:strCache>
                <c:ptCount val="1"/>
                <c:pt idx="0">
                  <c:v>t</c:v>
                </c:pt>
              </c:strCache>
            </c:strRef>
          </c:tx>
          <c:spPr>
            <a:ln w="25400" cap="rnd">
              <a:solidFill>
                <a:srgbClr val="FF0000"/>
              </a:solidFill>
              <a:round/>
            </a:ln>
            <a:effectLst/>
          </c:spPr>
          <c:marker>
            <c:symbol val="none"/>
          </c:marker>
          <c:cat>
            <c:numRef>
              <c:f>'[GRAFIKONI_MAKRO_apr22.xlsx]Prerađivačka_6 graf'!$C$32:$C$70</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'[GRAFIKONI_MAKRO_apr22.xlsx]Prerađivačka_6 graf'!$AJ$32:$AJ$70</c:f>
              <c:numCache>
                <c:formatCode>0.0</c:formatCode>
                <c:ptCount val="39"/>
                <c:pt idx="0">
                  <c:v>96.126975241341327</c:v>
                </c:pt>
                <c:pt idx="1">
                  <c:v>97.533811172717563</c:v>
                </c:pt>
                <c:pt idx="2">
                  <c:v>99.018195818280617</c:v>
                </c:pt>
                <c:pt idx="3">
                  <c:v>100.13392154649905</c:v>
                </c:pt>
                <c:pt idx="4">
                  <c:v>100.58160582595369</c:v>
                </c:pt>
                <c:pt idx="5">
                  <c:v>100.4303171728626</c:v>
                </c:pt>
                <c:pt idx="6">
                  <c:v>99.883167144059783</c:v>
                </c:pt>
                <c:pt idx="7">
                  <c:v>99.190908261148877</c:v>
                </c:pt>
                <c:pt idx="8">
                  <c:v>98.492605356498771</c:v>
                </c:pt>
                <c:pt idx="9">
                  <c:v>97.954369084884348</c:v>
                </c:pt>
                <c:pt idx="10">
                  <c:v>97.455925159108432</c:v>
                </c:pt>
                <c:pt idx="11">
                  <c:v>96.834786865780885</c:v>
                </c:pt>
                <c:pt idx="12">
                  <c:v>95.952932650117759</c:v>
                </c:pt>
                <c:pt idx="13">
                  <c:v>94.833154552628272</c:v>
                </c:pt>
                <c:pt idx="14">
                  <c:v>93.633620922316851</c:v>
                </c:pt>
                <c:pt idx="15">
                  <c:v>92.940227223315006</c:v>
                </c:pt>
                <c:pt idx="16">
                  <c:v>93.224179520722089</c:v>
                </c:pt>
                <c:pt idx="17">
                  <c:v>94.664861783361573</c:v>
                </c:pt>
                <c:pt idx="18">
                  <c:v>97.183365817311028</c:v>
                </c:pt>
                <c:pt idx="19">
                  <c:v>100.28335740453754</c:v>
                </c:pt>
                <c:pt idx="20">
                  <c:v>103.1021063368849</c:v>
                </c:pt>
                <c:pt idx="21">
                  <c:v>104.81251794435603</c:v>
                </c:pt>
                <c:pt idx="22">
                  <c:v>105.2220857721195</c:v>
                </c:pt>
                <c:pt idx="23">
                  <c:v>104.5099953918391</c:v>
                </c:pt>
                <c:pt idx="24">
                  <c:v>103.24419445119861</c:v>
                </c:pt>
                <c:pt idx="25">
                  <c:v>102.0986018434123</c:v>
                </c:pt>
                <c:pt idx="26">
                  <c:v>101.37170601358586</c:v>
                </c:pt>
                <c:pt idx="27">
                  <c:v>100.84653008565436</c:v>
                </c:pt>
                <c:pt idx="28">
                  <c:v>100.23913740677823</c:v>
                </c:pt>
                <c:pt idx="29">
                  <c:v>99.442761958747411</c:v>
                </c:pt>
                <c:pt idx="30">
                  <c:v>98.48296041903933</c:v>
                </c:pt>
                <c:pt idx="31">
                  <c:v>97.559490792182174</c:v>
                </c:pt>
                <c:pt idx="32">
                  <c:v>97.115632883586628</c:v>
                </c:pt>
                <c:pt idx="33">
                  <c:v>97.269096389439412</c:v>
                </c:pt>
                <c:pt idx="34">
                  <c:v>97.962806105566941</c:v>
                </c:pt>
                <c:pt idx="35">
                  <c:v>98.761685183821029</c:v>
                </c:pt>
                <c:pt idx="36">
                  <c:v>99.360826299552031</c:v>
                </c:pt>
                <c:pt idx="37">
                  <c:v>99.49573789230746</c:v>
                </c:pt>
                <c:pt idx="38">
                  <c:v>99.318280725215516</c:v>
                </c:pt>
              </c:numCache>
            </c:numRef>
          </c:val>
          <c:smooth val="0"/>
          <c:extLst>
            <c:ext xmlns:c16="http://schemas.microsoft.com/office/drawing/2014/chart" uri="{C3380CC4-5D6E-409C-BE32-E72D297353CC}">
              <c16:uniqueId val="{0000002F-1810-4755-8354-CF4C7E9DC59D}"/>
            </c:ext>
          </c:extLst>
        </c:ser>
        <c:dLbls>
          <c:showLegendKey val="0"/>
          <c:showVal val="0"/>
          <c:showCatName val="0"/>
          <c:showSerName val="0"/>
          <c:showPercent val="0"/>
          <c:showBubbleSize val="0"/>
        </c:dLbls>
        <c:marker val="1"/>
        <c:smooth val="0"/>
        <c:axId val="2092125712"/>
        <c:axId val="2092128432"/>
      </c:lineChart>
      <c:dateAx>
        <c:axId val="2092125712"/>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2092128432"/>
        <c:crosses val="autoZero"/>
        <c:auto val="1"/>
        <c:lblOffset val="0"/>
        <c:baseTimeUnit val="months"/>
        <c:majorUnit val="12"/>
        <c:majorTimeUnit val="months"/>
      </c:dateAx>
      <c:valAx>
        <c:axId val="2092128432"/>
        <c:scaling>
          <c:orientation val="minMax"/>
          <c:max val="120"/>
          <c:min val="4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25712"/>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811351706036745"/>
          <c:y val="5.5979643765903309E-2"/>
          <c:w val="0.84096055701370664"/>
          <c:h val="0.75837911482438736"/>
        </c:manualLayout>
      </c:layout>
      <c:barChart>
        <c:barDir val="col"/>
        <c:grouping val="clustered"/>
        <c:varyColors val="0"/>
        <c:ser>
          <c:idx val="0"/>
          <c:order val="0"/>
          <c:tx>
            <c:strRef>
              <c:f>'BDV usluga_dsz'!$G$70</c:f>
              <c:strCache>
                <c:ptCount val="1"/>
                <c:pt idx="0">
                  <c:v>2020/2019</c:v>
                </c:pt>
              </c:strCache>
            </c:strRef>
          </c:tx>
          <c:spPr>
            <a:solidFill>
              <a:srgbClr val="EC008C"/>
            </a:solidFill>
            <a:ln>
              <a:noFill/>
            </a:ln>
            <a:effectLst/>
          </c:spPr>
          <c:invertIfNegative val="0"/>
          <c:dLbls>
            <c:dLbl>
              <c:idx val="4"/>
              <c:layout>
                <c:manualLayout>
                  <c:x val="-4.6296296296296294E-3"/>
                  <c:y val="0.1829607196536330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B6A-4C62-BB6F-9DD358C857EA}"/>
                </c:ext>
              </c:extLst>
            </c:dLbl>
            <c:dLbl>
              <c:idx val="7"/>
              <c:layout>
                <c:manualLayout>
                  <c:x val="-1.6975112544026657E-16"/>
                  <c:y val="0.1732884671467348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B6A-4C62-BB6F-9DD358C857EA}"/>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FF0000"/>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strRef>
              <c:f>'[60]Usluge_god stope'!$F$8:$F$16</c:f>
              <c:strCache>
                <c:ptCount val="9"/>
                <c:pt idx="0">
                  <c:v>G-T</c:v>
                </c:pt>
                <c:pt idx="2">
                  <c:v>G-I</c:v>
                </c:pt>
                <c:pt idx="3">
                  <c:v>J</c:v>
                </c:pt>
                <c:pt idx="4">
                  <c:v>K</c:v>
                </c:pt>
                <c:pt idx="5">
                  <c:v>L</c:v>
                </c:pt>
                <c:pt idx="6">
                  <c:v>M-N</c:v>
                </c:pt>
                <c:pt idx="7">
                  <c:v>O-Q</c:v>
                </c:pt>
                <c:pt idx="8">
                  <c:v>R-T</c:v>
                </c:pt>
              </c:strCache>
            </c:strRef>
          </c:cat>
          <c:val>
            <c:numRef>
              <c:f>'BDV usluga_dsz'!$G$74:$G$82</c:f>
              <c:numCache>
                <c:formatCode>General</c:formatCode>
                <c:ptCount val="9"/>
                <c:pt idx="0" formatCode="0.0">
                  <c:v>-1.1966979096683446</c:v>
                </c:pt>
                <c:pt idx="2" formatCode="0.0">
                  <c:v>-5.41740938373853</c:v>
                </c:pt>
                <c:pt idx="3" formatCode="0.0">
                  <c:v>8.6045155982156416</c:v>
                </c:pt>
                <c:pt idx="4" formatCode="0.0">
                  <c:v>4.4993083309105657</c:v>
                </c:pt>
                <c:pt idx="5" formatCode="0.0">
                  <c:v>-0.26393040873571749</c:v>
                </c:pt>
                <c:pt idx="6" formatCode="0.0">
                  <c:v>-7.0626251842253964</c:v>
                </c:pt>
                <c:pt idx="7" formatCode="0.0">
                  <c:v>4.3158910539172695</c:v>
                </c:pt>
                <c:pt idx="8" formatCode="0.0">
                  <c:v>-12.473555259133349</c:v>
                </c:pt>
              </c:numCache>
            </c:numRef>
          </c:val>
          <c:extLst>
            <c:ext xmlns:c16="http://schemas.microsoft.com/office/drawing/2014/chart" uri="{C3380CC4-5D6E-409C-BE32-E72D297353CC}">
              <c16:uniqueId val="{00000002-CB6A-4C62-BB6F-9DD358C857EA}"/>
            </c:ext>
          </c:extLst>
        </c:ser>
        <c:ser>
          <c:idx val="1"/>
          <c:order val="1"/>
          <c:tx>
            <c:strRef>
              <c:f>'BDV usluga_dsz'!$H$70</c:f>
              <c:strCache>
                <c:ptCount val="1"/>
                <c:pt idx="0">
                  <c:v>2021/2020</c:v>
                </c:pt>
              </c:strCache>
            </c:strRef>
          </c:tx>
          <c:spPr>
            <a:solidFill>
              <a:srgbClr val="2183C4"/>
            </a:solidFill>
            <a:ln>
              <a:noFill/>
            </a:ln>
            <a:effectLst/>
          </c:spPr>
          <c:invertIfNegative val="0"/>
          <c:dLbls>
            <c:dLbl>
              <c:idx val="3"/>
              <c:layout>
                <c:manualLayout>
                  <c:x val="9.2592592592592587E-3"/>
                  <c:y val="1.13960113960113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B6A-4C62-BB6F-9DD358C857EA}"/>
                </c:ext>
              </c:extLst>
            </c:dLbl>
            <c:dLbl>
              <c:idx val="4"/>
              <c:layout>
                <c:manualLayout>
                  <c:x val="1.3888888888888888E-2"/>
                  <c:y val="1.7094017094017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B6A-4C62-BB6F-9DD358C857EA}"/>
                </c:ext>
              </c:extLst>
            </c:dLbl>
            <c:dLbl>
              <c:idx val="7"/>
              <c:layout>
                <c:manualLayout>
                  <c:x val="4.6296296296296294E-3"/>
                  <c:y val="2.84900284900284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B6A-4C62-BB6F-9DD358C857EA}"/>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2183C4"/>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'[60]Usluge_god stope'!$F$8:$F$16</c:f>
              <c:strCache>
                <c:ptCount val="9"/>
                <c:pt idx="0">
                  <c:v>G-T</c:v>
                </c:pt>
                <c:pt idx="2">
                  <c:v>G-I</c:v>
                </c:pt>
                <c:pt idx="3">
                  <c:v>J</c:v>
                </c:pt>
                <c:pt idx="4">
                  <c:v>K</c:v>
                </c:pt>
                <c:pt idx="5">
                  <c:v>L</c:v>
                </c:pt>
                <c:pt idx="6">
                  <c:v>M-N</c:v>
                </c:pt>
                <c:pt idx="7">
                  <c:v>O-Q</c:v>
                </c:pt>
                <c:pt idx="8">
                  <c:v>R-T</c:v>
                </c:pt>
              </c:strCache>
            </c:strRef>
          </c:cat>
          <c:val>
            <c:numRef>
              <c:f>'BDV usluga_dsz'!$H$74:$H$82</c:f>
              <c:numCache>
                <c:formatCode>General</c:formatCode>
                <c:ptCount val="9"/>
                <c:pt idx="0" formatCode="0.0">
                  <c:v>8.5877958178005116</c:v>
                </c:pt>
                <c:pt idx="2" formatCode="0.0">
                  <c:v>17.217192908241103</c:v>
                </c:pt>
                <c:pt idx="3" formatCode="0.0">
                  <c:v>5.2330049096932925</c:v>
                </c:pt>
                <c:pt idx="4" formatCode="0.0">
                  <c:v>2.9595792107421062</c:v>
                </c:pt>
                <c:pt idx="5" formatCode="0.0">
                  <c:v>9.8343640742257321E-2</c:v>
                </c:pt>
                <c:pt idx="6" formatCode="0.0">
                  <c:v>10.345362098705138</c:v>
                </c:pt>
                <c:pt idx="7" formatCode="0.0">
                  <c:v>2.9284323983410019</c:v>
                </c:pt>
                <c:pt idx="8" formatCode="0.0">
                  <c:v>16.750398089058521</c:v>
                </c:pt>
              </c:numCache>
            </c:numRef>
          </c:val>
          <c:extLst>
            <c:ext xmlns:c16="http://schemas.microsoft.com/office/drawing/2014/chart" uri="{C3380CC4-5D6E-409C-BE32-E72D297353CC}">
              <c16:uniqueId val="{00000006-CB6A-4C62-BB6F-9DD358C857EA}"/>
            </c:ext>
          </c:extLst>
        </c:ser>
        <c:dLbls>
          <c:showLegendKey val="0"/>
          <c:showVal val="0"/>
          <c:showCatName val="0"/>
          <c:showSerName val="0"/>
          <c:showPercent val="0"/>
          <c:showBubbleSize val="0"/>
        </c:dLbls>
        <c:gapWidth val="60"/>
        <c:axId val="1839680464"/>
        <c:axId val="1839686288"/>
      </c:barChart>
      <c:lineChart>
        <c:grouping val="standard"/>
        <c:varyColors val="0"/>
        <c:ser>
          <c:idx val="2"/>
          <c:order val="2"/>
          <c:tx>
            <c:strRef>
              <c:f>'BDV usluga_dsz'!$I$70</c:f>
              <c:strCache>
                <c:ptCount val="1"/>
                <c:pt idx="0">
                  <c:v>2021/2019</c:v>
                </c:pt>
              </c:strCache>
            </c:strRef>
          </c:tx>
          <c:spPr>
            <a:ln w="25400" cap="rnd">
              <a:noFill/>
              <a:round/>
            </a:ln>
            <a:effectLst/>
          </c:spPr>
          <c:marker>
            <c:symbol val="circle"/>
            <c:size val="15"/>
            <c:spPr>
              <a:solidFill>
                <a:srgbClr val="10103C"/>
              </a:solidFill>
              <a:ln w="9525">
                <a:noFill/>
              </a:ln>
              <a:effectLst/>
            </c:spPr>
          </c:marker>
          <c:dLbls>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'BDV usluga_dsz'!$F$74:$F$82</c:f>
              <c:strCache>
                <c:ptCount val="9"/>
                <c:pt idx="0">
                  <c:v>G-T</c:v>
                </c:pt>
                <c:pt idx="2">
                  <c:v>G-I</c:v>
                </c:pt>
                <c:pt idx="3">
                  <c:v>J</c:v>
                </c:pt>
                <c:pt idx="4">
                  <c:v>K</c:v>
                </c:pt>
                <c:pt idx="5">
                  <c:v>L</c:v>
                </c:pt>
                <c:pt idx="6">
                  <c:v>M-N</c:v>
                </c:pt>
                <c:pt idx="7">
                  <c:v>O-Q</c:v>
                </c:pt>
                <c:pt idx="8">
                  <c:v>R-T</c:v>
                </c:pt>
              </c:strCache>
            </c:strRef>
          </c:cat>
          <c:val>
            <c:numRef>
              <c:f>'BDV usluga_dsz'!$I$74:$I$82</c:f>
              <c:numCache>
                <c:formatCode>General</c:formatCode>
                <c:ptCount val="9"/>
                <c:pt idx="0" formatCode="0.0">
                  <c:v>7.2883279350939461</c:v>
                </c:pt>
                <c:pt idx="2" formatCode="0.0">
                  <c:v>10.867057700275168</c:v>
                </c:pt>
                <c:pt idx="3" formatCode="0.0">
                  <c:v>14.287795231618901</c:v>
                </c:pt>
                <c:pt idx="4" formatCode="0.0">
                  <c:v>7.5920481356414911</c:v>
                </c:pt>
                <c:pt idx="5" formatCode="0.0">
                  <c:v>-0.16584632676645583</c:v>
                </c:pt>
                <c:pt idx="6" formatCode="0.0">
                  <c:v>2.5520827654973033</c:v>
                </c:pt>
                <c:pt idx="7" formatCode="0.0">
                  <c:v>7.3707114041582855</c:v>
                </c:pt>
                <c:pt idx="8" formatCode="0.0">
                  <c:v>2.1874726681616323</c:v>
                </c:pt>
              </c:numCache>
            </c:numRef>
          </c:val>
          <c:smooth val="0"/>
          <c:extLst>
            <c:ext xmlns:c16="http://schemas.microsoft.com/office/drawing/2014/chart" uri="{C3380CC4-5D6E-409C-BE32-E72D297353CC}">
              <c16:uniqueId val="{00000007-CB6A-4C62-BB6F-9DD358C857EA}"/>
            </c:ext>
          </c:extLst>
        </c:ser>
        <c:dLbls>
          <c:showLegendKey val="0"/>
          <c:showVal val="0"/>
          <c:showCatName val="0"/>
          <c:showSerName val="0"/>
          <c:showPercent val="0"/>
          <c:showBubbleSize val="0"/>
        </c:dLbls>
        <c:marker val="1"/>
        <c:smooth val="0"/>
        <c:axId val="1839680464"/>
        <c:axId val="1839686288"/>
      </c:lineChart>
      <c:catAx>
        <c:axId val="1839680464"/>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686288"/>
        <c:crosses val="autoZero"/>
        <c:auto val="1"/>
        <c:lblAlgn val="ctr"/>
        <c:lblOffset val="100"/>
        <c:noMultiLvlLbl val="0"/>
      </c:catAx>
      <c:valAx>
        <c:axId val="1839686288"/>
        <c:scaling>
          <c:orientation val="minMax"/>
          <c:min val="-15"/>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680464"/>
        <c:crosses val="autoZero"/>
        <c:crossBetween val="between"/>
      </c:valAx>
      <c:spPr>
        <a:noFill/>
        <a:ln>
          <a:noFill/>
        </a:ln>
        <a:effectLst/>
      </c:spPr>
    </c:plotArea>
    <c:legend>
      <c:legendPos val="b"/>
      <c:layout>
        <c:manualLayout>
          <c:xMode val="edge"/>
          <c:yMode val="edge"/>
          <c:x val="0.15387868183143774"/>
          <c:y val="0.91825208871791786"/>
          <c:w val="0.69224263633712457"/>
          <c:h val="7.6658852757909082E-2"/>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800"/>
      </a:pPr>
      <a:endParaRPr lang="sr-Latn-RS"/>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85870516185475"/>
          <c:y val="6.1624649859943981E-2"/>
          <c:w val="0.73050925925925914"/>
          <c:h val="0.62491111111111108"/>
        </c:manualLayout>
      </c:layout>
      <c:barChart>
        <c:barDir val="col"/>
        <c:grouping val="clustered"/>
        <c:varyColors val="0"/>
        <c:ser>
          <c:idx val="3"/>
          <c:order val="4"/>
          <c:tx>
            <c:strRef>
              <c:f>саобр!$J$8</c:f>
              <c:strCache>
                <c:ptCount val="1"/>
                <c:pt idx="0">
                  <c:v>2021/2019 (десна скала)</c:v>
                </c:pt>
              </c:strCache>
            </c:strRef>
          </c:tx>
          <c:spPr>
            <a:solidFill>
              <a:srgbClr val="10103C"/>
            </a:solidFill>
            <a:ln>
              <a:noFill/>
            </a:ln>
            <a:effectLst/>
          </c:spPr>
          <c:invertIfNegative val="0"/>
          <c:dPt>
            <c:idx val="14"/>
            <c:invertIfNegative val="0"/>
            <c:bubble3D val="0"/>
            <c:spPr>
              <a:solidFill>
                <a:srgbClr val="EC008C"/>
              </a:solidFill>
              <a:ln>
                <a:noFill/>
              </a:ln>
              <a:effectLst/>
            </c:spPr>
            <c:extLst>
              <c:ext xmlns:c16="http://schemas.microsoft.com/office/drawing/2014/chart" uri="{C3380CC4-5D6E-409C-BE32-E72D297353CC}">
                <c16:uniqueId val="{00000001-F36C-4AAE-8437-AE58FD3BEF19}"/>
              </c:ext>
            </c:extLst>
          </c:dPt>
          <c:dPt>
            <c:idx val="15"/>
            <c:invertIfNegative val="0"/>
            <c:bubble3D val="0"/>
            <c:spPr>
              <a:solidFill>
                <a:srgbClr val="00A651"/>
              </a:solidFill>
              <a:ln>
                <a:noFill/>
              </a:ln>
              <a:effectLst/>
            </c:spPr>
            <c:extLst>
              <c:ext xmlns:c16="http://schemas.microsoft.com/office/drawing/2014/chart" uri="{C3380CC4-5D6E-409C-BE32-E72D297353CC}">
                <c16:uniqueId val="{00000003-F36C-4AAE-8437-AE58FD3BEF19}"/>
              </c:ext>
            </c:extLst>
          </c:dPt>
          <c:dLbls>
            <c:dLbl>
              <c:idx val="13"/>
              <c:layout>
                <c:manualLayout>
                  <c:x val="-1.3888888888888888E-2"/>
                  <c:y val="1.1759123416862102E-16"/>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rgbClr val="002060"/>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36C-4AAE-8437-AE58FD3BEF19}"/>
                </c:ext>
              </c:extLst>
            </c:dLbl>
            <c:dLbl>
              <c:idx val="14"/>
              <c:layout>
                <c:manualLayout>
                  <c:x val="0"/>
                  <c:y val="2.56565656565657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rgbClr val="EC008C"/>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36C-4AAE-8437-AE58FD3BEF19}"/>
                </c:ext>
              </c:extLst>
            </c:dLbl>
            <c:dLbl>
              <c:idx val="15"/>
              <c:numFmt formatCode="#,##0" sourceLinked="0"/>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rgbClr val="00A651"/>
                      </a:solidFill>
                      <a:latin typeface="+mn-lt"/>
                      <a:ea typeface="+mn-ea"/>
                      <a:cs typeface="+mn-cs"/>
                    </a:defRPr>
                  </a:pPr>
                  <a:endParaRPr lang="sr-Latn-RS"/>
                </a:p>
              </c:txPr>
              <c:showLegendKey val="0"/>
              <c:showVal val="1"/>
              <c:showCatName val="0"/>
              <c:showSerName val="0"/>
              <c:showPercent val="0"/>
              <c:showBubbleSize val="0"/>
              <c:extLst>
                <c:ext xmlns:c16="http://schemas.microsoft.com/office/drawing/2014/chart" uri="{C3380CC4-5D6E-409C-BE32-E72D297353CC}">
                  <c16:uniqueId val="{00000003-F36C-4AAE-8437-AE58FD3BEF19}"/>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саобр!$D$10:$D$26</c:f>
              <c:strCache>
                <c:ptCount val="16"/>
                <c:pt idx="0">
                  <c:v>2019 Q1</c:v>
                </c:pt>
                <c:pt idx="1">
                  <c:v>Q2</c:v>
                </c:pt>
                <c:pt idx="2">
                  <c:v>Q3</c:v>
                </c:pt>
                <c:pt idx="3">
                  <c:v>Q4</c:v>
                </c:pt>
                <c:pt idx="4">
                  <c:v>2020 Q1</c:v>
                </c:pt>
                <c:pt idx="5">
                  <c:v>Q2</c:v>
                </c:pt>
                <c:pt idx="6">
                  <c:v>Q3</c:v>
                </c:pt>
                <c:pt idx="7">
                  <c:v>Q4</c:v>
                </c:pt>
                <c:pt idx="8">
                  <c:v>2021 Q1</c:v>
                </c:pt>
                <c:pt idx="9">
                  <c:v>Q2</c:v>
                </c:pt>
                <c:pt idx="10">
                  <c:v>Q3</c:v>
                </c:pt>
                <c:pt idx="11">
                  <c:v>Q4</c:v>
                </c:pt>
                <c:pt idx="13">
                  <c:v>Укупно</c:v>
                </c:pt>
                <c:pt idx="14">
                  <c:v>Путнички</c:v>
                </c:pt>
                <c:pt idx="15">
                  <c:v>Теретни</c:v>
                </c:pt>
              </c:strCache>
            </c:strRef>
          </c:cat>
          <c:val>
            <c:numRef>
              <c:f>саобр!$J$10:$J$26</c:f>
              <c:numCache>
                <c:formatCode>General</c:formatCode>
                <c:ptCount val="17"/>
                <c:pt idx="13" formatCode="0.0">
                  <c:v>-14.10974244120942</c:v>
                </c:pt>
                <c:pt idx="14" formatCode="0.0">
                  <c:v>-30.997798972854</c:v>
                </c:pt>
                <c:pt idx="15" formatCode="0.0">
                  <c:v>19.703389830508485</c:v>
                </c:pt>
              </c:numCache>
            </c:numRef>
          </c:val>
          <c:extLst>
            <c:ext xmlns:c16="http://schemas.microsoft.com/office/drawing/2014/chart" uri="{C3380CC4-5D6E-409C-BE32-E72D297353CC}">
              <c16:uniqueId val="{00000005-F36C-4AAE-8437-AE58FD3BEF19}"/>
            </c:ext>
          </c:extLst>
        </c:ser>
        <c:dLbls>
          <c:showLegendKey val="0"/>
          <c:showVal val="0"/>
          <c:showCatName val="0"/>
          <c:showSerName val="0"/>
          <c:showPercent val="0"/>
          <c:showBubbleSize val="0"/>
        </c:dLbls>
        <c:gapWidth val="30"/>
        <c:axId val="1942004127"/>
        <c:axId val="1941994975"/>
      </c:barChart>
      <c:lineChart>
        <c:grouping val="standard"/>
        <c:varyColors val="0"/>
        <c:ser>
          <c:idx val="0"/>
          <c:order val="0"/>
          <c:tx>
            <c:strRef>
              <c:f>саобр!$F$8</c:f>
              <c:strCache>
                <c:ptCount val="1"/>
                <c:pt idx="0">
                  <c:v>100</c:v>
                </c:pt>
              </c:strCache>
            </c:strRef>
          </c:tx>
          <c:spPr>
            <a:ln w="6350" cap="rnd">
              <a:solidFill>
                <a:schemeClr val="tx1"/>
              </a:solidFill>
              <a:round/>
            </a:ln>
            <a:effectLst/>
          </c:spPr>
          <c:marker>
            <c:symbol val="none"/>
          </c:marker>
          <c:cat>
            <c:strRef>
              <c:f>саобр!$D$10:$D$26</c:f>
              <c:strCache>
                <c:ptCount val="16"/>
                <c:pt idx="0">
                  <c:v>2019 Q1</c:v>
                </c:pt>
                <c:pt idx="1">
                  <c:v>Q2</c:v>
                </c:pt>
                <c:pt idx="2">
                  <c:v>Q3</c:v>
                </c:pt>
                <c:pt idx="3">
                  <c:v>Q4</c:v>
                </c:pt>
                <c:pt idx="4">
                  <c:v>2020 Q1</c:v>
                </c:pt>
                <c:pt idx="5">
                  <c:v>Q2</c:v>
                </c:pt>
                <c:pt idx="6">
                  <c:v>Q3</c:v>
                </c:pt>
                <c:pt idx="7">
                  <c:v>Q4</c:v>
                </c:pt>
                <c:pt idx="8">
                  <c:v>2021 Q1</c:v>
                </c:pt>
                <c:pt idx="9">
                  <c:v>Q2</c:v>
                </c:pt>
                <c:pt idx="10">
                  <c:v>Q3</c:v>
                </c:pt>
                <c:pt idx="11">
                  <c:v>Q4</c:v>
                </c:pt>
                <c:pt idx="13">
                  <c:v>Укупно</c:v>
                </c:pt>
                <c:pt idx="14">
                  <c:v>Путнички</c:v>
                </c:pt>
                <c:pt idx="15">
                  <c:v>Теретни</c:v>
                </c:pt>
              </c:strCache>
            </c:strRef>
          </c:cat>
          <c:val>
            <c:numRef>
              <c:f>саобр!$F$10:$F$26</c:f>
              <c:numCache>
                <c:formatCode>0.0</c:formatCode>
                <c:ptCount val="17"/>
                <c:pt idx="0">
                  <c:v>100</c:v>
                </c:pt>
                <c:pt idx="1">
                  <c:v>100</c:v>
                </c:pt>
                <c:pt idx="2">
                  <c:v>100</c:v>
                </c:pt>
                <c:pt idx="3">
                  <c:v>100</c:v>
                </c:pt>
                <c:pt idx="4">
                  <c:v>100</c:v>
                </c:pt>
                <c:pt idx="5">
                  <c:v>100</c:v>
                </c:pt>
                <c:pt idx="6">
                  <c:v>100</c:v>
                </c:pt>
                <c:pt idx="7">
                  <c:v>100</c:v>
                </c:pt>
                <c:pt idx="8">
                  <c:v>100</c:v>
                </c:pt>
                <c:pt idx="9">
                  <c:v>100</c:v>
                </c:pt>
                <c:pt idx="10">
                  <c:v>100</c:v>
                </c:pt>
                <c:pt idx="11">
                  <c:v>100</c:v>
                </c:pt>
              </c:numCache>
            </c:numRef>
          </c:val>
          <c:smooth val="0"/>
          <c:extLst>
            <c:ext xmlns:c16="http://schemas.microsoft.com/office/drawing/2014/chart" uri="{C3380CC4-5D6E-409C-BE32-E72D297353CC}">
              <c16:uniqueId val="{00000006-F36C-4AAE-8437-AE58FD3BEF19}"/>
            </c:ext>
          </c:extLst>
        </c:ser>
        <c:ser>
          <c:idx val="1"/>
          <c:order val="1"/>
          <c:tx>
            <c:strRef>
              <c:f>саобр!$G$8</c:f>
              <c:strCache>
                <c:ptCount val="1"/>
                <c:pt idx="0">
                  <c:v>Укупно</c:v>
                </c:pt>
              </c:strCache>
            </c:strRef>
          </c:tx>
          <c:spPr>
            <a:ln w="25400" cap="rnd">
              <a:solidFill>
                <a:srgbClr val="002060"/>
              </a:solidFill>
              <a:round/>
            </a:ln>
            <a:effectLst/>
          </c:spPr>
          <c:marker>
            <c:symbol val="none"/>
          </c:marker>
          <c:cat>
            <c:strRef>
              <c:f>саобр!$D$10:$D$26</c:f>
              <c:strCache>
                <c:ptCount val="16"/>
                <c:pt idx="0">
                  <c:v>2019 Q1</c:v>
                </c:pt>
                <c:pt idx="1">
                  <c:v>Q2</c:v>
                </c:pt>
                <c:pt idx="2">
                  <c:v>Q3</c:v>
                </c:pt>
                <c:pt idx="3">
                  <c:v>Q4</c:v>
                </c:pt>
                <c:pt idx="4">
                  <c:v>2020 Q1</c:v>
                </c:pt>
                <c:pt idx="5">
                  <c:v>Q2</c:v>
                </c:pt>
                <c:pt idx="6">
                  <c:v>Q3</c:v>
                </c:pt>
                <c:pt idx="7">
                  <c:v>Q4</c:v>
                </c:pt>
                <c:pt idx="8">
                  <c:v>2021 Q1</c:v>
                </c:pt>
                <c:pt idx="9">
                  <c:v>Q2</c:v>
                </c:pt>
                <c:pt idx="10">
                  <c:v>Q3</c:v>
                </c:pt>
                <c:pt idx="11">
                  <c:v>Q4</c:v>
                </c:pt>
                <c:pt idx="13">
                  <c:v>Укупно</c:v>
                </c:pt>
                <c:pt idx="14">
                  <c:v>Путнички</c:v>
                </c:pt>
                <c:pt idx="15">
                  <c:v>Теретни</c:v>
                </c:pt>
              </c:strCache>
            </c:strRef>
          </c:cat>
          <c:val>
            <c:numRef>
              <c:f>саобр!$G$10:$G$26</c:f>
              <c:numCache>
                <c:formatCode>0.0</c:formatCode>
                <c:ptCount val="17"/>
                <c:pt idx="0">
                  <c:v>120.2</c:v>
                </c:pt>
                <c:pt idx="1">
                  <c:v>155.6</c:v>
                </c:pt>
                <c:pt idx="2">
                  <c:v>197.3</c:v>
                </c:pt>
                <c:pt idx="3">
                  <c:v>152</c:v>
                </c:pt>
                <c:pt idx="4">
                  <c:v>122.7</c:v>
                </c:pt>
                <c:pt idx="5">
                  <c:v>65.5</c:v>
                </c:pt>
                <c:pt idx="6">
                  <c:v>113.5</c:v>
                </c:pt>
                <c:pt idx="7">
                  <c:v>98.2</c:v>
                </c:pt>
                <c:pt idx="8">
                  <c:v>98.6</c:v>
                </c:pt>
                <c:pt idx="9">
                  <c:v>131.5</c:v>
                </c:pt>
                <c:pt idx="10">
                  <c:v>172.3</c:v>
                </c:pt>
                <c:pt idx="11">
                  <c:v>134.5</c:v>
                </c:pt>
              </c:numCache>
            </c:numRef>
          </c:val>
          <c:smooth val="0"/>
          <c:extLst>
            <c:ext xmlns:c16="http://schemas.microsoft.com/office/drawing/2014/chart" uri="{C3380CC4-5D6E-409C-BE32-E72D297353CC}">
              <c16:uniqueId val="{00000007-F36C-4AAE-8437-AE58FD3BEF19}"/>
            </c:ext>
          </c:extLst>
        </c:ser>
        <c:ser>
          <c:idx val="2"/>
          <c:order val="2"/>
          <c:tx>
            <c:strRef>
              <c:f>саобр!$H$8</c:f>
              <c:strCache>
                <c:ptCount val="1"/>
                <c:pt idx="0">
                  <c:v>Путнички</c:v>
                </c:pt>
              </c:strCache>
            </c:strRef>
          </c:tx>
          <c:spPr>
            <a:ln w="19050" cap="rnd">
              <a:solidFill>
                <a:srgbClr val="EC008C"/>
              </a:solidFill>
              <a:round/>
            </a:ln>
            <a:effectLst/>
          </c:spPr>
          <c:marker>
            <c:symbol val="none"/>
          </c:marker>
          <c:cat>
            <c:strRef>
              <c:f>саобр!$D$10:$D$26</c:f>
              <c:strCache>
                <c:ptCount val="16"/>
                <c:pt idx="0">
                  <c:v>2019 Q1</c:v>
                </c:pt>
                <c:pt idx="1">
                  <c:v>Q2</c:v>
                </c:pt>
                <c:pt idx="2">
                  <c:v>Q3</c:v>
                </c:pt>
                <c:pt idx="3">
                  <c:v>Q4</c:v>
                </c:pt>
                <c:pt idx="4">
                  <c:v>2020 Q1</c:v>
                </c:pt>
                <c:pt idx="5">
                  <c:v>Q2</c:v>
                </c:pt>
                <c:pt idx="6">
                  <c:v>Q3</c:v>
                </c:pt>
                <c:pt idx="7">
                  <c:v>Q4</c:v>
                </c:pt>
                <c:pt idx="8">
                  <c:v>2021 Q1</c:v>
                </c:pt>
                <c:pt idx="9">
                  <c:v>Q2</c:v>
                </c:pt>
                <c:pt idx="10">
                  <c:v>Q3</c:v>
                </c:pt>
                <c:pt idx="11">
                  <c:v>Q4</c:v>
                </c:pt>
                <c:pt idx="13">
                  <c:v>Укупно</c:v>
                </c:pt>
                <c:pt idx="14">
                  <c:v>Путнички</c:v>
                </c:pt>
                <c:pt idx="15">
                  <c:v>Теретни</c:v>
                </c:pt>
              </c:strCache>
            </c:strRef>
          </c:cat>
          <c:val>
            <c:numRef>
              <c:f>саобр!$H$10:$H$26</c:f>
              <c:numCache>
                <c:formatCode>0.0</c:formatCode>
                <c:ptCount val="17"/>
                <c:pt idx="0">
                  <c:v>138.6</c:v>
                </c:pt>
                <c:pt idx="1">
                  <c:v>205.7</c:v>
                </c:pt>
                <c:pt idx="2">
                  <c:v>283.39999999999998</c:v>
                </c:pt>
                <c:pt idx="3">
                  <c:v>190.1</c:v>
                </c:pt>
                <c:pt idx="4">
                  <c:v>145.80000000000001</c:v>
                </c:pt>
                <c:pt idx="5">
                  <c:v>37.1</c:v>
                </c:pt>
                <c:pt idx="6">
                  <c:v>117.9</c:v>
                </c:pt>
                <c:pt idx="7">
                  <c:v>99.2</c:v>
                </c:pt>
                <c:pt idx="8">
                  <c:v>83.4</c:v>
                </c:pt>
                <c:pt idx="9">
                  <c:v>137.19999999999999</c:v>
                </c:pt>
                <c:pt idx="10">
                  <c:v>212.9</c:v>
                </c:pt>
                <c:pt idx="11">
                  <c:v>130.80000000000001</c:v>
                </c:pt>
              </c:numCache>
            </c:numRef>
          </c:val>
          <c:smooth val="0"/>
          <c:extLst>
            <c:ext xmlns:c16="http://schemas.microsoft.com/office/drawing/2014/chart" uri="{C3380CC4-5D6E-409C-BE32-E72D297353CC}">
              <c16:uniqueId val="{00000008-F36C-4AAE-8437-AE58FD3BEF19}"/>
            </c:ext>
          </c:extLst>
        </c:ser>
        <c:ser>
          <c:idx val="5"/>
          <c:order val="3"/>
          <c:tx>
            <c:strRef>
              <c:f>саобр!$I$8</c:f>
              <c:strCache>
                <c:ptCount val="1"/>
                <c:pt idx="0">
                  <c:v>Теретни</c:v>
                </c:pt>
              </c:strCache>
            </c:strRef>
          </c:tx>
          <c:spPr>
            <a:ln w="19050" cap="rnd">
              <a:solidFill>
                <a:srgbClr val="00A651"/>
              </a:solidFill>
              <a:round/>
            </a:ln>
            <a:effectLst/>
          </c:spPr>
          <c:marker>
            <c:symbol val="none"/>
          </c:marker>
          <c:cat>
            <c:strRef>
              <c:f>саобр!$D$10:$D$26</c:f>
              <c:strCache>
                <c:ptCount val="16"/>
                <c:pt idx="0">
                  <c:v>2019 Q1</c:v>
                </c:pt>
                <c:pt idx="1">
                  <c:v>Q2</c:v>
                </c:pt>
                <c:pt idx="2">
                  <c:v>Q3</c:v>
                </c:pt>
                <c:pt idx="3">
                  <c:v>Q4</c:v>
                </c:pt>
                <c:pt idx="4">
                  <c:v>2020 Q1</c:v>
                </c:pt>
                <c:pt idx="5">
                  <c:v>Q2</c:v>
                </c:pt>
                <c:pt idx="6">
                  <c:v>Q3</c:v>
                </c:pt>
                <c:pt idx="7">
                  <c:v>Q4</c:v>
                </c:pt>
                <c:pt idx="8">
                  <c:v>2021 Q1</c:v>
                </c:pt>
                <c:pt idx="9">
                  <c:v>Q2</c:v>
                </c:pt>
                <c:pt idx="10">
                  <c:v>Q3</c:v>
                </c:pt>
                <c:pt idx="11">
                  <c:v>Q4</c:v>
                </c:pt>
                <c:pt idx="13">
                  <c:v>Укупно</c:v>
                </c:pt>
                <c:pt idx="14">
                  <c:v>Путнички</c:v>
                </c:pt>
                <c:pt idx="15">
                  <c:v>Теретни</c:v>
                </c:pt>
              </c:strCache>
            </c:strRef>
          </c:cat>
          <c:val>
            <c:numRef>
              <c:f>саобр!$I$10:$I$26</c:f>
              <c:numCache>
                <c:formatCode>0.0</c:formatCode>
                <c:ptCount val="17"/>
                <c:pt idx="0">
                  <c:v>101.1</c:v>
                </c:pt>
                <c:pt idx="1">
                  <c:v>103.5</c:v>
                </c:pt>
                <c:pt idx="2">
                  <c:v>107.8</c:v>
                </c:pt>
                <c:pt idx="3">
                  <c:v>112.4</c:v>
                </c:pt>
                <c:pt idx="4">
                  <c:v>98.7</c:v>
                </c:pt>
                <c:pt idx="5">
                  <c:v>95.1</c:v>
                </c:pt>
                <c:pt idx="6">
                  <c:v>109</c:v>
                </c:pt>
                <c:pt idx="7">
                  <c:v>97.2</c:v>
                </c:pt>
                <c:pt idx="8">
                  <c:v>114.5</c:v>
                </c:pt>
                <c:pt idx="9">
                  <c:v>125.7</c:v>
                </c:pt>
                <c:pt idx="10">
                  <c:v>130</c:v>
                </c:pt>
                <c:pt idx="11">
                  <c:v>138.30000000000001</c:v>
                </c:pt>
              </c:numCache>
            </c:numRef>
          </c:val>
          <c:smooth val="0"/>
          <c:extLst>
            <c:ext xmlns:c16="http://schemas.microsoft.com/office/drawing/2014/chart" uri="{C3380CC4-5D6E-409C-BE32-E72D297353CC}">
              <c16:uniqueId val="{00000009-F36C-4AAE-8437-AE58FD3BEF19}"/>
            </c:ext>
          </c:extLst>
        </c:ser>
        <c:dLbls>
          <c:showLegendKey val="0"/>
          <c:showVal val="0"/>
          <c:showCatName val="0"/>
          <c:showSerName val="0"/>
          <c:showPercent val="0"/>
          <c:showBubbleSize val="0"/>
        </c:dLbls>
        <c:marker val="1"/>
        <c:smooth val="0"/>
        <c:axId val="429350464"/>
        <c:axId val="429347552"/>
      </c:lineChart>
      <c:lineChart>
        <c:grouping val="standard"/>
        <c:varyColors val="0"/>
        <c:ser>
          <c:idx val="4"/>
          <c:order val="5"/>
          <c:tx>
            <c:strRef>
              <c:f>саобр!$K$8</c:f>
              <c:strCache>
                <c:ptCount val="1"/>
                <c:pt idx="0">
                  <c:v>0</c:v>
                </c:pt>
              </c:strCache>
            </c:strRef>
          </c:tx>
          <c:spPr>
            <a:ln w="6350" cap="rnd">
              <a:solidFill>
                <a:schemeClr val="tx1"/>
              </a:solidFill>
              <a:round/>
            </a:ln>
            <a:effectLst/>
          </c:spPr>
          <c:marker>
            <c:symbol val="none"/>
          </c:marker>
          <c:cat>
            <c:strRef>
              <c:f>саобр!$D$10:$D$26</c:f>
              <c:strCache>
                <c:ptCount val="16"/>
                <c:pt idx="0">
                  <c:v>2019 Q1</c:v>
                </c:pt>
                <c:pt idx="1">
                  <c:v>Q2</c:v>
                </c:pt>
                <c:pt idx="2">
                  <c:v>Q3</c:v>
                </c:pt>
                <c:pt idx="3">
                  <c:v>Q4</c:v>
                </c:pt>
                <c:pt idx="4">
                  <c:v>2020 Q1</c:v>
                </c:pt>
                <c:pt idx="5">
                  <c:v>Q2</c:v>
                </c:pt>
                <c:pt idx="6">
                  <c:v>Q3</c:v>
                </c:pt>
                <c:pt idx="7">
                  <c:v>Q4</c:v>
                </c:pt>
                <c:pt idx="8">
                  <c:v>2021 Q1</c:v>
                </c:pt>
                <c:pt idx="9">
                  <c:v>Q2</c:v>
                </c:pt>
                <c:pt idx="10">
                  <c:v>Q3</c:v>
                </c:pt>
                <c:pt idx="11">
                  <c:v>Q4</c:v>
                </c:pt>
                <c:pt idx="13">
                  <c:v>Укупно</c:v>
                </c:pt>
                <c:pt idx="14">
                  <c:v>Путнички</c:v>
                </c:pt>
                <c:pt idx="15">
                  <c:v>Теретни</c:v>
                </c:pt>
              </c:strCache>
            </c:strRef>
          </c:cat>
          <c:val>
            <c:numRef>
              <c:f>саобр!$K$10:$K$26</c:f>
              <c:numCache>
                <c:formatCode>General</c:formatCode>
                <c:ptCount val="17"/>
                <c:pt idx="12" formatCode="0.0">
                  <c:v>0</c:v>
                </c:pt>
                <c:pt idx="13" formatCode="0.0">
                  <c:v>0</c:v>
                </c:pt>
                <c:pt idx="14" formatCode="0.0">
                  <c:v>0</c:v>
                </c:pt>
                <c:pt idx="15" formatCode="0.0">
                  <c:v>0</c:v>
                </c:pt>
                <c:pt idx="16" formatCode="0.0">
                  <c:v>0</c:v>
                </c:pt>
              </c:numCache>
            </c:numRef>
          </c:val>
          <c:smooth val="0"/>
          <c:extLst>
            <c:ext xmlns:c16="http://schemas.microsoft.com/office/drawing/2014/chart" uri="{C3380CC4-5D6E-409C-BE32-E72D297353CC}">
              <c16:uniqueId val="{0000000A-F36C-4AAE-8437-AE58FD3BEF19}"/>
            </c:ext>
          </c:extLst>
        </c:ser>
        <c:dLbls>
          <c:showLegendKey val="0"/>
          <c:showVal val="0"/>
          <c:showCatName val="0"/>
          <c:showSerName val="0"/>
          <c:showPercent val="0"/>
          <c:showBubbleSize val="0"/>
        </c:dLbls>
        <c:marker val="1"/>
        <c:smooth val="0"/>
        <c:axId val="1942004127"/>
        <c:axId val="1941994975"/>
      </c:lineChart>
      <c:catAx>
        <c:axId val="429350464"/>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429347552"/>
        <c:crosses val="autoZero"/>
        <c:auto val="1"/>
        <c:lblAlgn val="ctr"/>
        <c:lblOffset val="0"/>
        <c:noMultiLvlLbl val="1"/>
      </c:catAx>
      <c:valAx>
        <c:axId val="429347552"/>
        <c:scaling>
          <c:orientation val="minMax"/>
          <c:min val="0"/>
        </c:scaling>
        <c:delete val="0"/>
        <c:axPos val="l"/>
        <c:title>
          <c:tx>
            <c:rich>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r>
                  <a:rPr lang="sr-Cyrl-RS"/>
                  <a:t>Индекси, </a:t>
                </a:r>
                <a:r>
                  <a:rPr lang="en-GB"/>
                  <a:t>Ø2020=100</a:t>
                </a:r>
              </a:p>
            </c:rich>
          </c:tx>
          <c:overlay val="0"/>
          <c:spPr>
            <a:noFill/>
            <a:ln>
              <a:noFill/>
            </a:ln>
            <a:effectLst/>
          </c:spPr>
          <c:txPr>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429350464"/>
        <c:crosses val="autoZero"/>
        <c:crossBetween val="between"/>
        <c:majorUnit val="40"/>
      </c:valAx>
      <c:valAx>
        <c:axId val="1941994975"/>
        <c:scaling>
          <c:orientation val="minMax"/>
        </c:scaling>
        <c:delete val="0"/>
        <c:axPos val="r"/>
        <c:title>
          <c:tx>
            <c:rich>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r>
                  <a:rPr lang="en-GB" sz="750" b="0" i="0" u="none" strike="noStrike" baseline="0">
                    <a:effectLst/>
                  </a:rPr>
                  <a:t>Ø</a:t>
                </a:r>
                <a:r>
                  <a:rPr lang="sr-Cyrl-RS"/>
                  <a:t>2021/</a:t>
                </a:r>
                <a:r>
                  <a:rPr lang="en-GB" sz="750" b="0" i="0" u="none" strike="noStrike" baseline="0">
                    <a:effectLst/>
                  </a:rPr>
                  <a:t>Ø</a:t>
                </a:r>
                <a:r>
                  <a:rPr lang="sr-Cyrl-RS"/>
                  <a:t>2019,</a:t>
                </a:r>
                <a:r>
                  <a:rPr lang="sr-Cyrl-RS" baseline="0"/>
                  <a:t> у %</a:t>
                </a:r>
                <a:endParaRPr lang="en-GB"/>
              </a:p>
            </c:rich>
          </c:tx>
          <c:overlay val="0"/>
          <c:spPr>
            <a:noFill/>
            <a:ln>
              <a:noFill/>
            </a:ln>
            <a:effectLst/>
          </c:spPr>
          <c:txPr>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942004127"/>
        <c:crosses val="max"/>
        <c:crossBetween val="between"/>
      </c:valAx>
      <c:catAx>
        <c:axId val="1942004127"/>
        <c:scaling>
          <c:orientation val="minMax"/>
        </c:scaling>
        <c:delete val="1"/>
        <c:axPos val="b"/>
        <c:numFmt formatCode="General" sourceLinked="1"/>
        <c:majorTickMark val="out"/>
        <c:minorTickMark val="none"/>
        <c:tickLblPos val="nextTo"/>
        <c:crossAx val="1941994975"/>
        <c:crosses val="autoZero"/>
        <c:auto val="1"/>
        <c:lblAlgn val="ctr"/>
        <c:lblOffset val="100"/>
        <c:noMultiLvlLbl val="0"/>
      </c:catAx>
      <c:spPr>
        <a:noFill/>
        <a:ln>
          <a:noFill/>
        </a:ln>
        <a:effectLst/>
      </c:spPr>
    </c:plotArea>
    <c:legend>
      <c:legendPos val="b"/>
      <c:legendEntry>
        <c:idx val="0"/>
        <c:delete val="1"/>
      </c:legendEntry>
      <c:legendEntry>
        <c:idx val="1"/>
        <c:delete val="1"/>
      </c:legendEntry>
      <c:legendEntry>
        <c:idx val="5"/>
        <c:delete val="1"/>
      </c:legendEntry>
      <c:layout>
        <c:manualLayout>
          <c:xMode val="edge"/>
          <c:yMode val="edge"/>
          <c:x val="7.5787037037037042E-2"/>
          <c:y val="0.89721161616161627"/>
          <c:w val="0.82630577427821528"/>
          <c:h val="9.6619191919191924E-2"/>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9410569105691"/>
          <c:y val="5.8005314731772131E-2"/>
          <c:w val="0.83454945799457991"/>
          <c:h val="0.60627480775429388"/>
        </c:manualLayout>
      </c:layout>
      <c:lineChart>
        <c:grouping val="standard"/>
        <c:varyColors val="0"/>
        <c:ser>
          <c:idx val="0"/>
          <c:order val="0"/>
          <c:tx>
            <c:strRef>
              <c:f>'Commodities 2'!$K$145</c:f>
              <c:strCache>
                <c:ptCount val="1"/>
              </c:strCache>
            </c:strRef>
          </c:tx>
          <c:spPr>
            <a:ln w="22225" cap="rnd">
              <a:solidFill>
                <a:srgbClr val="00A651"/>
              </a:solidFill>
              <a:prstDash val="sysDot"/>
              <a:round/>
            </a:ln>
            <a:effectLst/>
          </c:spPr>
          <c:marker>
            <c:symbol val="none"/>
          </c:marker>
          <c:cat>
            <c:numRef>
              <c:f>'Commodities 2'!$J$147:$J$153</c:f>
              <c:numCache>
                <c:formatCode>General</c:formatCode>
                <c:ptCount val="7"/>
                <c:pt idx="0">
                  <c:v>2019</c:v>
                </c:pt>
                <c:pt idx="1">
                  <c:v>2020</c:v>
                </c:pt>
                <c:pt idx="2">
                  <c:v>2021</c:v>
                </c:pt>
                <c:pt idx="3">
                  <c:v>2022</c:v>
                </c:pt>
                <c:pt idx="4">
                  <c:v>2023</c:v>
                </c:pt>
                <c:pt idx="5">
                  <c:v>2024</c:v>
                </c:pt>
                <c:pt idx="6">
                  <c:v>2025</c:v>
                </c:pt>
              </c:numCache>
            </c:numRef>
          </c:cat>
          <c:val>
            <c:numRef>
              <c:f>'Commodities 2'!$K$147:$K$153</c:f>
              <c:numCache>
                <c:formatCode>0.0</c:formatCode>
                <c:ptCount val="7"/>
                <c:pt idx="0">
                  <c:v>100</c:v>
                </c:pt>
                <c:pt idx="1">
                  <c:v>101.68159404246752</c:v>
                </c:pt>
                <c:pt idx="2">
                  <c:v>129.92049914461106</c:v>
                </c:pt>
                <c:pt idx="3">
                  <c:v>132.35282278353628</c:v>
                </c:pt>
                <c:pt idx="4">
                  <c:v>128.00845325550972</c:v>
                </c:pt>
                <c:pt idx="5">
                  <c:v>126.48485458387843</c:v>
                </c:pt>
                <c:pt idx="6">
                  <c:v>126.48485458387843</c:v>
                </c:pt>
              </c:numCache>
            </c:numRef>
          </c:val>
          <c:smooth val="0"/>
          <c:extLst>
            <c:ext xmlns:c16="http://schemas.microsoft.com/office/drawing/2014/chart" uri="{C3380CC4-5D6E-409C-BE32-E72D297353CC}">
              <c16:uniqueId val="{00000000-4F2A-4871-956E-273D9B202A25}"/>
            </c:ext>
          </c:extLst>
        </c:ser>
        <c:ser>
          <c:idx val="1"/>
          <c:order val="1"/>
          <c:tx>
            <c:strRef>
              <c:f>'Commodities 2'!$L$145</c:f>
              <c:strCache>
                <c:ptCount val="1"/>
              </c:strCache>
            </c:strRef>
          </c:tx>
          <c:spPr>
            <a:ln w="22225" cap="rnd">
              <a:solidFill>
                <a:srgbClr val="EC008C"/>
              </a:solidFill>
              <a:prstDash val="sysDot"/>
              <a:round/>
            </a:ln>
            <a:effectLst/>
          </c:spPr>
          <c:marker>
            <c:symbol val="none"/>
          </c:marker>
          <c:cat>
            <c:numRef>
              <c:f>'Commodities 2'!$J$147:$J$153</c:f>
              <c:numCache>
                <c:formatCode>General</c:formatCode>
                <c:ptCount val="7"/>
                <c:pt idx="0">
                  <c:v>2019</c:v>
                </c:pt>
                <c:pt idx="1">
                  <c:v>2020</c:v>
                </c:pt>
                <c:pt idx="2">
                  <c:v>2021</c:v>
                </c:pt>
                <c:pt idx="3">
                  <c:v>2022</c:v>
                </c:pt>
                <c:pt idx="4">
                  <c:v>2023</c:v>
                </c:pt>
                <c:pt idx="5">
                  <c:v>2024</c:v>
                </c:pt>
                <c:pt idx="6">
                  <c:v>2025</c:v>
                </c:pt>
              </c:numCache>
            </c:numRef>
          </c:cat>
          <c:val>
            <c:numRef>
              <c:f>'Commodities 2'!$L$147:$L$153</c:f>
              <c:numCache>
                <c:formatCode>0.0</c:formatCode>
                <c:ptCount val="7"/>
                <c:pt idx="0">
                  <c:v>100</c:v>
                </c:pt>
                <c:pt idx="1">
                  <c:v>103.502253669151</c:v>
                </c:pt>
                <c:pt idx="2">
                  <c:v>154.90515346413741</c:v>
                </c:pt>
                <c:pt idx="3">
                  <c:v>144.78547586094601</c:v>
                </c:pt>
                <c:pt idx="4">
                  <c:v>144.27035148357302</c:v>
                </c:pt>
                <c:pt idx="5">
                  <c:v>143.51320746338249</c:v>
                </c:pt>
                <c:pt idx="6">
                  <c:v>142.89446611354938</c:v>
                </c:pt>
              </c:numCache>
            </c:numRef>
          </c:val>
          <c:smooth val="0"/>
          <c:extLst>
            <c:ext xmlns:c16="http://schemas.microsoft.com/office/drawing/2014/chart" uri="{C3380CC4-5D6E-409C-BE32-E72D297353CC}">
              <c16:uniqueId val="{00000002-4F2A-4871-956E-273D9B202A25}"/>
            </c:ext>
          </c:extLst>
        </c:ser>
        <c:ser>
          <c:idx val="2"/>
          <c:order val="2"/>
          <c:tx>
            <c:strRef>
              <c:f>'Commodities 2'!$M$145</c:f>
              <c:strCache>
                <c:ptCount val="1"/>
              </c:strCache>
            </c:strRef>
          </c:tx>
          <c:spPr>
            <a:ln w="22225" cap="rnd">
              <a:solidFill>
                <a:srgbClr val="003891"/>
              </a:solidFill>
              <a:prstDash val="sysDot"/>
              <a:round/>
            </a:ln>
            <a:effectLst/>
          </c:spPr>
          <c:marker>
            <c:symbol val="none"/>
          </c:marker>
          <c:cat>
            <c:numRef>
              <c:f>'Commodities 2'!$J$147:$J$153</c:f>
              <c:numCache>
                <c:formatCode>General</c:formatCode>
                <c:ptCount val="7"/>
                <c:pt idx="0">
                  <c:v>2019</c:v>
                </c:pt>
                <c:pt idx="1">
                  <c:v>2020</c:v>
                </c:pt>
                <c:pt idx="2">
                  <c:v>2021</c:v>
                </c:pt>
                <c:pt idx="3">
                  <c:v>2022</c:v>
                </c:pt>
                <c:pt idx="4">
                  <c:v>2023</c:v>
                </c:pt>
                <c:pt idx="5">
                  <c:v>2024</c:v>
                </c:pt>
                <c:pt idx="6">
                  <c:v>2025</c:v>
                </c:pt>
              </c:numCache>
            </c:numRef>
          </c:cat>
          <c:val>
            <c:numRef>
              <c:f>'Commodities 2'!$M$147:$M$153</c:f>
              <c:numCache>
                <c:formatCode>0.0</c:formatCode>
                <c:ptCount val="7"/>
                <c:pt idx="0">
                  <c:v>100</c:v>
                </c:pt>
                <c:pt idx="1">
                  <c:v>67.25176365613585</c:v>
                </c:pt>
                <c:pt idx="2">
                  <c:v>106.94378607478461</c:v>
                </c:pt>
                <c:pt idx="3">
                  <c:v>105.06371469202243</c:v>
                </c:pt>
                <c:pt idx="4">
                  <c:v>99.833393748431533</c:v>
                </c:pt>
                <c:pt idx="5">
                  <c:v>96.086495831358221</c:v>
                </c:pt>
                <c:pt idx="6">
                  <c:v>93.455650670607582</c:v>
                </c:pt>
              </c:numCache>
            </c:numRef>
          </c:val>
          <c:smooth val="0"/>
          <c:extLst>
            <c:ext xmlns:c16="http://schemas.microsoft.com/office/drawing/2014/chart" uri="{C3380CC4-5D6E-409C-BE32-E72D297353CC}">
              <c16:uniqueId val="{00000004-4F2A-4871-956E-273D9B202A25}"/>
            </c:ext>
          </c:extLst>
        </c:ser>
        <c:ser>
          <c:idx val="3"/>
          <c:order val="3"/>
          <c:tx>
            <c:strRef>
              <c:f>'Commodities 2'!$N$145</c:f>
              <c:strCache>
                <c:ptCount val="1"/>
              </c:strCache>
            </c:strRef>
          </c:tx>
          <c:spPr>
            <a:ln w="22225" cap="rnd">
              <a:solidFill>
                <a:srgbClr val="00A651"/>
              </a:solidFill>
              <a:round/>
            </a:ln>
            <a:effectLst/>
          </c:spPr>
          <c:marker>
            <c:symbol val="none"/>
          </c:marker>
          <c:cat>
            <c:numRef>
              <c:f>'Commodities 2'!$J$147:$J$153</c:f>
              <c:numCache>
                <c:formatCode>General</c:formatCode>
                <c:ptCount val="7"/>
                <c:pt idx="0">
                  <c:v>2019</c:v>
                </c:pt>
                <c:pt idx="1">
                  <c:v>2020</c:v>
                </c:pt>
                <c:pt idx="2">
                  <c:v>2021</c:v>
                </c:pt>
                <c:pt idx="3">
                  <c:v>2022</c:v>
                </c:pt>
                <c:pt idx="4">
                  <c:v>2023</c:v>
                </c:pt>
                <c:pt idx="5">
                  <c:v>2024</c:v>
                </c:pt>
                <c:pt idx="6">
                  <c:v>2025</c:v>
                </c:pt>
              </c:numCache>
            </c:numRef>
          </c:cat>
          <c:val>
            <c:numRef>
              <c:f>'Commodities 2'!$N$147:$N$153</c:f>
              <c:numCache>
                <c:formatCode>0.0</c:formatCode>
                <c:ptCount val="7"/>
                <c:pt idx="0">
                  <c:v>100</c:v>
                </c:pt>
                <c:pt idx="1">
                  <c:v>101.68159404246752</c:v>
                </c:pt>
                <c:pt idx="2">
                  <c:v>129.92754352420249</c:v>
                </c:pt>
                <c:pt idx="3">
                  <c:v>147.92392070041259</c:v>
                </c:pt>
                <c:pt idx="4">
                  <c:v>139.5360772869075</c:v>
                </c:pt>
                <c:pt idx="5">
                  <c:v>136.42246150749722</c:v>
                </c:pt>
                <c:pt idx="6">
                  <c:v>136.09741370635001</c:v>
                </c:pt>
              </c:numCache>
            </c:numRef>
          </c:val>
          <c:smooth val="0"/>
          <c:extLst>
            <c:ext xmlns:c16="http://schemas.microsoft.com/office/drawing/2014/chart" uri="{C3380CC4-5D6E-409C-BE32-E72D297353CC}">
              <c16:uniqueId val="{00000001-4F2A-4871-956E-273D9B202A25}"/>
            </c:ext>
          </c:extLst>
        </c:ser>
        <c:ser>
          <c:idx val="4"/>
          <c:order val="4"/>
          <c:tx>
            <c:strRef>
              <c:f>'Commodities 2'!$O$145</c:f>
              <c:strCache>
                <c:ptCount val="1"/>
              </c:strCache>
            </c:strRef>
          </c:tx>
          <c:spPr>
            <a:ln w="22225" cap="rnd">
              <a:solidFill>
                <a:srgbClr val="EC008C"/>
              </a:solidFill>
              <a:round/>
            </a:ln>
            <a:effectLst/>
          </c:spPr>
          <c:marker>
            <c:symbol val="none"/>
          </c:marker>
          <c:cat>
            <c:numRef>
              <c:f>'Commodities 2'!$J$147:$J$153</c:f>
              <c:numCache>
                <c:formatCode>General</c:formatCode>
                <c:ptCount val="7"/>
                <c:pt idx="0">
                  <c:v>2019</c:v>
                </c:pt>
                <c:pt idx="1">
                  <c:v>2020</c:v>
                </c:pt>
                <c:pt idx="2">
                  <c:v>2021</c:v>
                </c:pt>
                <c:pt idx="3">
                  <c:v>2022</c:v>
                </c:pt>
                <c:pt idx="4">
                  <c:v>2023</c:v>
                </c:pt>
                <c:pt idx="5">
                  <c:v>2024</c:v>
                </c:pt>
                <c:pt idx="6">
                  <c:v>2025</c:v>
                </c:pt>
              </c:numCache>
            </c:numRef>
          </c:cat>
          <c:val>
            <c:numRef>
              <c:f>'Commodities 2'!$O$147:$O$153</c:f>
              <c:numCache>
                <c:formatCode>0.0</c:formatCode>
                <c:ptCount val="7"/>
                <c:pt idx="0">
                  <c:v>100</c:v>
                </c:pt>
                <c:pt idx="1">
                  <c:v>103.502253669151</c:v>
                </c:pt>
                <c:pt idx="2">
                  <c:v>151.99277641677708</c:v>
                </c:pt>
                <c:pt idx="3">
                  <c:v>167.04018118167755</c:v>
                </c:pt>
                <c:pt idx="4">
                  <c:v>166.81518432719281</c:v>
                </c:pt>
                <c:pt idx="5">
                  <c:v>163.45429381332664</c:v>
                </c:pt>
                <c:pt idx="6">
                  <c:v>160.51231191669194</c:v>
                </c:pt>
              </c:numCache>
            </c:numRef>
          </c:val>
          <c:smooth val="0"/>
          <c:extLst>
            <c:ext xmlns:c16="http://schemas.microsoft.com/office/drawing/2014/chart" uri="{C3380CC4-5D6E-409C-BE32-E72D297353CC}">
              <c16:uniqueId val="{00000003-4F2A-4871-956E-273D9B202A25}"/>
            </c:ext>
          </c:extLst>
        </c:ser>
        <c:ser>
          <c:idx val="5"/>
          <c:order val="5"/>
          <c:tx>
            <c:strRef>
              <c:f>'Commodities 2'!$P$145</c:f>
              <c:strCache>
                <c:ptCount val="1"/>
              </c:strCache>
            </c:strRef>
          </c:tx>
          <c:spPr>
            <a:ln w="22225" cap="rnd">
              <a:solidFill>
                <a:srgbClr val="003891"/>
              </a:solidFill>
              <a:round/>
            </a:ln>
            <a:effectLst/>
          </c:spPr>
          <c:marker>
            <c:symbol val="none"/>
          </c:marker>
          <c:cat>
            <c:numRef>
              <c:f>'Commodities 2'!$J$147:$J$153</c:f>
              <c:numCache>
                <c:formatCode>General</c:formatCode>
                <c:ptCount val="7"/>
                <c:pt idx="0">
                  <c:v>2019</c:v>
                </c:pt>
                <c:pt idx="1">
                  <c:v>2020</c:v>
                </c:pt>
                <c:pt idx="2">
                  <c:v>2021</c:v>
                </c:pt>
                <c:pt idx="3">
                  <c:v>2022</c:v>
                </c:pt>
                <c:pt idx="4">
                  <c:v>2023</c:v>
                </c:pt>
                <c:pt idx="5">
                  <c:v>2024</c:v>
                </c:pt>
                <c:pt idx="6">
                  <c:v>2025</c:v>
                </c:pt>
              </c:numCache>
            </c:numRef>
          </c:cat>
          <c:val>
            <c:numRef>
              <c:f>'Commodities 2'!$P$147:$P$153</c:f>
              <c:numCache>
                <c:formatCode>0.0</c:formatCode>
                <c:ptCount val="7"/>
                <c:pt idx="0">
                  <c:v>100</c:v>
                </c:pt>
                <c:pt idx="1">
                  <c:v>67.25176365613585</c:v>
                </c:pt>
                <c:pt idx="2">
                  <c:v>112.46131110057721</c:v>
                </c:pt>
                <c:pt idx="3">
                  <c:v>173.91322532972703</c:v>
                </c:pt>
                <c:pt idx="4">
                  <c:v>150.80723865822716</c:v>
                </c:pt>
                <c:pt idx="5">
                  <c:v>137.14413183503888</c:v>
                </c:pt>
                <c:pt idx="6">
                  <c:v>127.91038117279648</c:v>
                </c:pt>
              </c:numCache>
            </c:numRef>
          </c:val>
          <c:smooth val="0"/>
          <c:extLst>
            <c:ext xmlns:c16="http://schemas.microsoft.com/office/drawing/2014/chart" uri="{C3380CC4-5D6E-409C-BE32-E72D297353CC}">
              <c16:uniqueId val="{00000005-4F2A-4871-956E-273D9B202A25}"/>
            </c:ext>
          </c:extLst>
        </c:ser>
        <c:ser>
          <c:idx val="6"/>
          <c:order val="6"/>
          <c:tx>
            <c:strRef>
              <c:f>'Commodities 2'!$Q$145</c:f>
              <c:strCache>
                <c:ptCount val="1"/>
              </c:strCache>
            </c:strRef>
          </c:tx>
          <c:spPr>
            <a:ln w="28575" cap="rnd">
              <a:noFill/>
              <a:round/>
            </a:ln>
            <a:effectLst/>
          </c:spPr>
          <c:marker>
            <c:symbol val="square"/>
            <c:size val="2"/>
            <c:spPr>
              <a:solidFill>
                <a:schemeClr val="bg1"/>
              </a:solidFill>
              <a:ln w="9525">
                <a:noFill/>
              </a:ln>
              <a:effectLst/>
            </c:spPr>
          </c:marker>
          <c:cat>
            <c:numRef>
              <c:f>'Commodities 2'!$J$147:$J$153</c:f>
              <c:numCache>
                <c:formatCode>General</c:formatCode>
                <c:ptCount val="7"/>
                <c:pt idx="0">
                  <c:v>2019</c:v>
                </c:pt>
                <c:pt idx="1">
                  <c:v>2020</c:v>
                </c:pt>
                <c:pt idx="2">
                  <c:v>2021</c:v>
                </c:pt>
                <c:pt idx="3">
                  <c:v>2022</c:v>
                </c:pt>
                <c:pt idx="4">
                  <c:v>2023</c:v>
                </c:pt>
                <c:pt idx="5">
                  <c:v>2024</c:v>
                </c:pt>
                <c:pt idx="6">
                  <c:v>2025</c:v>
                </c:pt>
              </c:numCache>
            </c:numRef>
          </c:cat>
          <c:val>
            <c:numRef>
              <c:f>'Commodities 2'!$Q$147:$Q$153</c:f>
              <c:numCache>
                <c:formatCode>General</c:formatCode>
                <c:ptCount val="7"/>
                <c:pt idx="0">
                  <c:v>60</c:v>
                </c:pt>
                <c:pt idx="1">
                  <c:v>60</c:v>
                </c:pt>
                <c:pt idx="2">
                  <c:v>60</c:v>
                </c:pt>
                <c:pt idx="3">
                  <c:v>60</c:v>
                </c:pt>
                <c:pt idx="4">
                  <c:v>60</c:v>
                </c:pt>
                <c:pt idx="5">
                  <c:v>60</c:v>
                </c:pt>
                <c:pt idx="6">
                  <c:v>60</c:v>
                </c:pt>
              </c:numCache>
            </c:numRef>
          </c:val>
          <c:smooth val="0"/>
          <c:extLst>
            <c:ext xmlns:c16="http://schemas.microsoft.com/office/drawing/2014/chart" uri="{C3380CC4-5D6E-409C-BE32-E72D297353CC}">
              <c16:uniqueId val="{00000006-4F2A-4871-956E-273D9B202A25}"/>
            </c:ext>
          </c:extLst>
        </c:ser>
        <c:dLbls>
          <c:showLegendKey val="0"/>
          <c:showVal val="0"/>
          <c:showCatName val="0"/>
          <c:showSerName val="0"/>
          <c:showPercent val="0"/>
          <c:showBubbleSize val="0"/>
        </c:dLbls>
        <c:smooth val="0"/>
        <c:axId val="-1926786112"/>
        <c:axId val="-1926805152"/>
      </c:lineChart>
      <c:catAx>
        <c:axId val="-1926786112"/>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926805152"/>
        <c:crosses val="autoZero"/>
        <c:auto val="1"/>
        <c:lblAlgn val="ctr"/>
        <c:lblOffset val="100"/>
        <c:noMultiLvlLbl val="0"/>
      </c:catAx>
      <c:valAx>
        <c:axId val="-1926805152"/>
        <c:scaling>
          <c:orientation val="minMax"/>
          <c:min val="6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926786112"/>
        <c:crosses val="autoZero"/>
        <c:crossBetween val="midCat"/>
        <c:majorUnit val="10"/>
      </c:valAx>
      <c:spPr>
        <a:noFill/>
        <a:ln>
          <a:noFill/>
        </a:ln>
        <a:effectLst/>
      </c:spPr>
    </c:plotArea>
    <c:legend>
      <c:legendPos val="b"/>
      <c:layout>
        <c:manualLayout>
          <c:xMode val="edge"/>
          <c:yMode val="edge"/>
          <c:x val="0.32921296296296299"/>
          <c:y val="0.87949164249205691"/>
          <c:w val="0.55453703703703705"/>
          <c:h val="0.10694156651471198"/>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3">
    <c:autoUpdate val="0"/>
  </c:externalData>
  <c:userShapes r:id="rId4"/>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33333333333E-2"/>
          <c:y val="4.3644144144144144E-2"/>
          <c:w val="0.86257083333333318"/>
          <c:h val="0.8328986486486486"/>
        </c:manualLayout>
      </c:layout>
      <c:lineChart>
        <c:grouping val="standard"/>
        <c:varyColors val="0"/>
        <c:ser>
          <c:idx val="0"/>
          <c:order val="0"/>
          <c:tx>
            <c:strRef>
              <c:f>'BoP_izvoz usluga'!$Z$5</c:f>
              <c:strCache>
                <c:ptCount val="1"/>
                <c:pt idx="0">
                  <c:v>y</c:v>
                </c:pt>
              </c:strCache>
            </c:strRef>
          </c:tx>
          <c:spPr>
            <a:ln w="12700" cap="rnd">
              <a:solidFill>
                <a:srgbClr val="7F3F98"/>
              </a:solidFill>
              <a:prstDash val="sysDash"/>
              <a:round/>
            </a:ln>
            <a:effectLst/>
          </c:spPr>
          <c:marker>
            <c:symbol val="none"/>
          </c:marker>
          <c:cat>
            <c:numRef>
              <c:f>'BoP_izvoz usluga'!$A$90:$A$127</c:f>
              <c:numCache>
                <c:formatCode>yyyy</c:formatCode>
                <c:ptCount val="38"/>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numCache>
            </c:numRef>
          </c:cat>
          <c:val>
            <c:numRef>
              <c:f>'BoP_izvoz usluga'!$Z$90:$Z$127</c:f>
              <c:numCache>
                <c:formatCode>0.0</c:formatCode>
                <c:ptCount val="38"/>
                <c:pt idx="0">
                  <c:v>77.383695264757549</c:v>
                </c:pt>
                <c:pt idx="1">
                  <c:v>70.896077545882804</c:v>
                </c:pt>
                <c:pt idx="2">
                  <c:v>77.695999362002368</c:v>
                </c:pt>
                <c:pt idx="3">
                  <c:v>81.699200132370933</c:v>
                </c:pt>
                <c:pt idx="4">
                  <c:v>87.390176941633229</c:v>
                </c:pt>
                <c:pt idx="5">
                  <c:v>80.947206094907671</c:v>
                </c:pt>
                <c:pt idx="6">
                  <c:v>107.34548864064134</c:v>
                </c:pt>
                <c:pt idx="7">
                  <c:v>98.002165774185926</c:v>
                </c:pt>
                <c:pt idx="8">
                  <c:v>92.140289582042072</c:v>
                </c:pt>
                <c:pt idx="9">
                  <c:v>96.818842627935325</c:v>
                </c:pt>
                <c:pt idx="10">
                  <c:v>91.464282761918795</c:v>
                </c:pt>
                <c:pt idx="11">
                  <c:v>104.85197639660964</c:v>
                </c:pt>
                <c:pt idx="12">
                  <c:v>90.399437997460623</c:v>
                </c:pt>
                <c:pt idx="13">
                  <c:v>81.343378452991544</c:v>
                </c:pt>
                <c:pt idx="14">
                  <c:v>78.740335698089382</c:v>
                </c:pt>
                <c:pt idx="15">
                  <c:v>66.939882169656045</c:v>
                </c:pt>
                <c:pt idx="16">
                  <c:v>62.560821547423672</c:v>
                </c:pt>
                <c:pt idx="17">
                  <c:v>70.14583516373294</c:v>
                </c:pt>
                <c:pt idx="18">
                  <c:v>77.769745138775022</c:v>
                </c:pt>
                <c:pt idx="19">
                  <c:v>70.859987699346178</c:v>
                </c:pt>
                <c:pt idx="20">
                  <c:v>74.77846807865771</c:v>
                </c:pt>
                <c:pt idx="21">
                  <c:v>86.318902563667379</c:v>
                </c:pt>
                <c:pt idx="22">
                  <c:v>84.660093585249697</c:v>
                </c:pt>
                <c:pt idx="23">
                  <c:v>107.9407190481344</c:v>
                </c:pt>
                <c:pt idx="24">
                  <c:v>79.275556578077115</c:v>
                </c:pt>
                <c:pt idx="25">
                  <c:v>76.068527830577153</c:v>
                </c:pt>
                <c:pt idx="26">
                  <c:v>92.117593849629088</c:v>
                </c:pt>
                <c:pt idx="27">
                  <c:v>91.997617898244684</c:v>
                </c:pt>
                <c:pt idx="28">
                  <c:v>90.97648408212693</c:v>
                </c:pt>
                <c:pt idx="29">
                  <c:v>98.710832053809838</c:v>
                </c:pt>
                <c:pt idx="30">
                  <c:v>113.30571428643184</c:v>
                </c:pt>
                <c:pt idx="31">
                  <c:v>107.92092652107451</c:v>
                </c:pt>
                <c:pt idx="32">
                  <c:v>103.07871429991656</c:v>
                </c:pt>
                <c:pt idx="33">
                  <c:v>99.80511273553644</c:v>
                </c:pt>
                <c:pt idx="34">
                  <c:v>111.2197046069434</c:v>
                </c:pt>
                <c:pt idx="35">
                  <c:v>135.5232152576323</c:v>
                </c:pt>
                <c:pt idx="36">
                  <c:v>104.12717391423911</c:v>
                </c:pt>
                <c:pt idx="37">
                  <c:v>101.82641767961198</c:v>
                </c:pt>
              </c:numCache>
            </c:numRef>
          </c:val>
          <c:smooth val="0"/>
          <c:extLst>
            <c:ext xmlns:c16="http://schemas.microsoft.com/office/drawing/2014/chart" uri="{C3380CC4-5D6E-409C-BE32-E72D297353CC}">
              <c16:uniqueId val="{00000000-575F-4131-A131-C2A29F374B1D}"/>
            </c:ext>
          </c:extLst>
        </c:ser>
        <c:ser>
          <c:idx val="1"/>
          <c:order val="1"/>
          <c:tx>
            <c:strRef>
              <c:f>'BoP_izvoz usluga'!$AA$5</c:f>
              <c:strCache>
                <c:ptCount val="1"/>
                <c:pt idx="0">
                  <c:v>sa</c:v>
                </c:pt>
              </c:strCache>
            </c:strRef>
          </c:tx>
          <c:spPr>
            <a:ln w="22225" cap="rnd">
              <a:solidFill>
                <a:srgbClr val="25AAE1"/>
              </a:solidFill>
              <a:round/>
            </a:ln>
            <a:effectLst/>
          </c:spPr>
          <c:marker>
            <c:symbol val="none"/>
          </c:marker>
          <c:cat>
            <c:numRef>
              <c:f>'BoP_izvoz usluga'!$A$90:$A$127</c:f>
              <c:numCache>
                <c:formatCode>yyyy</c:formatCode>
                <c:ptCount val="38"/>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numCache>
            </c:numRef>
          </c:cat>
          <c:val>
            <c:numRef>
              <c:f>'BoP_izvoz usluga'!$AA$90:$AA$127</c:f>
              <c:numCache>
                <c:formatCode>0.0</c:formatCode>
                <c:ptCount val="38"/>
                <c:pt idx="0">
                  <c:v>82.665833626027606</c:v>
                </c:pt>
                <c:pt idx="1">
                  <c:v>84.363062463913266</c:v>
                </c:pt>
                <c:pt idx="2">
                  <c:v>86.010177831311111</c:v>
                </c:pt>
                <c:pt idx="3">
                  <c:v>82.794903233116543</c:v>
                </c:pt>
                <c:pt idx="4">
                  <c:v>88.132536797784354</c:v>
                </c:pt>
                <c:pt idx="5">
                  <c:v>87.967170360813597</c:v>
                </c:pt>
                <c:pt idx="6">
                  <c:v>89.752635021889162</c:v>
                </c:pt>
                <c:pt idx="7">
                  <c:v>91.801415436855464</c:v>
                </c:pt>
                <c:pt idx="8">
                  <c:v>93.440309064607476</c:v>
                </c:pt>
                <c:pt idx="9">
                  <c:v>91.8984850228223</c:v>
                </c:pt>
                <c:pt idx="10">
                  <c:v>95.405760684323482</c:v>
                </c:pt>
                <c:pt idx="11">
                  <c:v>89.375418096898755</c:v>
                </c:pt>
                <c:pt idx="12">
                  <c:v>96.295483724615096</c:v>
                </c:pt>
                <c:pt idx="13">
                  <c:v>97.687128556364414</c:v>
                </c:pt>
                <c:pt idx="14">
                  <c:v>82.501397586848412</c:v>
                </c:pt>
                <c:pt idx="15">
                  <c:v>68.754242120364623</c:v>
                </c:pt>
                <c:pt idx="16">
                  <c:v>67.801889676190811</c:v>
                </c:pt>
                <c:pt idx="17">
                  <c:v>69.478979566546442</c:v>
                </c:pt>
                <c:pt idx="18">
                  <c:v>66.131432255250303</c:v>
                </c:pt>
                <c:pt idx="19">
                  <c:v>68.906172342292777</c:v>
                </c:pt>
                <c:pt idx="20">
                  <c:v>73.208367400628987</c:v>
                </c:pt>
                <c:pt idx="21">
                  <c:v>86.651707827171037</c:v>
                </c:pt>
                <c:pt idx="22">
                  <c:v>87.318739596301</c:v>
                </c:pt>
                <c:pt idx="23">
                  <c:v>89.151172179270048</c:v>
                </c:pt>
                <c:pt idx="24">
                  <c:v>90.300964410458249</c:v>
                </c:pt>
                <c:pt idx="25">
                  <c:v>89.691945909753741</c:v>
                </c:pt>
                <c:pt idx="26">
                  <c:v>93.06856358508692</c:v>
                </c:pt>
                <c:pt idx="27">
                  <c:v>94.516935106425308</c:v>
                </c:pt>
                <c:pt idx="28">
                  <c:v>97.617106569164832</c:v>
                </c:pt>
                <c:pt idx="29">
                  <c:v>98.443414762696136</c:v>
                </c:pt>
                <c:pt idx="30">
                  <c:v>100.51219089868351</c:v>
                </c:pt>
                <c:pt idx="31">
                  <c:v>100.72568759172033</c:v>
                </c:pt>
                <c:pt idx="32">
                  <c:v>101.67922094684749</c:v>
                </c:pt>
                <c:pt idx="33">
                  <c:v>104.55309257248696</c:v>
                </c:pt>
                <c:pt idx="34">
                  <c:v>109.59929854117583</c:v>
                </c:pt>
                <c:pt idx="35">
                  <c:v>112.70417875662564</c:v>
                </c:pt>
                <c:pt idx="36">
                  <c:v>117.03610312074078</c:v>
                </c:pt>
                <c:pt idx="37">
                  <c:v>119.51440019687135</c:v>
                </c:pt>
              </c:numCache>
            </c:numRef>
          </c:val>
          <c:smooth val="0"/>
          <c:extLst>
            <c:ext xmlns:c16="http://schemas.microsoft.com/office/drawing/2014/chart" uri="{C3380CC4-5D6E-409C-BE32-E72D297353CC}">
              <c16:uniqueId val="{00000001-575F-4131-A131-C2A29F374B1D}"/>
            </c:ext>
          </c:extLst>
        </c:ser>
        <c:ser>
          <c:idx val="2"/>
          <c:order val="2"/>
          <c:tx>
            <c:strRef>
              <c:f>'BoP_izvoz usluga'!$AB$5</c:f>
              <c:strCache>
                <c:ptCount val="1"/>
                <c:pt idx="0">
                  <c:v>t</c:v>
                </c:pt>
              </c:strCache>
            </c:strRef>
          </c:tx>
          <c:spPr>
            <a:ln w="25400" cap="rnd">
              <a:solidFill>
                <a:srgbClr val="FF0000"/>
              </a:solidFill>
              <a:round/>
            </a:ln>
            <a:effectLst/>
          </c:spPr>
          <c:marker>
            <c:symbol val="none"/>
          </c:marker>
          <c:cat>
            <c:numRef>
              <c:f>'BoP_izvoz usluga'!$A$90:$A$127</c:f>
              <c:numCache>
                <c:formatCode>yyyy</c:formatCode>
                <c:ptCount val="38"/>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numCache>
            </c:numRef>
          </c:cat>
          <c:val>
            <c:numRef>
              <c:f>'BoP_izvoz usluga'!$AB$90:$AB$127</c:f>
              <c:numCache>
                <c:formatCode>0.0</c:formatCode>
                <c:ptCount val="38"/>
                <c:pt idx="0">
                  <c:v>82.999818093643739</c:v>
                </c:pt>
                <c:pt idx="1">
                  <c:v>84.095120002698891</c:v>
                </c:pt>
                <c:pt idx="2">
                  <c:v>85.257106691675276</c:v>
                </c:pt>
                <c:pt idx="3">
                  <c:v>86.469186631007929</c:v>
                </c:pt>
                <c:pt idx="4">
                  <c:v>87.648083348660407</c:v>
                </c:pt>
                <c:pt idx="5">
                  <c:v>88.811773591059875</c:v>
                </c:pt>
                <c:pt idx="6">
                  <c:v>90.02653941080267</c:v>
                </c:pt>
                <c:pt idx="7">
                  <c:v>91.224825456527896</c:v>
                </c:pt>
                <c:pt idx="8">
                  <c:v>92.378668947148554</c:v>
                </c:pt>
                <c:pt idx="9">
                  <c:v>93.417352860644456</c:v>
                </c:pt>
                <c:pt idx="10">
                  <c:v>94.392447608843455</c:v>
                </c:pt>
                <c:pt idx="11">
                  <c:v>95.368223769547541</c:v>
                </c:pt>
                <c:pt idx="12">
                  <c:v>96.410770176874237</c:v>
                </c:pt>
                <c:pt idx="13">
                  <c:v>97.596354124830356</c:v>
                </c:pt>
                <c:pt idx="14">
                  <c:v>82.914851136041747</c:v>
                </c:pt>
                <c:pt idx="15">
                  <c:v>67.512510065676111</c:v>
                </c:pt>
                <c:pt idx="16">
                  <c:v>68.204251220147654</c:v>
                </c:pt>
                <c:pt idx="17">
                  <c:v>68.913310017958509</c:v>
                </c:pt>
                <c:pt idx="18">
                  <c:v>69.654099910481122</c:v>
                </c:pt>
                <c:pt idx="19">
                  <c:v>70.523001201111654</c:v>
                </c:pt>
                <c:pt idx="20">
                  <c:v>71.48018779791505</c:v>
                </c:pt>
                <c:pt idx="21">
                  <c:v>86.428689636600282</c:v>
                </c:pt>
                <c:pt idx="22">
                  <c:v>87.563312844687161</c:v>
                </c:pt>
                <c:pt idx="23">
                  <c:v>88.670978782010408</c:v>
                </c:pt>
                <c:pt idx="24">
                  <c:v>89.862553035228558</c:v>
                </c:pt>
                <c:pt idx="25">
                  <c:v>91.255527288251727</c:v>
                </c:pt>
                <c:pt idx="26">
                  <c:v>92.941542855460369</c:v>
                </c:pt>
                <c:pt idx="27">
                  <c:v>94.813126033864975</c:v>
                </c:pt>
                <c:pt idx="28">
                  <c:v>96.580688206487295</c:v>
                </c:pt>
                <c:pt idx="29">
                  <c:v>98.149523904146406</c:v>
                </c:pt>
                <c:pt idx="30">
                  <c:v>99.576667062084681</c:v>
                </c:pt>
                <c:pt idx="31">
                  <c:v>101.1058521956579</c:v>
                </c:pt>
                <c:pt idx="32">
                  <c:v>103.1411766081564</c:v>
                </c:pt>
                <c:pt idx="33">
                  <c:v>105.90315940050021</c:v>
                </c:pt>
                <c:pt idx="34">
                  <c:v>109.19086154040686</c:v>
                </c:pt>
                <c:pt idx="35">
                  <c:v>112.58360237524762</c:v>
                </c:pt>
                <c:pt idx="36">
                  <c:v>115.61404931194257</c:v>
                </c:pt>
                <c:pt idx="37">
                  <c:v>117.97767806332915</c:v>
                </c:pt>
              </c:numCache>
            </c:numRef>
          </c:val>
          <c:smooth val="0"/>
          <c:extLst>
            <c:ext xmlns:c16="http://schemas.microsoft.com/office/drawing/2014/chart" uri="{C3380CC4-5D6E-409C-BE32-E72D297353CC}">
              <c16:uniqueId val="{00000002-575F-4131-A131-C2A29F374B1D}"/>
            </c:ext>
          </c:extLst>
        </c:ser>
        <c:ser>
          <c:idx val="3"/>
          <c:order val="3"/>
          <c:tx>
            <c:strRef>
              <c:f>'BoP_izvoz usluga'!$AC$5</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7.9375000000000001E-2"/>
                  <c:y val="5.7207207207207206E-2"/>
                </c:manualLayout>
              </c:layou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75F-4131-A131-C2A29F374B1D}"/>
                </c:ext>
              </c:extLst>
            </c:dLbl>
            <c:dLbl>
              <c:idx val="12"/>
              <c:layout>
                <c:manualLayout>
                  <c:x val="8.3784722222222219E-2"/>
                  <c:y val="5.7207207207207206E-2"/>
                </c:manualLayout>
              </c:layou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75F-4131-A131-C2A29F374B1D}"/>
                </c:ext>
              </c:extLst>
            </c:dLbl>
            <c:dLbl>
              <c:idx val="24"/>
              <c:layout>
                <c:manualLayout>
                  <c:x val="7.9375000000000001E-2"/>
                  <c:y val="5.7207207207207206E-2"/>
                </c:manualLayout>
              </c:layou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75F-4131-A131-C2A29F374B1D}"/>
                </c:ext>
              </c:extLst>
            </c:dLbl>
            <c:dLbl>
              <c:idx val="36"/>
              <c:layout>
                <c:manualLayout>
                  <c:x val="-8.809420457297228E-3"/>
                  <c:y val="5.7207207207207206E-2"/>
                </c:manualLayout>
              </c:layou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75F-4131-A131-C2A29F374B1D}"/>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'BoP_izvoz usluga'!$A$90:$A$127</c:f>
              <c:numCache>
                <c:formatCode>yyyy</c:formatCode>
                <c:ptCount val="38"/>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numCache>
            </c:numRef>
          </c:cat>
          <c:val>
            <c:numRef>
              <c:f>'BoP_izvoz usluga'!$AC$90:$AC$127</c:f>
              <c:numCache>
                <c:formatCode>General</c:formatCode>
                <c:ptCount val="38"/>
                <c:pt idx="0">
                  <c:v>40</c:v>
                </c:pt>
                <c:pt idx="12">
                  <c:v>40</c:v>
                </c:pt>
                <c:pt idx="24">
                  <c:v>40</c:v>
                </c:pt>
                <c:pt idx="36">
                  <c:v>40</c:v>
                </c:pt>
              </c:numCache>
            </c:numRef>
          </c:val>
          <c:smooth val="0"/>
          <c:extLst>
            <c:ext xmlns:c16="http://schemas.microsoft.com/office/drawing/2014/chart" uri="{C3380CC4-5D6E-409C-BE32-E72D297353CC}">
              <c16:uniqueId val="{00000007-575F-4131-A131-C2A29F374B1D}"/>
            </c:ext>
          </c:extLst>
        </c:ser>
        <c:ser>
          <c:idx val="4"/>
          <c:order val="4"/>
          <c:tx>
            <c:strRef>
              <c:f>'BoP_izvoz usluga'!$AD$5</c:f>
              <c:strCache>
                <c:ptCount val="1"/>
                <c:pt idx="0">
                  <c:v>Series5</c:v>
                </c:pt>
              </c:strCache>
            </c:strRef>
          </c:tx>
          <c:spPr>
            <a:ln w="28575" cap="rnd">
              <a:noFill/>
              <a:round/>
            </a:ln>
            <a:effectLst/>
          </c:spPr>
          <c:marker>
            <c:symbol val="none"/>
          </c:marker>
          <c:dLbls>
            <c:dLbl>
              <c:idx val="0"/>
              <c:tx>
                <c:rich>
                  <a:bodyPr/>
                  <a:lstStyle/>
                  <a:p>
                    <a:fld id="{B3AE66B9-49F6-4B17-ADF7-782204134F22}"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575F-4131-A131-C2A29F374B1D}"/>
                </c:ext>
              </c:extLst>
            </c:dLbl>
            <c:dLbl>
              <c:idx val="1"/>
              <c:tx>
                <c:rich>
                  <a:bodyPr/>
                  <a:lstStyle/>
                  <a:p>
                    <a:fld id="{FAA678EB-7605-4848-A2DF-83E04F59586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575F-4131-A131-C2A29F374B1D}"/>
                </c:ext>
              </c:extLst>
            </c:dLbl>
            <c:dLbl>
              <c:idx val="2"/>
              <c:tx>
                <c:rich>
                  <a:bodyPr/>
                  <a:lstStyle/>
                  <a:p>
                    <a:fld id="{A6F06AC9-2BB4-4D10-86F8-9912832516B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575F-4131-A131-C2A29F374B1D}"/>
                </c:ext>
              </c:extLst>
            </c:dLbl>
            <c:dLbl>
              <c:idx val="3"/>
              <c:tx>
                <c:rich>
                  <a:bodyPr/>
                  <a:lstStyle/>
                  <a:p>
                    <a:fld id="{04147176-F85E-4DC6-8875-CDC76C93D44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575F-4131-A131-C2A29F374B1D}"/>
                </c:ext>
              </c:extLst>
            </c:dLbl>
            <c:dLbl>
              <c:idx val="4"/>
              <c:tx>
                <c:rich>
                  <a:bodyPr/>
                  <a:lstStyle/>
                  <a:p>
                    <a:fld id="{4845732A-A97D-4F6B-9CCF-3E085A1BC16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575F-4131-A131-C2A29F374B1D}"/>
                </c:ext>
              </c:extLst>
            </c:dLbl>
            <c:dLbl>
              <c:idx val="5"/>
              <c:tx>
                <c:rich>
                  <a:bodyPr/>
                  <a:lstStyle/>
                  <a:p>
                    <a:fld id="{CF43FEAB-6AE7-4B95-AA2C-5B019040288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575F-4131-A131-C2A29F374B1D}"/>
                </c:ext>
              </c:extLst>
            </c:dLbl>
            <c:dLbl>
              <c:idx val="6"/>
              <c:tx>
                <c:rich>
                  <a:bodyPr/>
                  <a:lstStyle/>
                  <a:p>
                    <a:fld id="{BBB8AC80-8B0D-4408-94FB-C314341BABA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575F-4131-A131-C2A29F374B1D}"/>
                </c:ext>
              </c:extLst>
            </c:dLbl>
            <c:dLbl>
              <c:idx val="7"/>
              <c:tx>
                <c:rich>
                  <a:bodyPr/>
                  <a:lstStyle/>
                  <a:p>
                    <a:fld id="{ABE99EE1-795C-4010-9F3F-90BBBC3643A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575F-4131-A131-C2A29F374B1D}"/>
                </c:ext>
              </c:extLst>
            </c:dLbl>
            <c:dLbl>
              <c:idx val="8"/>
              <c:tx>
                <c:rich>
                  <a:bodyPr/>
                  <a:lstStyle/>
                  <a:p>
                    <a:fld id="{2DF255C5-D09C-4A17-A7C4-4389730732A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575F-4131-A131-C2A29F374B1D}"/>
                </c:ext>
              </c:extLst>
            </c:dLbl>
            <c:dLbl>
              <c:idx val="9"/>
              <c:tx>
                <c:rich>
                  <a:bodyPr/>
                  <a:lstStyle/>
                  <a:p>
                    <a:fld id="{B2B956E4-CF04-4CBD-BB1C-856D4F04A8D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575F-4131-A131-C2A29F374B1D}"/>
                </c:ext>
              </c:extLst>
            </c:dLbl>
            <c:dLbl>
              <c:idx val="10"/>
              <c:tx>
                <c:rich>
                  <a:bodyPr/>
                  <a:lstStyle/>
                  <a:p>
                    <a:fld id="{FD6BEEA5-935A-4C11-B1A5-471CAF228BC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575F-4131-A131-C2A29F374B1D}"/>
                </c:ext>
              </c:extLst>
            </c:dLbl>
            <c:dLbl>
              <c:idx val="11"/>
              <c:tx>
                <c:rich>
                  <a:bodyPr/>
                  <a:lstStyle/>
                  <a:p>
                    <a:fld id="{3D0696D1-9AF7-4AA8-9E1B-C897B5981EB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575F-4131-A131-C2A29F374B1D}"/>
                </c:ext>
              </c:extLst>
            </c:dLbl>
            <c:dLbl>
              <c:idx val="12"/>
              <c:tx>
                <c:rich>
                  <a:bodyPr/>
                  <a:lstStyle/>
                  <a:p>
                    <a:fld id="{E17ABDB0-45BB-421A-A9AD-902636A397A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575F-4131-A131-C2A29F374B1D}"/>
                </c:ext>
              </c:extLst>
            </c:dLbl>
            <c:dLbl>
              <c:idx val="13"/>
              <c:tx>
                <c:rich>
                  <a:bodyPr/>
                  <a:lstStyle/>
                  <a:p>
                    <a:fld id="{13329A60-0C5C-4BC8-AB4E-0631A245C28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575F-4131-A131-C2A29F374B1D}"/>
                </c:ext>
              </c:extLst>
            </c:dLbl>
            <c:dLbl>
              <c:idx val="14"/>
              <c:tx>
                <c:rich>
                  <a:bodyPr/>
                  <a:lstStyle/>
                  <a:p>
                    <a:fld id="{775E345E-1B0A-4AA4-8272-FE5FFA9B2D9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575F-4131-A131-C2A29F374B1D}"/>
                </c:ext>
              </c:extLst>
            </c:dLbl>
            <c:dLbl>
              <c:idx val="15"/>
              <c:tx>
                <c:rich>
                  <a:bodyPr/>
                  <a:lstStyle/>
                  <a:p>
                    <a:fld id="{87FD6C0F-AAE2-41D1-AA13-A48532501B1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575F-4131-A131-C2A29F374B1D}"/>
                </c:ext>
              </c:extLst>
            </c:dLbl>
            <c:dLbl>
              <c:idx val="16"/>
              <c:tx>
                <c:rich>
                  <a:bodyPr/>
                  <a:lstStyle/>
                  <a:p>
                    <a:fld id="{7424C439-9284-4184-83BE-6DF15FC1CD9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575F-4131-A131-C2A29F374B1D}"/>
                </c:ext>
              </c:extLst>
            </c:dLbl>
            <c:dLbl>
              <c:idx val="17"/>
              <c:tx>
                <c:rich>
                  <a:bodyPr/>
                  <a:lstStyle/>
                  <a:p>
                    <a:fld id="{F65114F1-2C18-4BA4-8797-67152825BF8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575F-4131-A131-C2A29F374B1D}"/>
                </c:ext>
              </c:extLst>
            </c:dLbl>
            <c:dLbl>
              <c:idx val="18"/>
              <c:tx>
                <c:rich>
                  <a:bodyPr/>
                  <a:lstStyle/>
                  <a:p>
                    <a:fld id="{4A72B018-B5A6-4285-9298-161D1207786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575F-4131-A131-C2A29F374B1D}"/>
                </c:ext>
              </c:extLst>
            </c:dLbl>
            <c:dLbl>
              <c:idx val="19"/>
              <c:tx>
                <c:rich>
                  <a:bodyPr/>
                  <a:lstStyle/>
                  <a:p>
                    <a:fld id="{DAF2ACC8-E753-4F05-BE60-81A5E327791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575F-4131-A131-C2A29F374B1D}"/>
                </c:ext>
              </c:extLst>
            </c:dLbl>
            <c:dLbl>
              <c:idx val="20"/>
              <c:tx>
                <c:rich>
                  <a:bodyPr/>
                  <a:lstStyle/>
                  <a:p>
                    <a:fld id="{8E1A1F8F-F1CD-45E2-8306-494651D9104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575F-4131-A131-C2A29F374B1D}"/>
                </c:ext>
              </c:extLst>
            </c:dLbl>
            <c:dLbl>
              <c:idx val="21"/>
              <c:tx>
                <c:rich>
                  <a:bodyPr/>
                  <a:lstStyle/>
                  <a:p>
                    <a:fld id="{BF575D9A-2CE9-4386-A17A-9FC56F6C4E5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575F-4131-A131-C2A29F374B1D}"/>
                </c:ext>
              </c:extLst>
            </c:dLbl>
            <c:dLbl>
              <c:idx val="22"/>
              <c:tx>
                <c:rich>
                  <a:bodyPr/>
                  <a:lstStyle/>
                  <a:p>
                    <a:fld id="{6EB2FDBA-E578-45CC-A1E7-0466B81D92C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575F-4131-A131-C2A29F374B1D}"/>
                </c:ext>
              </c:extLst>
            </c:dLbl>
            <c:dLbl>
              <c:idx val="23"/>
              <c:tx>
                <c:rich>
                  <a:bodyPr/>
                  <a:lstStyle/>
                  <a:p>
                    <a:fld id="{17453106-05EA-4F8E-8EE9-B8A1D4DC81A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575F-4131-A131-C2A29F374B1D}"/>
                </c:ext>
              </c:extLst>
            </c:dLbl>
            <c:dLbl>
              <c:idx val="24"/>
              <c:tx>
                <c:rich>
                  <a:bodyPr/>
                  <a:lstStyle/>
                  <a:p>
                    <a:fld id="{369DB914-C1F4-4D7A-A727-255C64B981D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575F-4131-A131-C2A29F374B1D}"/>
                </c:ext>
              </c:extLst>
            </c:dLbl>
            <c:dLbl>
              <c:idx val="25"/>
              <c:tx>
                <c:rich>
                  <a:bodyPr/>
                  <a:lstStyle/>
                  <a:p>
                    <a:fld id="{71376159-32DF-454E-9B43-CE7BE79A8BF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575F-4131-A131-C2A29F374B1D}"/>
                </c:ext>
              </c:extLst>
            </c:dLbl>
            <c:dLbl>
              <c:idx val="26"/>
              <c:tx>
                <c:rich>
                  <a:bodyPr/>
                  <a:lstStyle/>
                  <a:p>
                    <a:fld id="{178C3D79-2256-4931-8177-BF1A6349F96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575F-4131-A131-C2A29F374B1D}"/>
                </c:ext>
              </c:extLst>
            </c:dLbl>
            <c:dLbl>
              <c:idx val="27"/>
              <c:tx>
                <c:rich>
                  <a:bodyPr/>
                  <a:lstStyle/>
                  <a:p>
                    <a:fld id="{B54D28B4-B255-48C6-A7C4-9CFF2362664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575F-4131-A131-C2A29F374B1D}"/>
                </c:ext>
              </c:extLst>
            </c:dLbl>
            <c:dLbl>
              <c:idx val="28"/>
              <c:tx>
                <c:rich>
                  <a:bodyPr/>
                  <a:lstStyle/>
                  <a:p>
                    <a:fld id="{2ABEEB3D-B443-42B3-B715-2D5403B1E14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4-575F-4131-A131-C2A29F374B1D}"/>
                </c:ext>
              </c:extLst>
            </c:dLbl>
            <c:dLbl>
              <c:idx val="29"/>
              <c:tx>
                <c:rich>
                  <a:bodyPr/>
                  <a:lstStyle/>
                  <a:p>
                    <a:fld id="{2253D555-5324-4814-B78E-9531B0D62FF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575F-4131-A131-C2A29F374B1D}"/>
                </c:ext>
              </c:extLst>
            </c:dLbl>
            <c:dLbl>
              <c:idx val="30"/>
              <c:tx>
                <c:rich>
                  <a:bodyPr/>
                  <a:lstStyle/>
                  <a:p>
                    <a:fld id="{6C3D76C8-13D4-45C9-BB58-5F90B421B50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575F-4131-A131-C2A29F374B1D}"/>
                </c:ext>
              </c:extLst>
            </c:dLbl>
            <c:dLbl>
              <c:idx val="31"/>
              <c:tx>
                <c:rich>
                  <a:bodyPr/>
                  <a:lstStyle/>
                  <a:p>
                    <a:fld id="{D7E06414-CF09-4D75-93A2-512C3BCCBDB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7-575F-4131-A131-C2A29F374B1D}"/>
                </c:ext>
              </c:extLst>
            </c:dLbl>
            <c:dLbl>
              <c:idx val="32"/>
              <c:tx>
                <c:rich>
                  <a:bodyPr/>
                  <a:lstStyle/>
                  <a:p>
                    <a:fld id="{3DEF3C41-F375-429A-8AFF-B690289032B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575F-4131-A131-C2A29F374B1D}"/>
                </c:ext>
              </c:extLst>
            </c:dLbl>
            <c:dLbl>
              <c:idx val="33"/>
              <c:tx>
                <c:rich>
                  <a:bodyPr/>
                  <a:lstStyle/>
                  <a:p>
                    <a:fld id="{7296C300-7077-4899-9858-7AD05760DF6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575F-4131-A131-C2A29F374B1D}"/>
                </c:ext>
              </c:extLst>
            </c:dLbl>
            <c:dLbl>
              <c:idx val="34"/>
              <c:tx>
                <c:rich>
                  <a:bodyPr/>
                  <a:lstStyle/>
                  <a:p>
                    <a:fld id="{C95D3C6B-54F0-463F-A41C-F9DCFD0CBA4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A-575F-4131-A131-C2A29F374B1D}"/>
                </c:ext>
              </c:extLst>
            </c:dLbl>
            <c:dLbl>
              <c:idx val="35"/>
              <c:tx>
                <c:rich>
                  <a:bodyPr/>
                  <a:lstStyle/>
                  <a:p>
                    <a:fld id="{523DFE4F-1230-41B3-86E3-E72E4704A7C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575F-4131-A131-C2A29F374B1D}"/>
                </c:ext>
              </c:extLst>
            </c:dLbl>
            <c:dLbl>
              <c:idx val="36"/>
              <c:tx>
                <c:rich>
                  <a:bodyPr/>
                  <a:lstStyle/>
                  <a:p>
                    <a:fld id="{E62AAFDE-F4EB-402C-A6E8-D115109FA49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C-575F-4131-A131-C2A29F374B1D}"/>
                </c:ext>
              </c:extLst>
            </c:dLbl>
            <c:dLbl>
              <c:idx val="37"/>
              <c:tx>
                <c:rich>
                  <a:bodyPr/>
                  <a:lstStyle/>
                  <a:p>
                    <a:fld id="{8D918EDB-CB96-4B0B-BBE0-F199A77237E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D-575F-4131-A131-C2A29F374B1D}"/>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'BoP_izvoz usluga'!$A$90:$A$127</c:f>
              <c:numCache>
                <c:formatCode>yyyy</c:formatCode>
                <c:ptCount val="38"/>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numCache>
            </c:numRef>
          </c:cat>
          <c:val>
            <c:numRef>
              <c:f>'BoP_izvoz usluga'!$AD$90:$AD$127</c:f>
              <c:numCache>
                <c:formatCode>General</c:formatCode>
                <c:ptCount val="38"/>
                <c:pt idx="0">
                  <c:v>40</c:v>
                </c:pt>
                <c:pt idx="1">
                  <c:v>40</c:v>
                </c:pt>
                <c:pt idx="2">
                  <c:v>40</c:v>
                </c:pt>
                <c:pt idx="3">
                  <c:v>40</c:v>
                </c:pt>
                <c:pt idx="4">
                  <c:v>40</c:v>
                </c:pt>
                <c:pt idx="5">
                  <c:v>40</c:v>
                </c:pt>
                <c:pt idx="6">
                  <c:v>40</c:v>
                </c:pt>
                <c:pt idx="7">
                  <c:v>40</c:v>
                </c:pt>
                <c:pt idx="8">
                  <c:v>40</c:v>
                </c:pt>
                <c:pt idx="9">
                  <c:v>40</c:v>
                </c:pt>
                <c:pt idx="10">
                  <c:v>40</c:v>
                </c:pt>
                <c:pt idx="11">
                  <c:v>40</c:v>
                </c:pt>
                <c:pt idx="12">
                  <c:v>40</c:v>
                </c:pt>
                <c:pt idx="13">
                  <c:v>40</c:v>
                </c:pt>
                <c:pt idx="14">
                  <c:v>40</c:v>
                </c:pt>
                <c:pt idx="15">
                  <c:v>40</c:v>
                </c:pt>
                <c:pt idx="16">
                  <c:v>40</c:v>
                </c:pt>
                <c:pt idx="17">
                  <c:v>40</c:v>
                </c:pt>
                <c:pt idx="18">
                  <c:v>40</c:v>
                </c:pt>
                <c:pt idx="19">
                  <c:v>40</c:v>
                </c:pt>
                <c:pt idx="20">
                  <c:v>40</c:v>
                </c:pt>
                <c:pt idx="21">
                  <c:v>40</c:v>
                </c:pt>
                <c:pt idx="22">
                  <c:v>40</c:v>
                </c:pt>
                <c:pt idx="23">
                  <c:v>40</c:v>
                </c:pt>
                <c:pt idx="24">
                  <c:v>40</c:v>
                </c:pt>
                <c:pt idx="25">
                  <c:v>40</c:v>
                </c:pt>
                <c:pt idx="26">
                  <c:v>40</c:v>
                </c:pt>
                <c:pt idx="27">
                  <c:v>40</c:v>
                </c:pt>
                <c:pt idx="28">
                  <c:v>40</c:v>
                </c:pt>
                <c:pt idx="29">
                  <c:v>40</c:v>
                </c:pt>
                <c:pt idx="30">
                  <c:v>40</c:v>
                </c:pt>
                <c:pt idx="31">
                  <c:v>40</c:v>
                </c:pt>
                <c:pt idx="32">
                  <c:v>40</c:v>
                </c:pt>
                <c:pt idx="33">
                  <c:v>40</c:v>
                </c:pt>
                <c:pt idx="34">
                  <c:v>40</c:v>
                </c:pt>
                <c:pt idx="35">
                  <c:v>40</c:v>
                </c:pt>
                <c:pt idx="36">
                  <c:v>40</c:v>
                </c:pt>
                <c:pt idx="37">
                  <c:v>40</c:v>
                </c:pt>
              </c:numCache>
            </c:numRef>
          </c:val>
          <c:smooth val="0"/>
          <c:extLst>
            <c:ext xmlns:c15="http://schemas.microsoft.com/office/drawing/2012/chart" uri="{02D57815-91ED-43cb-92C2-25804820EDAC}">
              <c15:datalabelsRange>
                <c15:f>'BoP_izvoz usluga'!$C$90:$C$127</c15:f>
                <c15:dlblRangeCache>
                  <c:ptCount val="3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15:dlblRangeCache>
              </c15:datalabelsRange>
            </c:ext>
            <c:ext xmlns:c16="http://schemas.microsoft.com/office/drawing/2014/chart" uri="{C3380CC4-5D6E-409C-BE32-E72D297353CC}">
              <c16:uniqueId val="{0000002E-575F-4131-A131-C2A29F374B1D}"/>
            </c:ext>
          </c:extLst>
        </c:ser>
        <c:dLbls>
          <c:showLegendKey val="0"/>
          <c:showVal val="0"/>
          <c:showCatName val="0"/>
          <c:showSerName val="0"/>
          <c:showPercent val="0"/>
          <c:showBubbleSize val="0"/>
        </c:dLbls>
        <c:smooth val="0"/>
        <c:axId val="1828932656"/>
        <c:axId val="1828929936"/>
      </c:lineChart>
      <c:dateAx>
        <c:axId val="1828932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1828929936"/>
        <c:crosses val="autoZero"/>
        <c:auto val="1"/>
        <c:lblOffset val="0"/>
        <c:baseTimeUnit val="months"/>
      </c:dateAx>
      <c:valAx>
        <c:axId val="1828929936"/>
        <c:scaling>
          <c:orientation val="minMax"/>
          <c:max val="140"/>
          <c:min val="4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28932656"/>
        <c:crosses val="autoZero"/>
        <c:crossBetween val="midCat"/>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4.2497000239980799E-2"/>
          <c:w val="0.88461960155100949"/>
          <c:h val="0.84012087087087106"/>
        </c:manualLayout>
      </c:layout>
      <c:lineChart>
        <c:grouping val="standard"/>
        <c:varyColors val="0"/>
        <c:ser>
          <c:idx val="0"/>
          <c:order val="0"/>
          <c:tx>
            <c:strRef>
              <c:f>Usluge!$E$5</c:f>
              <c:strCache>
                <c:ptCount val="1"/>
                <c:pt idx="0">
                  <c:v>y</c:v>
                </c:pt>
              </c:strCache>
            </c:strRef>
          </c:tx>
          <c:spPr>
            <a:ln w="12700" cap="rnd">
              <a:solidFill>
                <a:srgbClr val="7F3F98"/>
              </a:solidFill>
              <a:prstDash val="sysDash"/>
              <a:round/>
            </a:ln>
            <a:effectLst/>
          </c:spPr>
          <c:marker>
            <c:symbol val="none"/>
          </c:marker>
          <c:cat>
            <c:numRef>
              <c:f>Usluge!$A$126:$A$164</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Usluge!$E$126:$E$164</c:f>
              <c:numCache>
                <c:formatCode>0.0</c:formatCode>
                <c:ptCount val="39"/>
                <c:pt idx="0">
                  <c:v>72.719050311000004</c:v>
                </c:pt>
                <c:pt idx="1">
                  <c:v>70.955342001000005</c:v>
                </c:pt>
                <c:pt idx="2">
                  <c:v>82.351611079999998</c:v>
                </c:pt>
                <c:pt idx="3">
                  <c:v>84.929338608999998</c:v>
                </c:pt>
                <c:pt idx="4">
                  <c:v>84.997173544000006</c:v>
                </c:pt>
                <c:pt idx="5">
                  <c:v>87.303561333999994</c:v>
                </c:pt>
                <c:pt idx="6">
                  <c:v>90.423968344000002</c:v>
                </c:pt>
                <c:pt idx="7">
                  <c:v>92.662521197999993</c:v>
                </c:pt>
                <c:pt idx="8">
                  <c:v>88.117580554</c:v>
                </c:pt>
                <c:pt idx="9">
                  <c:v>94.358394572999998</c:v>
                </c:pt>
                <c:pt idx="10">
                  <c:v>91.916336913999999</c:v>
                </c:pt>
                <c:pt idx="11">
                  <c:v>101.006218202</c:v>
                </c:pt>
                <c:pt idx="12">
                  <c:v>81.266252120000004</c:v>
                </c:pt>
                <c:pt idx="13">
                  <c:v>80.520067835000006</c:v>
                </c:pt>
                <c:pt idx="14">
                  <c:v>86.760881854000004</c:v>
                </c:pt>
                <c:pt idx="15">
                  <c:v>70.073487846000006</c:v>
                </c:pt>
                <c:pt idx="16">
                  <c:v>89.406444319000002</c:v>
                </c:pt>
                <c:pt idx="17">
                  <c:v>97.478801583000006</c:v>
                </c:pt>
                <c:pt idx="18">
                  <c:v>95.036743923000003</c:v>
                </c:pt>
                <c:pt idx="19">
                  <c:v>97.071791973000003</c:v>
                </c:pt>
                <c:pt idx="20">
                  <c:v>95.375918597999998</c:v>
                </c:pt>
                <c:pt idx="21">
                  <c:v>100.531373657</c:v>
                </c:pt>
                <c:pt idx="22">
                  <c:v>93.612210288</c:v>
                </c:pt>
                <c:pt idx="23">
                  <c:v>101.95590729200001</c:v>
                </c:pt>
                <c:pt idx="24">
                  <c:v>84.793668738999997</c:v>
                </c:pt>
                <c:pt idx="25">
                  <c:v>83.504804974999999</c:v>
                </c:pt>
                <c:pt idx="26">
                  <c:v>92.391181458000005</c:v>
                </c:pt>
                <c:pt idx="27">
                  <c:v>100.32786885199999</c:v>
                </c:pt>
                <c:pt idx="28">
                  <c:v>100.734878462</c:v>
                </c:pt>
                <c:pt idx="29">
                  <c:v>103.651780667</c:v>
                </c:pt>
                <c:pt idx="30">
                  <c:v>106.229508197</c:v>
                </c:pt>
                <c:pt idx="31">
                  <c:v>105.211984172</c:v>
                </c:pt>
                <c:pt idx="32">
                  <c:v>100.32786885199999</c:v>
                </c:pt>
                <c:pt idx="33">
                  <c:v>105.415488977</c:v>
                </c:pt>
                <c:pt idx="34">
                  <c:v>103.651780667</c:v>
                </c:pt>
                <c:pt idx="35">
                  <c:v>113.759185981</c:v>
                </c:pt>
                <c:pt idx="36">
                  <c:v>88.456755228999995</c:v>
                </c:pt>
                <c:pt idx="37">
                  <c:v>89.949123799000006</c:v>
                </c:pt>
                <c:pt idx="38">
                  <c:v>109.62125494599999</c:v>
                </c:pt>
              </c:numCache>
            </c:numRef>
          </c:val>
          <c:smooth val="0"/>
          <c:extLst>
            <c:ext xmlns:c16="http://schemas.microsoft.com/office/drawing/2014/chart" uri="{C3380CC4-5D6E-409C-BE32-E72D297353CC}">
              <c16:uniqueId val="{00000000-D559-4B13-9B78-97B2B5B646BE}"/>
            </c:ext>
          </c:extLst>
        </c:ser>
        <c:ser>
          <c:idx val="1"/>
          <c:order val="1"/>
          <c:tx>
            <c:strRef>
              <c:f>Usluge!$F$5</c:f>
              <c:strCache>
                <c:ptCount val="1"/>
                <c:pt idx="0">
                  <c:v>sa</c:v>
                </c:pt>
              </c:strCache>
            </c:strRef>
          </c:tx>
          <c:spPr>
            <a:ln w="22225" cap="rnd">
              <a:solidFill>
                <a:srgbClr val="25AAE1"/>
              </a:solidFill>
              <a:round/>
            </a:ln>
            <a:effectLst/>
          </c:spPr>
          <c:marker>
            <c:symbol val="none"/>
          </c:marker>
          <c:cat>
            <c:numRef>
              <c:f>Usluge!$A$126:$A$164</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Usluge!$F$126:$F$164</c:f>
              <c:numCache>
                <c:formatCode>0.0</c:formatCode>
                <c:ptCount val="39"/>
                <c:pt idx="0">
                  <c:v>83.021673999000001</c:v>
                </c:pt>
                <c:pt idx="1">
                  <c:v>83.798532937999994</c:v>
                </c:pt>
                <c:pt idx="2">
                  <c:v>85.834704324</c:v>
                </c:pt>
                <c:pt idx="3">
                  <c:v>83.637517611000007</c:v>
                </c:pt>
                <c:pt idx="4">
                  <c:v>84.333532825999995</c:v>
                </c:pt>
                <c:pt idx="5">
                  <c:v>85.892505200000002</c:v>
                </c:pt>
                <c:pt idx="6">
                  <c:v>86.817636988000004</c:v>
                </c:pt>
                <c:pt idx="7">
                  <c:v>87.000818971000001</c:v>
                </c:pt>
                <c:pt idx="8">
                  <c:v>88.389533868000001</c:v>
                </c:pt>
                <c:pt idx="9">
                  <c:v>89.458941733000003</c:v>
                </c:pt>
                <c:pt idx="10">
                  <c:v>90.774083876999995</c:v>
                </c:pt>
                <c:pt idx="11">
                  <c:v>92.233865577000003</c:v>
                </c:pt>
                <c:pt idx="12">
                  <c:v>92.309991073000006</c:v>
                </c:pt>
                <c:pt idx="13">
                  <c:v>92.436203559999996</c:v>
                </c:pt>
                <c:pt idx="14">
                  <c:v>90.912834763999996</c:v>
                </c:pt>
                <c:pt idx="15">
                  <c:v>69.012625119000006</c:v>
                </c:pt>
                <c:pt idx="16">
                  <c:v>89.256239621000006</c:v>
                </c:pt>
                <c:pt idx="17">
                  <c:v>94.927778047000004</c:v>
                </c:pt>
                <c:pt idx="18">
                  <c:v>91.239398144000006</c:v>
                </c:pt>
                <c:pt idx="19">
                  <c:v>92.449266578000007</c:v>
                </c:pt>
                <c:pt idx="20">
                  <c:v>94.771268051999996</c:v>
                </c:pt>
                <c:pt idx="21">
                  <c:v>94.791300262999997</c:v>
                </c:pt>
                <c:pt idx="22">
                  <c:v>94.238808867000003</c:v>
                </c:pt>
                <c:pt idx="23">
                  <c:v>92.326926383</c:v>
                </c:pt>
                <c:pt idx="24">
                  <c:v>96.857285700999995</c:v>
                </c:pt>
                <c:pt idx="25">
                  <c:v>98.201749880999998</c:v>
                </c:pt>
                <c:pt idx="26">
                  <c:v>95.646857873000002</c:v>
                </c:pt>
                <c:pt idx="27">
                  <c:v>98.801132729000003</c:v>
                </c:pt>
                <c:pt idx="28">
                  <c:v>100.70981403899999</c:v>
                </c:pt>
                <c:pt idx="29">
                  <c:v>100.874203468</c:v>
                </c:pt>
                <c:pt idx="30">
                  <c:v>101.254947753</c:v>
                </c:pt>
                <c:pt idx="31">
                  <c:v>101.00727276800001</c:v>
                </c:pt>
                <c:pt idx="32">
                  <c:v>99.702566004000005</c:v>
                </c:pt>
                <c:pt idx="33">
                  <c:v>100.80057764999999</c:v>
                </c:pt>
                <c:pt idx="34">
                  <c:v>103.0800904</c:v>
                </c:pt>
                <c:pt idx="35">
                  <c:v>103.155064497</c:v>
                </c:pt>
                <c:pt idx="36">
                  <c:v>101.740496612</c:v>
                </c:pt>
                <c:pt idx="37">
                  <c:v>105.725176604</c:v>
                </c:pt>
                <c:pt idx="38">
                  <c:v>113.27365735799999</c:v>
                </c:pt>
              </c:numCache>
            </c:numRef>
          </c:val>
          <c:smooth val="0"/>
          <c:extLst>
            <c:ext xmlns:c16="http://schemas.microsoft.com/office/drawing/2014/chart" uri="{C3380CC4-5D6E-409C-BE32-E72D297353CC}">
              <c16:uniqueId val="{00000001-D559-4B13-9B78-97B2B5B646BE}"/>
            </c:ext>
          </c:extLst>
        </c:ser>
        <c:ser>
          <c:idx val="2"/>
          <c:order val="2"/>
          <c:tx>
            <c:strRef>
              <c:f>Usluge!$G$5</c:f>
              <c:strCache>
                <c:ptCount val="1"/>
                <c:pt idx="0">
                  <c:v>t</c:v>
                </c:pt>
              </c:strCache>
            </c:strRef>
          </c:tx>
          <c:spPr>
            <a:ln w="25400" cap="rnd">
              <a:solidFill>
                <a:srgbClr val="FF0000"/>
              </a:solidFill>
              <a:round/>
            </a:ln>
            <a:effectLst/>
          </c:spPr>
          <c:marker>
            <c:symbol val="none"/>
          </c:marker>
          <c:cat>
            <c:numRef>
              <c:f>Usluge!$A$126:$A$164</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Usluge!$G$126:$G$164</c:f>
              <c:numCache>
                <c:formatCode>0.0</c:formatCode>
                <c:ptCount val="39"/>
                <c:pt idx="0">
                  <c:v>82.572707957999995</c:v>
                </c:pt>
                <c:pt idx="1">
                  <c:v>83.285148304000003</c:v>
                </c:pt>
                <c:pt idx="2">
                  <c:v>83.963291103000003</c:v>
                </c:pt>
                <c:pt idx="3">
                  <c:v>84.540742932000001</c:v>
                </c:pt>
                <c:pt idx="4">
                  <c:v>85.060670611999996</c:v>
                </c:pt>
                <c:pt idx="5">
                  <c:v>85.636950717999994</c:v>
                </c:pt>
                <c:pt idx="6">
                  <c:v>86.389284415999995</c:v>
                </c:pt>
                <c:pt idx="7">
                  <c:v>87.387699940999994</c:v>
                </c:pt>
                <c:pt idx="8">
                  <c:v>88.560322174999996</c:v>
                </c:pt>
                <c:pt idx="9">
                  <c:v>89.754600494000002</c:v>
                </c:pt>
                <c:pt idx="10">
                  <c:v>90.800355565999993</c:v>
                </c:pt>
                <c:pt idx="11">
                  <c:v>91.558147883000004</c:v>
                </c:pt>
                <c:pt idx="12">
                  <c:v>91.919745477000006</c:v>
                </c:pt>
                <c:pt idx="13">
                  <c:v>91.867168618999997</c:v>
                </c:pt>
                <c:pt idx="14">
                  <c:v>91.513979575999997</c:v>
                </c:pt>
                <c:pt idx="15">
                  <c:v>91.134094876999995</c:v>
                </c:pt>
                <c:pt idx="16">
                  <c:v>91.014636445999997</c:v>
                </c:pt>
                <c:pt idx="17">
                  <c:v>91.296200304999999</c:v>
                </c:pt>
                <c:pt idx="18">
                  <c:v>91.914015766000006</c:v>
                </c:pt>
                <c:pt idx="19">
                  <c:v>92.695233939000005</c:v>
                </c:pt>
                <c:pt idx="20">
                  <c:v>93.538881238000002</c:v>
                </c:pt>
                <c:pt idx="21">
                  <c:v>94.351777767000002</c:v>
                </c:pt>
                <c:pt idx="22">
                  <c:v>95.090556242999995</c:v>
                </c:pt>
                <c:pt idx="23">
                  <c:v>95.779680311000007</c:v>
                </c:pt>
                <c:pt idx="24">
                  <c:v>96.508878506000002</c:v>
                </c:pt>
                <c:pt idx="25">
                  <c:v>97.338581382000001</c:v>
                </c:pt>
                <c:pt idx="26">
                  <c:v>98.306665131000003</c:v>
                </c:pt>
                <c:pt idx="27">
                  <c:v>99.263387425999994</c:v>
                </c:pt>
                <c:pt idx="28">
                  <c:v>99.984863320000002</c:v>
                </c:pt>
                <c:pt idx="29">
                  <c:v>100.432774829</c:v>
                </c:pt>
                <c:pt idx="30">
                  <c:v>100.65895195100001</c:v>
                </c:pt>
                <c:pt idx="31">
                  <c:v>100.794730513</c:v>
                </c:pt>
                <c:pt idx="32">
                  <c:v>100.973586338</c:v>
                </c:pt>
                <c:pt idx="33">
                  <c:v>101.35492477699999</c:v>
                </c:pt>
                <c:pt idx="34">
                  <c:v>102.152042233</c:v>
                </c:pt>
                <c:pt idx="35">
                  <c:v>103.430350043</c:v>
                </c:pt>
                <c:pt idx="36">
                  <c:v>105.10288228100001</c:v>
                </c:pt>
                <c:pt idx="37">
                  <c:v>107.004375212</c:v>
                </c:pt>
                <c:pt idx="38">
                  <c:v>108.933339</c:v>
                </c:pt>
              </c:numCache>
            </c:numRef>
          </c:val>
          <c:smooth val="0"/>
          <c:extLst>
            <c:ext xmlns:c16="http://schemas.microsoft.com/office/drawing/2014/chart" uri="{C3380CC4-5D6E-409C-BE32-E72D297353CC}">
              <c16:uniqueId val="{00000002-D559-4B13-9B78-97B2B5B646BE}"/>
            </c:ext>
          </c:extLst>
        </c:ser>
        <c:ser>
          <c:idx val="3"/>
          <c:order val="3"/>
          <c:tx>
            <c:strRef>
              <c:f>Usluge!$H$5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8.0856386109476167E-2"/>
                  <c:y val="5.828903903903903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559-4B13-9B78-97B2B5B646BE}"/>
                </c:ext>
              </c:extLst>
            </c:dLbl>
            <c:dLbl>
              <c:idx val="12"/>
              <c:layout>
                <c:manualLayout>
                  <c:x val="8.0766502493142475E-2"/>
                  <c:y val="5.828903903903903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559-4B13-9B78-97B2B5B646BE}"/>
                </c:ext>
              </c:extLst>
            </c:dLbl>
            <c:dLbl>
              <c:idx val="24"/>
              <c:layout>
                <c:manualLayout>
                  <c:x val="7.9903411551745199E-2"/>
                  <c:y val="5.828903903903903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559-4B13-9B78-97B2B5B646BE}"/>
                </c:ext>
              </c:extLst>
            </c:dLbl>
            <c:dLbl>
              <c:idx val="36"/>
              <c:layout>
                <c:manualLayout>
                  <c:x val="-1.9295479027618909E-4"/>
                  <c:y val="5.828903903903903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559-4B13-9B78-97B2B5B646BE}"/>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Usluge!$A$126:$A$164</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Usluge!$H$126:$H$164</c:f>
              <c:numCache>
                <c:formatCode>General</c:formatCode>
                <c:ptCount val="39"/>
                <c:pt idx="0">
                  <c:v>60</c:v>
                </c:pt>
                <c:pt idx="12">
                  <c:v>60</c:v>
                </c:pt>
                <c:pt idx="24">
                  <c:v>60</c:v>
                </c:pt>
                <c:pt idx="36">
                  <c:v>60</c:v>
                </c:pt>
              </c:numCache>
            </c:numRef>
          </c:val>
          <c:smooth val="0"/>
          <c:extLst>
            <c:ext xmlns:c16="http://schemas.microsoft.com/office/drawing/2014/chart" uri="{C3380CC4-5D6E-409C-BE32-E72D297353CC}">
              <c16:uniqueId val="{00000007-D559-4B13-9B78-97B2B5B646BE}"/>
            </c:ext>
          </c:extLst>
        </c:ser>
        <c:ser>
          <c:idx val="4"/>
          <c:order val="4"/>
          <c:tx>
            <c:strRef>
              <c:f>Usluge!$I$5</c:f>
              <c:strCache>
                <c:ptCount val="1"/>
                <c:pt idx="0">
                  <c:v>Series5</c:v>
                </c:pt>
              </c:strCache>
            </c:strRef>
          </c:tx>
          <c:spPr>
            <a:ln w="28575" cap="rnd">
              <a:noFill/>
              <a:round/>
            </a:ln>
            <a:effectLst/>
          </c:spPr>
          <c:marker>
            <c:symbol val="none"/>
          </c:marker>
          <c:dLbls>
            <c:dLbl>
              <c:idx val="0"/>
              <c:tx>
                <c:rich>
                  <a:bodyPr/>
                  <a:lstStyle/>
                  <a:p>
                    <a:fld id="{7EB25DC1-C7D6-4300-A73B-8ECB83BAF21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D559-4B13-9B78-97B2B5B646BE}"/>
                </c:ext>
              </c:extLst>
            </c:dLbl>
            <c:dLbl>
              <c:idx val="1"/>
              <c:tx>
                <c:rich>
                  <a:bodyPr/>
                  <a:lstStyle/>
                  <a:p>
                    <a:fld id="{62D36485-78AB-4BC5-B0F6-41F17C6906B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D559-4B13-9B78-97B2B5B646BE}"/>
                </c:ext>
              </c:extLst>
            </c:dLbl>
            <c:dLbl>
              <c:idx val="2"/>
              <c:tx>
                <c:rich>
                  <a:bodyPr/>
                  <a:lstStyle/>
                  <a:p>
                    <a:fld id="{B9F683EC-B91D-45F6-BCD7-8EBB518131B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D559-4B13-9B78-97B2B5B646BE}"/>
                </c:ext>
              </c:extLst>
            </c:dLbl>
            <c:dLbl>
              <c:idx val="3"/>
              <c:tx>
                <c:rich>
                  <a:bodyPr/>
                  <a:lstStyle/>
                  <a:p>
                    <a:fld id="{C4EC4112-BFA0-4770-A97E-ECB921501EC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D559-4B13-9B78-97B2B5B646BE}"/>
                </c:ext>
              </c:extLst>
            </c:dLbl>
            <c:dLbl>
              <c:idx val="4"/>
              <c:tx>
                <c:rich>
                  <a:bodyPr/>
                  <a:lstStyle/>
                  <a:p>
                    <a:fld id="{AF4E8781-CBDE-4D65-9802-E73EEE7E399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D559-4B13-9B78-97B2B5B646BE}"/>
                </c:ext>
              </c:extLst>
            </c:dLbl>
            <c:dLbl>
              <c:idx val="5"/>
              <c:tx>
                <c:rich>
                  <a:bodyPr/>
                  <a:lstStyle/>
                  <a:p>
                    <a:fld id="{1427E035-4826-4D41-B64F-D52FCF90194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D559-4B13-9B78-97B2B5B646BE}"/>
                </c:ext>
              </c:extLst>
            </c:dLbl>
            <c:dLbl>
              <c:idx val="6"/>
              <c:tx>
                <c:rich>
                  <a:bodyPr/>
                  <a:lstStyle/>
                  <a:p>
                    <a:fld id="{92ABA096-4B2F-42EB-BEDC-08168B5F09E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D559-4B13-9B78-97B2B5B646BE}"/>
                </c:ext>
              </c:extLst>
            </c:dLbl>
            <c:dLbl>
              <c:idx val="7"/>
              <c:tx>
                <c:rich>
                  <a:bodyPr/>
                  <a:lstStyle/>
                  <a:p>
                    <a:fld id="{0562F9F2-E8CA-4416-A589-5C01C0C0461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D559-4B13-9B78-97B2B5B646BE}"/>
                </c:ext>
              </c:extLst>
            </c:dLbl>
            <c:dLbl>
              <c:idx val="8"/>
              <c:tx>
                <c:rich>
                  <a:bodyPr/>
                  <a:lstStyle/>
                  <a:p>
                    <a:fld id="{3B3AC30E-674E-40BD-AFC5-8DA849D3676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D559-4B13-9B78-97B2B5B646BE}"/>
                </c:ext>
              </c:extLst>
            </c:dLbl>
            <c:dLbl>
              <c:idx val="9"/>
              <c:tx>
                <c:rich>
                  <a:bodyPr/>
                  <a:lstStyle/>
                  <a:p>
                    <a:fld id="{567F8A91-515A-4A91-B3F5-948162A617C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D559-4B13-9B78-97B2B5B646BE}"/>
                </c:ext>
              </c:extLst>
            </c:dLbl>
            <c:dLbl>
              <c:idx val="10"/>
              <c:tx>
                <c:rich>
                  <a:bodyPr/>
                  <a:lstStyle/>
                  <a:p>
                    <a:fld id="{045C0290-EE37-43F7-A2F6-3D095E71AF2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D559-4B13-9B78-97B2B5B646BE}"/>
                </c:ext>
              </c:extLst>
            </c:dLbl>
            <c:dLbl>
              <c:idx val="11"/>
              <c:tx>
                <c:rich>
                  <a:bodyPr/>
                  <a:lstStyle/>
                  <a:p>
                    <a:fld id="{253CB512-5201-4C29-AF08-18C05BB019A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D559-4B13-9B78-97B2B5B646BE}"/>
                </c:ext>
              </c:extLst>
            </c:dLbl>
            <c:dLbl>
              <c:idx val="12"/>
              <c:tx>
                <c:rich>
                  <a:bodyPr/>
                  <a:lstStyle/>
                  <a:p>
                    <a:fld id="{4B8B5B21-7929-49AC-8EA9-E4616509FD4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D559-4B13-9B78-97B2B5B646BE}"/>
                </c:ext>
              </c:extLst>
            </c:dLbl>
            <c:dLbl>
              <c:idx val="13"/>
              <c:tx>
                <c:rich>
                  <a:bodyPr/>
                  <a:lstStyle/>
                  <a:p>
                    <a:fld id="{FC93D7A0-F20E-46EA-869B-9794871FBDC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D559-4B13-9B78-97B2B5B646BE}"/>
                </c:ext>
              </c:extLst>
            </c:dLbl>
            <c:dLbl>
              <c:idx val="14"/>
              <c:tx>
                <c:rich>
                  <a:bodyPr/>
                  <a:lstStyle/>
                  <a:p>
                    <a:fld id="{7AFE7704-CD8F-4E6B-B221-3B1EFED29FA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D559-4B13-9B78-97B2B5B646BE}"/>
                </c:ext>
              </c:extLst>
            </c:dLbl>
            <c:dLbl>
              <c:idx val="15"/>
              <c:tx>
                <c:rich>
                  <a:bodyPr/>
                  <a:lstStyle/>
                  <a:p>
                    <a:fld id="{BC6141D4-B56B-4D99-AA68-63C202DB5EB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D559-4B13-9B78-97B2B5B646BE}"/>
                </c:ext>
              </c:extLst>
            </c:dLbl>
            <c:dLbl>
              <c:idx val="16"/>
              <c:tx>
                <c:rich>
                  <a:bodyPr/>
                  <a:lstStyle/>
                  <a:p>
                    <a:fld id="{2ABA52F4-216A-45BD-B5F8-631785C2F59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D559-4B13-9B78-97B2B5B646BE}"/>
                </c:ext>
              </c:extLst>
            </c:dLbl>
            <c:dLbl>
              <c:idx val="17"/>
              <c:tx>
                <c:rich>
                  <a:bodyPr/>
                  <a:lstStyle/>
                  <a:p>
                    <a:fld id="{50202035-27A0-436D-9B4D-FF1DEF4B149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D559-4B13-9B78-97B2B5B646BE}"/>
                </c:ext>
              </c:extLst>
            </c:dLbl>
            <c:dLbl>
              <c:idx val="18"/>
              <c:tx>
                <c:rich>
                  <a:bodyPr/>
                  <a:lstStyle/>
                  <a:p>
                    <a:fld id="{3DD2E742-72FE-4DE8-B42A-79964B990A0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D559-4B13-9B78-97B2B5B646BE}"/>
                </c:ext>
              </c:extLst>
            </c:dLbl>
            <c:dLbl>
              <c:idx val="19"/>
              <c:tx>
                <c:rich>
                  <a:bodyPr/>
                  <a:lstStyle/>
                  <a:p>
                    <a:fld id="{B2043343-35A2-4FDF-B5A9-0FC48B51183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D559-4B13-9B78-97B2B5B646BE}"/>
                </c:ext>
              </c:extLst>
            </c:dLbl>
            <c:dLbl>
              <c:idx val="20"/>
              <c:tx>
                <c:rich>
                  <a:bodyPr/>
                  <a:lstStyle/>
                  <a:p>
                    <a:fld id="{A31BCAFE-869D-4CAD-907A-8FDF4BAE2A2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D559-4B13-9B78-97B2B5B646BE}"/>
                </c:ext>
              </c:extLst>
            </c:dLbl>
            <c:dLbl>
              <c:idx val="21"/>
              <c:tx>
                <c:rich>
                  <a:bodyPr/>
                  <a:lstStyle/>
                  <a:p>
                    <a:fld id="{F4A23BCE-D204-42A7-BE93-9F6D50AF589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D559-4B13-9B78-97B2B5B646BE}"/>
                </c:ext>
              </c:extLst>
            </c:dLbl>
            <c:dLbl>
              <c:idx val="22"/>
              <c:tx>
                <c:rich>
                  <a:bodyPr/>
                  <a:lstStyle/>
                  <a:p>
                    <a:fld id="{6FF88C49-28BE-4511-BE6D-4FEA5525F6E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D559-4B13-9B78-97B2B5B646BE}"/>
                </c:ext>
              </c:extLst>
            </c:dLbl>
            <c:dLbl>
              <c:idx val="23"/>
              <c:tx>
                <c:rich>
                  <a:bodyPr/>
                  <a:lstStyle/>
                  <a:p>
                    <a:fld id="{AD2E133B-ED3E-4A55-8CA5-144FB8051D6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D559-4B13-9B78-97B2B5B646BE}"/>
                </c:ext>
              </c:extLst>
            </c:dLbl>
            <c:dLbl>
              <c:idx val="24"/>
              <c:tx>
                <c:rich>
                  <a:bodyPr/>
                  <a:lstStyle/>
                  <a:p>
                    <a:fld id="{A52FE274-4202-4A95-85EA-3638AB590B9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D559-4B13-9B78-97B2B5B646BE}"/>
                </c:ext>
              </c:extLst>
            </c:dLbl>
            <c:dLbl>
              <c:idx val="25"/>
              <c:tx>
                <c:rich>
                  <a:bodyPr/>
                  <a:lstStyle/>
                  <a:p>
                    <a:fld id="{E9FD26AF-2E99-4353-9692-C1CA4606BEB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D559-4B13-9B78-97B2B5B646BE}"/>
                </c:ext>
              </c:extLst>
            </c:dLbl>
            <c:dLbl>
              <c:idx val="26"/>
              <c:tx>
                <c:rich>
                  <a:bodyPr/>
                  <a:lstStyle/>
                  <a:p>
                    <a:fld id="{65E60B80-96A1-487E-8BD6-E4FB4BCC3EE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D559-4B13-9B78-97B2B5B646BE}"/>
                </c:ext>
              </c:extLst>
            </c:dLbl>
            <c:dLbl>
              <c:idx val="27"/>
              <c:tx>
                <c:rich>
                  <a:bodyPr/>
                  <a:lstStyle/>
                  <a:p>
                    <a:fld id="{9F417227-169E-4A1B-B32D-DD1EF6BC6F0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D559-4B13-9B78-97B2B5B646BE}"/>
                </c:ext>
              </c:extLst>
            </c:dLbl>
            <c:dLbl>
              <c:idx val="28"/>
              <c:tx>
                <c:rich>
                  <a:bodyPr/>
                  <a:lstStyle/>
                  <a:p>
                    <a:fld id="{6E68801A-1FCC-4AA9-ADFC-0044F8172F3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4-D559-4B13-9B78-97B2B5B646BE}"/>
                </c:ext>
              </c:extLst>
            </c:dLbl>
            <c:dLbl>
              <c:idx val="29"/>
              <c:tx>
                <c:rich>
                  <a:bodyPr/>
                  <a:lstStyle/>
                  <a:p>
                    <a:fld id="{EFDFA783-A995-40A8-A579-68BE97C8D4B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D559-4B13-9B78-97B2B5B646BE}"/>
                </c:ext>
              </c:extLst>
            </c:dLbl>
            <c:dLbl>
              <c:idx val="30"/>
              <c:tx>
                <c:rich>
                  <a:bodyPr/>
                  <a:lstStyle/>
                  <a:p>
                    <a:fld id="{64F56427-1C80-4C61-90EE-D68B4928442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D559-4B13-9B78-97B2B5B646BE}"/>
                </c:ext>
              </c:extLst>
            </c:dLbl>
            <c:dLbl>
              <c:idx val="31"/>
              <c:tx>
                <c:rich>
                  <a:bodyPr/>
                  <a:lstStyle/>
                  <a:p>
                    <a:fld id="{9AEE5A0D-2A30-4EB2-BD58-BDF8AEAA4D7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7-D559-4B13-9B78-97B2B5B646BE}"/>
                </c:ext>
              </c:extLst>
            </c:dLbl>
            <c:dLbl>
              <c:idx val="32"/>
              <c:tx>
                <c:rich>
                  <a:bodyPr/>
                  <a:lstStyle/>
                  <a:p>
                    <a:fld id="{69C3B42F-1C6F-4117-8D64-04C214D6AD0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D559-4B13-9B78-97B2B5B646BE}"/>
                </c:ext>
              </c:extLst>
            </c:dLbl>
            <c:dLbl>
              <c:idx val="33"/>
              <c:tx>
                <c:rich>
                  <a:bodyPr/>
                  <a:lstStyle/>
                  <a:p>
                    <a:fld id="{72382DAB-E51D-4DC7-9222-D4CE03D7BC4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D559-4B13-9B78-97B2B5B646BE}"/>
                </c:ext>
              </c:extLst>
            </c:dLbl>
            <c:dLbl>
              <c:idx val="34"/>
              <c:tx>
                <c:rich>
                  <a:bodyPr/>
                  <a:lstStyle/>
                  <a:p>
                    <a:fld id="{D16E227A-EA38-4704-94F8-DC84EDC018F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A-D559-4B13-9B78-97B2B5B646BE}"/>
                </c:ext>
              </c:extLst>
            </c:dLbl>
            <c:dLbl>
              <c:idx val="35"/>
              <c:tx>
                <c:rich>
                  <a:bodyPr/>
                  <a:lstStyle/>
                  <a:p>
                    <a:fld id="{A46C984E-F514-4B28-A8AC-A6B757E69C7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D559-4B13-9B78-97B2B5B646BE}"/>
                </c:ext>
              </c:extLst>
            </c:dLbl>
            <c:dLbl>
              <c:idx val="36"/>
              <c:tx>
                <c:rich>
                  <a:bodyPr/>
                  <a:lstStyle/>
                  <a:p>
                    <a:fld id="{A9CD05F5-0BC7-4EFA-9783-5743636B833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C-D559-4B13-9B78-97B2B5B646BE}"/>
                </c:ext>
              </c:extLst>
            </c:dLbl>
            <c:dLbl>
              <c:idx val="37"/>
              <c:tx>
                <c:rich>
                  <a:bodyPr/>
                  <a:lstStyle/>
                  <a:p>
                    <a:fld id="{3C8032D1-072C-46CB-99D7-66A900158C8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D-D559-4B13-9B78-97B2B5B646BE}"/>
                </c:ext>
              </c:extLst>
            </c:dLbl>
            <c:dLbl>
              <c:idx val="38"/>
              <c:tx>
                <c:rich>
                  <a:bodyPr/>
                  <a:lstStyle/>
                  <a:p>
                    <a:fld id="{53BACFEA-AF45-4625-AFF1-EC79E109E21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E-D559-4B13-9B78-97B2B5B646BE}"/>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Usluge!$A$126:$A$164</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Usluge!$I$126:$I$164</c:f>
              <c:numCache>
                <c:formatCode>General</c:formatCode>
                <c:ptCount val="39"/>
                <c:pt idx="0">
                  <c:v>60</c:v>
                </c:pt>
                <c:pt idx="1">
                  <c:v>60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c:v>
                </c:pt>
                <c:pt idx="19">
                  <c:v>60</c:v>
                </c:pt>
                <c:pt idx="20">
                  <c:v>60</c:v>
                </c:pt>
                <c:pt idx="21">
                  <c:v>60</c:v>
                </c:pt>
                <c:pt idx="22">
                  <c:v>60</c:v>
                </c:pt>
                <c:pt idx="23">
                  <c:v>60</c:v>
                </c:pt>
                <c:pt idx="24">
                  <c:v>60</c:v>
                </c:pt>
                <c:pt idx="25">
                  <c:v>60</c:v>
                </c:pt>
                <c:pt idx="26">
                  <c:v>60</c:v>
                </c:pt>
                <c:pt idx="27">
                  <c:v>60</c:v>
                </c:pt>
                <c:pt idx="28">
                  <c:v>60</c:v>
                </c:pt>
                <c:pt idx="29">
                  <c:v>60</c:v>
                </c:pt>
                <c:pt idx="30">
                  <c:v>60</c:v>
                </c:pt>
                <c:pt idx="31">
                  <c:v>60</c:v>
                </c:pt>
                <c:pt idx="32">
                  <c:v>60</c:v>
                </c:pt>
                <c:pt idx="33">
                  <c:v>60</c:v>
                </c:pt>
                <c:pt idx="34">
                  <c:v>60</c:v>
                </c:pt>
                <c:pt idx="35">
                  <c:v>60</c:v>
                </c:pt>
                <c:pt idx="36">
                  <c:v>60</c:v>
                </c:pt>
                <c:pt idx="37">
                  <c:v>60</c:v>
                </c:pt>
                <c:pt idx="38">
                  <c:v>60</c:v>
                </c:pt>
              </c:numCache>
            </c:numRef>
          </c:val>
          <c:smooth val="0"/>
          <c:extLst>
            <c:ext xmlns:c15="http://schemas.microsoft.com/office/drawing/2012/chart" uri="{02D57815-91ED-43cb-92C2-25804820EDAC}">
              <c15:datalabelsRange>
                <c15:f>Usluge!$C$126:$C$164</c15:f>
                <c15:dlblRangeCache>
                  <c:ptCount val="3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15:dlblRangeCache>
              </c15:datalabelsRange>
            </c:ext>
            <c:ext xmlns:c16="http://schemas.microsoft.com/office/drawing/2014/chart" uri="{C3380CC4-5D6E-409C-BE32-E72D297353CC}">
              <c16:uniqueId val="{0000002F-D559-4B13-9B78-97B2B5B646BE}"/>
            </c:ext>
          </c:extLst>
        </c:ser>
        <c:dLbls>
          <c:showLegendKey val="0"/>
          <c:showVal val="0"/>
          <c:showCatName val="0"/>
          <c:showSerName val="0"/>
          <c:showPercent val="0"/>
          <c:showBubbleSize val="0"/>
        </c:dLbls>
        <c:smooth val="0"/>
        <c:axId val="2092186640"/>
        <c:axId val="2092182288"/>
      </c:lineChart>
      <c:dateAx>
        <c:axId val="209218664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2092182288"/>
        <c:crosses val="autoZero"/>
        <c:auto val="1"/>
        <c:lblOffset val="0"/>
        <c:baseTimeUnit val="months"/>
      </c:dateAx>
      <c:valAx>
        <c:axId val="2092182288"/>
        <c:scaling>
          <c:orientation val="minMax"/>
          <c:max val="115"/>
          <c:min val="6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86640"/>
        <c:crosses val="autoZero"/>
        <c:crossBetween val="midCat"/>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33333333333E-2"/>
          <c:y val="4.3644144144144144E-2"/>
          <c:w val="0.86257083333333318"/>
          <c:h val="0.8328986486486486"/>
        </c:manualLayout>
      </c:layout>
      <c:lineChart>
        <c:grouping val="standard"/>
        <c:varyColors val="0"/>
        <c:ser>
          <c:idx val="0"/>
          <c:order val="0"/>
          <c:tx>
            <c:strRef>
              <c:f>'BoP_izvoz usluga'!$S$5</c:f>
              <c:strCache>
                <c:ptCount val="1"/>
                <c:pt idx="0">
                  <c:v>y</c:v>
                </c:pt>
              </c:strCache>
            </c:strRef>
          </c:tx>
          <c:spPr>
            <a:ln w="12700" cap="rnd">
              <a:solidFill>
                <a:srgbClr val="7F3F98"/>
              </a:solidFill>
              <a:prstDash val="sysDash"/>
              <a:round/>
            </a:ln>
            <a:effectLst/>
          </c:spPr>
          <c:marker>
            <c:symbol val="none"/>
          </c:marker>
          <c:cat>
            <c:numRef>
              <c:f>'BoP_izvoz usluga'!$A$90:$A$127</c:f>
              <c:numCache>
                <c:formatCode>yyyy</c:formatCode>
                <c:ptCount val="38"/>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numCache>
            </c:numRef>
          </c:cat>
          <c:val>
            <c:numRef>
              <c:f>'BoP_izvoz usluga'!$S$90:$S$127</c:f>
              <c:numCache>
                <c:formatCode>0.0</c:formatCode>
                <c:ptCount val="38"/>
                <c:pt idx="0">
                  <c:v>63.846422547300861</c:v>
                </c:pt>
                <c:pt idx="1">
                  <c:v>70.228795958656264</c:v>
                </c:pt>
                <c:pt idx="2">
                  <c:v>75.924999675320464</c:v>
                </c:pt>
                <c:pt idx="3">
                  <c:v>79.162915144007854</c:v>
                </c:pt>
                <c:pt idx="4">
                  <c:v>73.662208429595012</c:v>
                </c:pt>
                <c:pt idx="5">
                  <c:v>73.307199167864098</c:v>
                </c:pt>
                <c:pt idx="6">
                  <c:v>82.056951415672359</c:v>
                </c:pt>
                <c:pt idx="7">
                  <c:v>71.704844217988537</c:v>
                </c:pt>
                <c:pt idx="8">
                  <c:v>72.809058046684001</c:v>
                </c:pt>
                <c:pt idx="9">
                  <c:v>83.244171034593037</c:v>
                </c:pt>
                <c:pt idx="10">
                  <c:v>84.162688633438506</c:v>
                </c:pt>
                <c:pt idx="11">
                  <c:v>89.00443544610026</c:v>
                </c:pt>
                <c:pt idx="12">
                  <c:v>78.761551203033889</c:v>
                </c:pt>
                <c:pt idx="13">
                  <c:v>85.137290921278478</c:v>
                </c:pt>
                <c:pt idx="14">
                  <c:v>74.302421760381122</c:v>
                </c:pt>
                <c:pt idx="15">
                  <c:v>73.115028527098488</c:v>
                </c:pt>
                <c:pt idx="16">
                  <c:v>67.919800146656456</c:v>
                </c:pt>
                <c:pt idx="17">
                  <c:v>74.830623528555734</c:v>
                </c:pt>
                <c:pt idx="18">
                  <c:v>70.746883443129349</c:v>
                </c:pt>
                <c:pt idx="19">
                  <c:v>64.954358597354116</c:v>
                </c:pt>
                <c:pt idx="20">
                  <c:v>71.251918116790762</c:v>
                </c:pt>
                <c:pt idx="21">
                  <c:v>80.454433829952052</c:v>
                </c:pt>
                <c:pt idx="22">
                  <c:v>77.45275209188425</c:v>
                </c:pt>
                <c:pt idx="23">
                  <c:v>110.93638564268757</c:v>
                </c:pt>
                <c:pt idx="24">
                  <c:v>77.034957568911253</c:v>
                </c:pt>
                <c:pt idx="25">
                  <c:v>80.234721908351105</c:v>
                </c:pt>
                <c:pt idx="26">
                  <c:v>96.352608855789796</c:v>
                </c:pt>
                <c:pt idx="27">
                  <c:v>93.693582471774619</c:v>
                </c:pt>
                <c:pt idx="28">
                  <c:v>89.066391561128711</c:v>
                </c:pt>
                <c:pt idx="29">
                  <c:v>97.426526370921053</c:v>
                </c:pt>
                <c:pt idx="30">
                  <c:v>110.3647852514118</c:v>
                </c:pt>
                <c:pt idx="31">
                  <c:v>95.699738464214235</c:v>
                </c:pt>
                <c:pt idx="32">
                  <c:v>101.00746445381725</c:v>
                </c:pt>
                <c:pt idx="33">
                  <c:v>108.65331445862797</c:v>
                </c:pt>
                <c:pt idx="34">
                  <c:v>110.79378321399309</c:v>
                </c:pt>
                <c:pt idx="35">
                  <c:v>139.67212542105912</c:v>
                </c:pt>
                <c:pt idx="36">
                  <c:v>112.04241161813357</c:v>
                </c:pt>
                <c:pt idx="37">
                  <c:v>112.36774779939442</c:v>
                </c:pt>
              </c:numCache>
            </c:numRef>
          </c:val>
          <c:smooth val="0"/>
          <c:extLst>
            <c:ext xmlns:c16="http://schemas.microsoft.com/office/drawing/2014/chart" uri="{C3380CC4-5D6E-409C-BE32-E72D297353CC}">
              <c16:uniqueId val="{00000000-FE0B-438E-97E4-EF105C726FAF}"/>
            </c:ext>
          </c:extLst>
        </c:ser>
        <c:ser>
          <c:idx val="1"/>
          <c:order val="1"/>
          <c:tx>
            <c:strRef>
              <c:f>'BoP_izvoz usluga'!$T$5</c:f>
              <c:strCache>
                <c:ptCount val="1"/>
                <c:pt idx="0">
                  <c:v>sa</c:v>
                </c:pt>
              </c:strCache>
            </c:strRef>
          </c:tx>
          <c:spPr>
            <a:ln w="22225" cap="rnd">
              <a:solidFill>
                <a:srgbClr val="25AAE1"/>
              </a:solidFill>
              <a:round/>
            </a:ln>
            <a:effectLst/>
          </c:spPr>
          <c:marker>
            <c:symbol val="none"/>
          </c:marker>
          <c:cat>
            <c:numRef>
              <c:f>'BoP_izvoz usluga'!$A$90:$A$127</c:f>
              <c:numCache>
                <c:formatCode>yyyy</c:formatCode>
                <c:ptCount val="38"/>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numCache>
            </c:numRef>
          </c:cat>
          <c:val>
            <c:numRef>
              <c:f>'BoP_izvoz usluga'!$T$90:$T$127</c:f>
              <c:numCache>
                <c:formatCode>0.0</c:formatCode>
                <c:ptCount val="38"/>
                <c:pt idx="0">
                  <c:v>65.599864864191716</c:v>
                </c:pt>
                <c:pt idx="1">
                  <c:v>73.883391246689996</c:v>
                </c:pt>
                <c:pt idx="2">
                  <c:v>74.482293192994135</c:v>
                </c:pt>
                <c:pt idx="3">
                  <c:v>76.367367449779181</c:v>
                </c:pt>
                <c:pt idx="4">
                  <c:v>76.395197834581722</c:v>
                </c:pt>
                <c:pt idx="5">
                  <c:v>78.077408732346612</c:v>
                </c:pt>
                <c:pt idx="6">
                  <c:v>79.389383614967343</c:v>
                </c:pt>
                <c:pt idx="7">
                  <c:v>74.95390231797883</c:v>
                </c:pt>
                <c:pt idx="8">
                  <c:v>80.187750302012219</c:v>
                </c:pt>
                <c:pt idx="9">
                  <c:v>76.253474243358113</c:v>
                </c:pt>
                <c:pt idx="10">
                  <c:v>85.87496351221742</c:v>
                </c:pt>
                <c:pt idx="11">
                  <c:v>77.012627445280543</c:v>
                </c:pt>
                <c:pt idx="12">
                  <c:v>83.607192221193003</c:v>
                </c:pt>
                <c:pt idx="13">
                  <c:v>81.172580727769244</c:v>
                </c:pt>
                <c:pt idx="14">
                  <c:v>72.25082835294468</c:v>
                </c:pt>
                <c:pt idx="15">
                  <c:v>71.805102372573941</c:v>
                </c:pt>
                <c:pt idx="16">
                  <c:v>73.693590969442212</c:v>
                </c:pt>
                <c:pt idx="17">
                  <c:v>75.445165398385413</c:v>
                </c:pt>
                <c:pt idx="18">
                  <c:v>65.481036863611521</c:v>
                </c:pt>
                <c:pt idx="19">
                  <c:v>74.69448017659893</c:v>
                </c:pt>
                <c:pt idx="20">
                  <c:v>75.742273911385965</c:v>
                </c:pt>
                <c:pt idx="21">
                  <c:v>74.279611269294733</c:v>
                </c:pt>
                <c:pt idx="22">
                  <c:v>80.532200487900312</c:v>
                </c:pt>
                <c:pt idx="23">
                  <c:v>90.298825741766152</c:v>
                </c:pt>
                <c:pt idx="24">
                  <c:v>85.164214883687805</c:v>
                </c:pt>
                <c:pt idx="25">
                  <c:v>84.389969597020439</c:v>
                </c:pt>
                <c:pt idx="26">
                  <c:v>93.793570836432352</c:v>
                </c:pt>
                <c:pt idx="27">
                  <c:v>90.13156087302184</c:v>
                </c:pt>
                <c:pt idx="28">
                  <c:v>93.775605120205782</c:v>
                </c:pt>
                <c:pt idx="29">
                  <c:v>99.205266009792041</c:v>
                </c:pt>
                <c:pt idx="30">
                  <c:v>101.9929043435567</c:v>
                </c:pt>
                <c:pt idx="31">
                  <c:v>105.0938572299678</c:v>
                </c:pt>
                <c:pt idx="32">
                  <c:v>107.4565510471853</c:v>
                </c:pt>
                <c:pt idx="33">
                  <c:v>105.57775950705278</c:v>
                </c:pt>
                <c:pt idx="34">
                  <c:v>114.6301293888254</c:v>
                </c:pt>
                <c:pt idx="35">
                  <c:v>113.67053453962536</c:v>
                </c:pt>
                <c:pt idx="36">
                  <c:v>120.99257699771117</c:v>
                </c:pt>
                <c:pt idx="37">
                  <c:v>116.60352616303693</c:v>
                </c:pt>
              </c:numCache>
            </c:numRef>
          </c:val>
          <c:smooth val="0"/>
          <c:extLst>
            <c:ext xmlns:c16="http://schemas.microsoft.com/office/drawing/2014/chart" uri="{C3380CC4-5D6E-409C-BE32-E72D297353CC}">
              <c16:uniqueId val="{00000001-FE0B-438E-97E4-EF105C726FAF}"/>
            </c:ext>
          </c:extLst>
        </c:ser>
        <c:ser>
          <c:idx val="2"/>
          <c:order val="2"/>
          <c:tx>
            <c:strRef>
              <c:f>'BoP_izvoz usluga'!$U$5</c:f>
              <c:strCache>
                <c:ptCount val="1"/>
                <c:pt idx="0">
                  <c:v>t</c:v>
                </c:pt>
              </c:strCache>
            </c:strRef>
          </c:tx>
          <c:spPr>
            <a:ln w="25400" cap="rnd">
              <a:solidFill>
                <a:srgbClr val="FF0000"/>
              </a:solidFill>
              <a:round/>
            </a:ln>
            <a:effectLst/>
          </c:spPr>
          <c:marker>
            <c:symbol val="none"/>
          </c:marker>
          <c:cat>
            <c:numRef>
              <c:f>'BoP_izvoz usluga'!$A$90:$A$127</c:f>
              <c:numCache>
                <c:formatCode>yyyy</c:formatCode>
                <c:ptCount val="38"/>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numCache>
            </c:numRef>
          </c:cat>
          <c:val>
            <c:numRef>
              <c:f>'BoP_izvoz usluga'!$U$90:$U$127</c:f>
              <c:numCache>
                <c:formatCode>0.0</c:formatCode>
                <c:ptCount val="38"/>
                <c:pt idx="0">
                  <c:v>68.646957592373525</c:v>
                </c:pt>
                <c:pt idx="1">
                  <c:v>71.309832193520464</c:v>
                </c:pt>
                <c:pt idx="2">
                  <c:v>73.814423694528159</c:v>
                </c:pt>
                <c:pt idx="3">
                  <c:v>75.854354371479516</c:v>
                </c:pt>
                <c:pt idx="4">
                  <c:v>77.011550170438468</c:v>
                </c:pt>
                <c:pt idx="5">
                  <c:v>77.557669397685217</c:v>
                </c:pt>
                <c:pt idx="6">
                  <c:v>77.835887011052762</c:v>
                </c:pt>
                <c:pt idx="7">
                  <c:v>78.160787164697396</c:v>
                </c:pt>
                <c:pt idx="8">
                  <c:v>78.939920428922122</c:v>
                </c:pt>
                <c:pt idx="9">
                  <c:v>79.956413920840617</c:v>
                </c:pt>
                <c:pt idx="10">
                  <c:v>80.743161828298454</c:v>
                </c:pt>
                <c:pt idx="11">
                  <c:v>80.754354744995993</c:v>
                </c:pt>
                <c:pt idx="12">
                  <c:v>79.821358903387647</c:v>
                </c:pt>
                <c:pt idx="13">
                  <c:v>78.093039396887477</c:v>
                </c:pt>
                <c:pt idx="14">
                  <c:v>76.070831962262687</c:v>
                </c:pt>
                <c:pt idx="15">
                  <c:v>74.460492705001727</c:v>
                </c:pt>
                <c:pt idx="16">
                  <c:v>73.482412432920626</c:v>
                </c:pt>
                <c:pt idx="17">
                  <c:v>73.274151416283004</c:v>
                </c:pt>
                <c:pt idx="18">
                  <c:v>73.586113203776307</c:v>
                </c:pt>
                <c:pt idx="19">
                  <c:v>74.46474094507802</c:v>
                </c:pt>
                <c:pt idx="20">
                  <c:v>75.497824042343936</c:v>
                </c:pt>
                <c:pt idx="21">
                  <c:v>76.909178847274546</c:v>
                </c:pt>
                <c:pt idx="22">
                  <c:v>78.973319068385479</c:v>
                </c:pt>
                <c:pt idx="23">
                  <c:v>81.500554991748274</c:v>
                </c:pt>
                <c:pt idx="24">
                  <c:v>84.193919967368018</c:v>
                </c:pt>
                <c:pt idx="25">
                  <c:v>86.874959569106096</c:v>
                </c:pt>
                <c:pt idx="26">
                  <c:v>89.574764706982748</c:v>
                </c:pt>
                <c:pt idx="27">
                  <c:v>92.432611630151115</c:v>
                </c:pt>
                <c:pt idx="28">
                  <c:v>95.36739906122618</c:v>
                </c:pt>
                <c:pt idx="29">
                  <c:v>98.38186768794732</c:v>
                </c:pt>
                <c:pt idx="30">
                  <c:v>101.23534172489443</c:v>
                </c:pt>
                <c:pt idx="31">
                  <c:v>104.07227700426466</c:v>
                </c:pt>
                <c:pt idx="32">
                  <c:v>106.91819004187151</c:v>
                </c:pt>
                <c:pt idx="33">
                  <c:v>109.70537733463595</c:v>
                </c:pt>
                <c:pt idx="34">
                  <c:v>112.24962771170036</c:v>
                </c:pt>
                <c:pt idx="35">
                  <c:v>114.68047591094174</c:v>
                </c:pt>
                <c:pt idx="36">
                  <c:v>117.01799275939419</c:v>
                </c:pt>
                <c:pt idx="37">
                  <c:v>119.04043525477101</c:v>
                </c:pt>
              </c:numCache>
            </c:numRef>
          </c:val>
          <c:smooth val="0"/>
          <c:extLst>
            <c:ext xmlns:c16="http://schemas.microsoft.com/office/drawing/2014/chart" uri="{C3380CC4-5D6E-409C-BE32-E72D297353CC}">
              <c16:uniqueId val="{00000002-FE0B-438E-97E4-EF105C726FAF}"/>
            </c:ext>
          </c:extLst>
        </c:ser>
        <c:ser>
          <c:idx val="3"/>
          <c:order val="3"/>
          <c:tx>
            <c:strRef>
              <c:f>'BoP_izvoz usluga'!$V$5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8.0828819444444408E-2"/>
                  <c:y val="6.551126126126126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E0B-438E-97E4-EF105C726FAF}"/>
                </c:ext>
              </c:extLst>
            </c:dLbl>
            <c:dLbl>
              <c:idx val="12"/>
              <c:layout>
                <c:manualLayout>
                  <c:x val="8.1010416666666585E-2"/>
                  <c:y val="6.551126126126126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E0B-438E-97E4-EF105C726FAF}"/>
                </c:ext>
              </c:extLst>
            </c:dLbl>
            <c:dLbl>
              <c:idx val="24"/>
              <c:layout>
                <c:manualLayout>
                  <c:x val="7.7995138888888885E-2"/>
                  <c:y val="6.551126126126126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E0B-438E-97E4-EF105C726FAF}"/>
                </c:ext>
              </c:extLst>
            </c:dLbl>
            <c:dLbl>
              <c:idx val="36"/>
              <c:layout>
                <c:manualLayout>
                  <c:x val="-7.776736111111111E-3"/>
                  <c:y val="6.551126126126126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E0B-438E-97E4-EF105C726FAF}"/>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'BoP_izvoz usluga'!$A$90:$A$127</c:f>
              <c:numCache>
                <c:formatCode>yyyy</c:formatCode>
                <c:ptCount val="38"/>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numCache>
            </c:numRef>
          </c:cat>
          <c:val>
            <c:numRef>
              <c:f>'BoP_izvoz usluga'!$V$90:$V$127</c:f>
              <c:numCache>
                <c:formatCode>General</c:formatCode>
                <c:ptCount val="38"/>
                <c:pt idx="0">
                  <c:v>40</c:v>
                </c:pt>
                <c:pt idx="12">
                  <c:v>40</c:v>
                </c:pt>
                <c:pt idx="24">
                  <c:v>40</c:v>
                </c:pt>
                <c:pt idx="36">
                  <c:v>40</c:v>
                </c:pt>
              </c:numCache>
            </c:numRef>
          </c:val>
          <c:smooth val="0"/>
          <c:extLst>
            <c:ext xmlns:c16="http://schemas.microsoft.com/office/drawing/2014/chart" uri="{C3380CC4-5D6E-409C-BE32-E72D297353CC}">
              <c16:uniqueId val="{00000007-FE0B-438E-97E4-EF105C726FAF}"/>
            </c:ext>
          </c:extLst>
        </c:ser>
        <c:ser>
          <c:idx val="4"/>
          <c:order val="4"/>
          <c:tx>
            <c:strRef>
              <c:f>'BoP_izvoz usluga'!$W$5</c:f>
              <c:strCache>
                <c:ptCount val="1"/>
                <c:pt idx="0">
                  <c:v>Series5</c:v>
                </c:pt>
              </c:strCache>
            </c:strRef>
          </c:tx>
          <c:spPr>
            <a:ln w="28575" cap="rnd">
              <a:noFill/>
              <a:round/>
            </a:ln>
            <a:effectLst/>
          </c:spPr>
          <c:marker>
            <c:symbol val="none"/>
          </c:marker>
          <c:dLbls>
            <c:dLbl>
              <c:idx val="0"/>
              <c:tx>
                <c:rich>
                  <a:bodyPr/>
                  <a:lstStyle/>
                  <a:p>
                    <a:fld id="{EEF39245-4146-426D-9907-1B62994B754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FE0B-438E-97E4-EF105C726FAF}"/>
                </c:ext>
              </c:extLst>
            </c:dLbl>
            <c:dLbl>
              <c:idx val="1"/>
              <c:tx>
                <c:rich>
                  <a:bodyPr/>
                  <a:lstStyle/>
                  <a:p>
                    <a:fld id="{22D6B199-FEE3-4386-86D7-E9B986DB783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FE0B-438E-97E4-EF105C726FAF}"/>
                </c:ext>
              </c:extLst>
            </c:dLbl>
            <c:dLbl>
              <c:idx val="2"/>
              <c:tx>
                <c:rich>
                  <a:bodyPr/>
                  <a:lstStyle/>
                  <a:p>
                    <a:fld id="{28E2CCEE-08B3-46F5-82C1-4F9E94CFBC0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FE0B-438E-97E4-EF105C726FAF}"/>
                </c:ext>
              </c:extLst>
            </c:dLbl>
            <c:dLbl>
              <c:idx val="3"/>
              <c:tx>
                <c:rich>
                  <a:bodyPr/>
                  <a:lstStyle/>
                  <a:p>
                    <a:fld id="{7B4D3548-8B6A-4DF9-80B7-3463B1B12A8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FE0B-438E-97E4-EF105C726FAF}"/>
                </c:ext>
              </c:extLst>
            </c:dLbl>
            <c:dLbl>
              <c:idx val="4"/>
              <c:tx>
                <c:rich>
                  <a:bodyPr/>
                  <a:lstStyle/>
                  <a:p>
                    <a:fld id="{FC51896C-457C-4557-8E9A-9F670D581B6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FE0B-438E-97E4-EF105C726FAF}"/>
                </c:ext>
              </c:extLst>
            </c:dLbl>
            <c:dLbl>
              <c:idx val="5"/>
              <c:tx>
                <c:rich>
                  <a:bodyPr/>
                  <a:lstStyle/>
                  <a:p>
                    <a:fld id="{DAA46384-00A5-487F-BC13-12C8DC40867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FE0B-438E-97E4-EF105C726FAF}"/>
                </c:ext>
              </c:extLst>
            </c:dLbl>
            <c:dLbl>
              <c:idx val="6"/>
              <c:tx>
                <c:rich>
                  <a:bodyPr/>
                  <a:lstStyle/>
                  <a:p>
                    <a:fld id="{7E7BC96B-56E5-483A-B844-F14E6531822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FE0B-438E-97E4-EF105C726FAF}"/>
                </c:ext>
              </c:extLst>
            </c:dLbl>
            <c:dLbl>
              <c:idx val="7"/>
              <c:tx>
                <c:rich>
                  <a:bodyPr/>
                  <a:lstStyle/>
                  <a:p>
                    <a:fld id="{FB55D650-36EE-480E-B872-AFC173BEC45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FE0B-438E-97E4-EF105C726FAF}"/>
                </c:ext>
              </c:extLst>
            </c:dLbl>
            <c:dLbl>
              <c:idx val="8"/>
              <c:tx>
                <c:rich>
                  <a:bodyPr/>
                  <a:lstStyle/>
                  <a:p>
                    <a:fld id="{FB223F4E-18AD-4DDC-A2A4-25CCC05004A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FE0B-438E-97E4-EF105C726FAF}"/>
                </c:ext>
              </c:extLst>
            </c:dLbl>
            <c:dLbl>
              <c:idx val="9"/>
              <c:tx>
                <c:rich>
                  <a:bodyPr/>
                  <a:lstStyle/>
                  <a:p>
                    <a:fld id="{B9D6E973-CE5D-4906-B23E-954144E31D3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FE0B-438E-97E4-EF105C726FAF}"/>
                </c:ext>
              </c:extLst>
            </c:dLbl>
            <c:dLbl>
              <c:idx val="10"/>
              <c:tx>
                <c:rich>
                  <a:bodyPr/>
                  <a:lstStyle/>
                  <a:p>
                    <a:fld id="{B0617B4A-7C76-496B-8E3D-68CF3FCDAC4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FE0B-438E-97E4-EF105C726FAF}"/>
                </c:ext>
              </c:extLst>
            </c:dLbl>
            <c:dLbl>
              <c:idx val="11"/>
              <c:tx>
                <c:rich>
                  <a:bodyPr/>
                  <a:lstStyle/>
                  <a:p>
                    <a:fld id="{5F2A60E2-E9B4-459F-A4AC-6A929B7B60D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FE0B-438E-97E4-EF105C726FAF}"/>
                </c:ext>
              </c:extLst>
            </c:dLbl>
            <c:dLbl>
              <c:idx val="12"/>
              <c:tx>
                <c:rich>
                  <a:bodyPr/>
                  <a:lstStyle/>
                  <a:p>
                    <a:fld id="{50E91F9B-AF8A-4C87-B96A-0F8FA05C7DE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FE0B-438E-97E4-EF105C726FAF}"/>
                </c:ext>
              </c:extLst>
            </c:dLbl>
            <c:dLbl>
              <c:idx val="13"/>
              <c:tx>
                <c:rich>
                  <a:bodyPr/>
                  <a:lstStyle/>
                  <a:p>
                    <a:fld id="{FBB0729C-A0E5-41DD-B403-AFE9BF75D08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FE0B-438E-97E4-EF105C726FAF}"/>
                </c:ext>
              </c:extLst>
            </c:dLbl>
            <c:dLbl>
              <c:idx val="14"/>
              <c:tx>
                <c:rich>
                  <a:bodyPr/>
                  <a:lstStyle/>
                  <a:p>
                    <a:fld id="{69E8348B-5707-4A55-B208-B1ADA3FA72F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FE0B-438E-97E4-EF105C726FAF}"/>
                </c:ext>
              </c:extLst>
            </c:dLbl>
            <c:dLbl>
              <c:idx val="15"/>
              <c:tx>
                <c:rich>
                  <a:bodyPr/>
                  <a:lstStyle/>
                  <a:p>
                    <a:fld id="{9EAA547B-3517-4D08-AC40-457BB4A0C8C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FE0B-438E-97E4-EF105C726FAF}"/>
                </c:ext>
              </c:extLst>
            </c:dLbl>
            <c:dLbl>
              <c:idx val="16"/>
              <c:tx>
                <c:rich>
                  <a:bodyPr/>
                  <a:lstStyle/>
                  <a:p>
                    <a:fld id="{0AAD85FC-5D24-43CD-8CD9-46259474E37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FE0B-438E-97E4-EF105C726FAF}"/>
                </c:ext>
              </c:extLst>
            </c:dLbl>
            <c:dLbl>
              <c:idx val="17"/>
              <c:tx>
                <c:rich>
                  <a:bodyPr/>
                  <a:lstStyle/>
                  <a:p>
                    <a:fld id="{81FAEFA7-9850-4229-96CB-11CAACFCEF6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FE0B-438E-97E4-EF105C726FAF}"/>
                </c:ext>
              </c:extLst>
            </c:dLbl>
            <c:dLbl>
              <c:idx val="18"/>
              <c:tx>
                <c:rich>
                  <a:bodyPr/>
                  <a:lstStyle/>
                  <a:p>
                    <a:fld id="{65012A49-7E16-4EED-A555-26F24EB4373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FE0B-438E-97E4-EF105C726FAF}"/>
                </c:ext>
              </c:extLst>
            </c:dLbl>
            <c:dLbl>
              <c:idx val="19"/>
              <c:tx>
                <c:rich>
                  <a:bodyPr/>
                  <a:lstStyle/>
                  <a:p>
                    <a:fld id="{41506462-064F-4C4E-A4DE-CAC51606438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FE0B-438E-97E4-EF105C726FAF}"/>
                </c:ext>
              </c:extLst>
            </c:dLbl>
            <c:dLbl>
              <c:idx val="20"/>
              <c:tx>
                <c:rich>
                  <a:bodyPr/>
                  <a:lstStyle/>
                  <a:p>
                    <a:fld id="{12E0C442-E82D-49F6-8323-C5F7494C7BF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FE0B-438E-97E4-EF105C726FAF}"/>
                </c:ext>
              </c:extLst>
            </c:dLbl>
            <c:dLbl>
              <c:idx val="21"/>
              <c:tx>
                <c:rich>
                  <a:bodyPr/>
                  <a:lstStyle/>
                  <a:p>
                    <a:fld id="{EF688CA6-AA8B-4B39-BB93-F2BBE454E51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FE0B-438E-97E4-EF105C726FAF}"/>
                </c:ext>
              </c:extLst>
            </c:dLbl>
            <c:dLbl>
              <c:idx val="22"/>
              <c:tx>
                <c:rich>
                  <a:bodyPr/>
                  <a:lstStyle/>
                  <a:p>
                    <a:fld id="{221E8447-EE08-4EAB-AF8A-F79D4FCF4C6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FE0B-438E-97E4-EF105C726FAF}"/>
                </c:ext>
              </c:extLst>
            </c:dLbl>
            <c:dLbl>
              <c:idx val="23"/>
              <c:tx>
                <c:rich>
                  <a:bodyPr/>
                  <a:lstStyle/>
                  <a:p>
                    <a:fld id="{59379CCB-67DB-4239-AFCF-78A632A81D0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FE0B-438E-97E4-EF105C726FAF}"/>
                </c:ext>
              </c:extLst>
            </c:dLbl>
            <c:dLbl>
              <c:idx val="24"/>
              <c:tx>
                <c:rich>
                  <a:bodyPr/>
                  <a:lstStyle/>
                  <a:p>
                    <a:fld id="{EDC7562F-CB33-4350-B4BE-199C4E3840B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FE0B-438E-97E4-EF105C726FAF}"/>
                </c:ext>
              </c:extLst>
            </c:dLbl>
            <c:dLbl>
              <c:idx val="25"/>
              <c:tx>
                <c:rich>
                  <a:bodyPr/>
                  <a:lstStyle/>
                  <a:p>
                    <a:fld id="{D00D8F9D-67D7-4631-B7FB-8FEAF00F9A9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FE0B-438E-97E4-EF105C726FAF}"/>
                </c:ext>
              </c:extLst>
            </c:dLbl>
            <c:dLbl>
              <c:idx val="26"/>
              <c:tx>
                <c:rich>
                  <a:bodyPr/>
                  <a:lstStyle/>
                  <a:p>
                    <a:fld id="{2A42F08F-C8B0-4B58-99E5-7EAE6B1962E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FE0B-438E-97E4-EF105C726FAF}"/>
                </c:ext>
              </c:extLst>
            </c:dLbl>
            <c:dLbl>
              <c:idx val="27"/>
              <c:tx>
                <c:rich>
                  <a:bodyPr/>
                  <a:lstStyle/>
                  <a:p>
                    <a:fld id="{AC3BB14D-8CBA-41C6-A397-2054DC55BE9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FE0B-438E-97E4-EF105C726FAF}"/>
                </c:ext>
              </c:extLst>
            </c:dLbl>
            <c:dLbl>
              <c:idx val="28"/>
              <c:tx>
                <c:rich>
                  <a:bodyPr/>
                  <a:lstStyle/>
                  <a:p>
                    <a:fld id="{7EDDD60C-E9E8-48A5-AD9D-8D2264C5C21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4-FE0B-438E-97E4-EF105C726FAF}"/>
                </c:ext>
              </c:extLst>
            </c:dLbl>
            <c:dLbl>
              <c:idx val="29"/>
              <c:tx>
                <c:rich>
                  <a:bodyPr/>
                  <a:lstStyle/>
                  <a:p>
                    <a:fld id="{9E9B8225-7145-4DCF-8010-392A2A39F76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FE0B-438E-97E4-EF105C726FAF}"/>
                </c:ext>
              </c:extLst>
            </c:dLbl>
            <c:dLbl>
              <c:idx val="30"/>
              <c:tx>
                <c:rich>
                  <a:bodyPr/>
                  <a:lstStyle/>
                  <a:p>
                    <a:fld id="{F22A1600-2CE6-43B7-B5DC-188BB829785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FE0B-438E-97E4-EF105C726FAF}"/>
                </c:ext>
              </c:extLst>
            </c:dLbl>
            <c:dLbl>
              <c:idx val="31"/>
              <c:tx>
                <c:rich>
                  <a:bodyPr/>
                  <a:lstStyle/>
                  <a:p>
                    <a:fld id="{559F8B43-FDAB-4E69-9602-28E444E8EFB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7-FE0B-438E-97E4-EF105C726FAF}"/>
                </c:ext>
              </c:extLst>
            </c:dLbl>
            <c:dLbl>
              <c:idx val="32"/>
              <c:tx>
                <c:rich>
                  <a:bodyPr/>
                  <a:lstStyle/>
                  <a:p>
                    <a:fld id="{16023C00-201B-49D9-A51D-40B69CA5D86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FE0B-438E-97E4-EF105C726FAF}"/>
                </c:ext>
              </c:extLst>
            </c:dLbl>
            <c:dLbl>
              <c:idx val="33"/>
              <c:tx>
                <c:rich>
                  <a:bodyPr/>
                  <a:lstStyle/>
                  <a:p>
                    <a:fld id="{FC7C2B0B-02C8-4D4A-9133-00E437C0DA9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FE0B-438E-97E4-EF105C726FAF}"/>
                </c:ext>
              </c:extLst>
            </c:dLbl>
            <c:dLbl>
              <c:idx val="34"/>
              <c:tx>
                <c:rich>
                  <a:bodyPr/>
                  <a:lstStyle/>
                  <a:p>
                    <a:fld id="{99783AB3-5F17-492D-90C1-DB3A7FF6C60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A-FE0B-438E-97E4-EF105C726FAF}"/>
                </c:ext>
              </c:extLst>
            </c:dLbl>
            <c:dLbl>
              <c:idx val="35"/>
              <c:tx>
                <c:rich>
                  <a:bodyPr/>
                  <a:lstStyle/>
                  <a:p>
                    <a:fld id="{80172ECB-8646-468A-BBF5-D8F76AD8841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FE0B-438E-97E4-EF105C726FAF}"/>
                </c:ext>
              </c:extLst>
            </c:dLbl>
            <c:dLbl>
              <c:idx val="36"/>
              <c:tx>
                <c:rich>
                  <a:bodyPr/>
                  <a:lstStyle/>
                  <a:p>
                    <a:fld id="{A30F317B-4D5D-4202-B243-9A0CBE74468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C-FE0B-438E-97E4-EF105C726FAF}"/>
                </c:ext>
              </c:extLst>
            </c:dLbl>
            <c:dLbl>
              <c:idx val="37"/>
              <c:tx>
                <c:rich>
                  <a:bodyPr/>
                  <a:lstStyle/>
                  <a:p>
                    <a:fld id="{CB3B34BD-1724-4613-9CF0-18637C3DFB8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D-FE0B-438E-97E4-EF105C726FAF}"/>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'BoP_izvoz usluga'!$A$90:$A$127</c:f>
              <c:numCache>
                <c:formatCode>yyyy</c:formatCode>
                <c:ptCount val="38"/>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numCache>
            </c:numRef>
          </c:cat>
          <c:val>
            <c:numRef>
              <c:f>'BoP_izvoz usluga'!$W$90:$W$127</c:f>
              <c:numCache>
                <c:formatCode>General</c:formatCode>
                <c:ptCount val="38"/>
                <c:pt idx="0">
                  <c:v>40</c:v>
                </c:pt>
                <c:pt idx="1">
                  <c:v>40</c:v>
                </c:pt>
                <c:pt idx="2">
                  <c:v>40</c:v>
                </c:pt>
                <c:pt idx="3">
                  <c:v>40</c:v>
                </c:pt>
                <c:pt idx="4">
                  <c:v>40</c:v>
                </c:pt>
                <c:pt idx="5">
                  <c:v>40</c:v>
                </c:pt>
                <c:pt idx="6">
                  <c:v>40</c:v>
                </c:pt>
                <c:pt idx="7">
                  <c:v>40</c:v>
                </c:pt>
                <c:pt idx="8">
                  <c:v>40</c:v>
                </c:pt>
                <c:pt idx="9">
                  <c:v>40</c:v>
                </c:pt>
                <c:pt idx="10">
                  <c:v>40</c:v>
                </c:pt>
                <c:pt idx="11">
                  <c:v>40</c:v>
                </c:pt>
                <c:pt idx="12">
                  <c:v>40</c:v>
                </c:pt>
                <c:pt idx="13">
                  <c:v>40</c:v>
                </c:pt>
                <c:pt idx="14">
                  <c:v>40</c:v>
                </c:pt>
                <c:pt idx="15">
                  <c:v>40</c:v>
                </c:pt>
                <c:pt idx="16">
                  <c:v>40</c:v>
                </c:pt>
                <c:pt idx="17">
                  <c:v>40</c:v>
                </c:pt>
                <c:pt idx="18">
                  <c:v>40</c:v>
                </c:pt>
                <c:pt idx="19">
                  <c:v>40</c:v>
                </c:pt>
                <c:pt idx="20">
                  <c:v>40</c:v>
                </c:pt>
                <c:pt idx="21">
                  <c:v>40</c:v>
                </c:pt>
                <c:pt idx="22">
                  <c:v>40</c:v>
                </c:pt>
                <c:pt idx="23">
                  <c:v>40</c:v>
                </c:pt>
                <c:pt idx="24">
                  <c:v>40</c:v>
                </c:pt>
                <c:pt idx="25">
                  <c:v>40</c:v>
                </c:pt>
                <c:pt idx="26">
                  <c:v>40</c:v>
                </c:pt>
                <c:pt idx="27">
                  <c:v>40</c:v>
                </c:pt>
                <c:pt idx="28">
                  <c:v>40</c:v>
                </c:pt>
                <c:pt idx="29">
                  <c:v>40</c:v>
                </c:pt>
                <c:pt idx="30">
                  <c:v>40</c:v>
                </c:pt>
                <c:pt idx="31">
                  <c:v>40</c:v>
                </c:pt>
                <c:pt idx="32">
                  <c:v>40</c:v>
                </c:pt>
                <c:pt idx="33">
                  <c:v>40</c:v>
                </c:pt>
                <c:pt idx="34">
                  <c:v>40</c:v>
                </c:pt>
                <c:pt idx="35">
                  <c:v>40</c:v>
                </c:pt>
                <c:pt idx="36">
                  <c:v>40</c:v>
                </c:pt>
                <c:pt idx="37">
                  <c:v>40</c:v>
                </c:pt>
              </c:numCache>
            </c:numRef>
          </c:val>
          <c:smooth val="0"/>
          <c:extLst>
            <c:ext xmlns:c15="http://schemas.microsoft.com/office/drawing/2012/chart" uri="{02D57815-91ED-43cb-92C2-25804820EDAC}">
              <c15:datalabelsRange>
                <c15:f>'BoP_izvoz usluga'!$C$90:$C$127</c15:f>
                <c15:dlblRangeCache>
                  <c:ptCount val="3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15:dlblRangeCache>
              </c15:datalabelsRange>
            </c:ext>
            <c:ext xmlns:c16="http://schemas.microsoft.com/office/drawing/2014/chart" uri="{C3380CC4-5D6E-409C-BE32-E72D297353CC}">
              <c16:uniqueId val="{0000002E-FE0B-438E-97E4-EF105C726FAF}"/>
            </c:ext>
          </c:extLst>
        </c:ser>
        <c:dLbls>
          <c:showLegendKey val="0"/>
          <c:showVal val="0"/>
          <c:showCatName val="0"/>
          <c:showSerName val="0"/>
          <c:showPercent val="0"/>
          <c:showBubbleSize val="0"/>
        </c:dLbls>
        <c:smooth val="0"/>
        <c:axId val="1828932656"/>
        <c:axId val="1828929936"/>
      </c:lineChart>
      <c:dateAx>
        <c:axId val="1828932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1828929936"/>
        <c:crosses val="autoZero"/>
        <c:auto val="1"/>
        <c:lblOffset val="0"/>
        <c:baseTimeUnit val="months"/>
      </c:dateAx>
      <c:valAx>
        <c:axId val="1828929936"/>
        <c:scaling>
          <c:orientation val="minMax"/>
          <c:max val="140"/>
          <c:min val="4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28932656"/>
        <c:crosses val="autoZero"/>
        <c:crossBetween val="midCat"/>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3.9500937320235463E-2"/>
          <c:w val="0.86702970650144162"/>
          <c:h val="0.84243318318318317"/>
        </c:manualLayout>
      </c:layout>
      <c:lineChart>
        <c:grouping val="standard"/>
        <c:varyColors val="0"/>
        <c:ser>
          <c:idx val="0"/>
          <c:order val="0"/>
          <c:tx>
            <c:strRef>
              <c:f>'BoP_izvoz usluga'!$E$5</c:f>
              <c:strCache>
                <c:ptCount val="1"/>
                <c:pt idx="0">
                  <c:v>y</c:v>
                </c:pt>
              </c:strCache>
            </c:strRef>
          </c:tx>
          <c:spPr>
            <a:ln w="12700" cap="rnd">
              <a:solidFill>
                <a:srgbClr val="7F3F98"/>
              </a:solidFill>
              <a:prstDash val="sysDash"/>
              <a:round/>
            </a:ln>
            <a:effectLst/>
          </c:spPr>
          <c:marker>
            <c:symbol val="none"/>
          </c:marker>
          <c:cat>
            <c:numRef>
              <c:f>'BoP_izvoz usluga'!$A$90:$A$127</c:f>
              <c:numCache>
                <c:formatCode>yyyy</c:formatCode>
                <c:ptCount val="38"/>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numCache>
            </c:numRef>
          </c:cat>
          <c:val>
            <c:numRef>
              <c:f>'BoP_izvoz usluga'!$E$90:$E$127</c:f>
              <c:numCache>
                <c:formatCode>0.0</c:formatCode>
                <c:ptCount val="38"/>
                <c:pt idx="0">
                  <c:v>92.320062565637954</c:v>
                </c:pt>
                <c:pt idx="1">
                  <c:v>84.407079367538373</c:v>
                </c:pt>
                <c:pt idx="2">
                  <c:v>88.519807166898417</c:v>
                </c:pt>
                <c:pt idx="3">
                  <c:v>92.394253974939147</c:v>
                </c:pt>
                <c:pt idx="4">
                  <c:v>107.76542144240516</c:v>
                </c:pt>
                <c:pt idx="5">
                  <c:v>97.081997594126463</c:v>
                </c:pt>
                <c:pt idx="6">
                  <c:v>121.94846347644361</c:v>
                </c:pt>
                <c:pt idx="7">
                  <c:v>116.73322227133546</c:v>
                </c:pt>
                <c:pt idx="8">
                  <c:v>106.60111574117231</c:v>
                </c:pt>
                <c:pt idx="9">
                  <c:v>115.63800100195265</c:v>
                </c:pt>
                <c:pt idx="10">
                  <c:v>100.08359064556154</c:v>
                </c:pt>
                <c:pt idx="11">
                  <c:v>104.70742572350207</c:v>
                </c:pt>
                <c:pt idx="12">
                  <c:v>94.841836295280785</c:v>
                </c:pt>
                <c:pt idx="13">
                  <c:v>86.833122879784369</c:v>
                </c:pt>
                <c:pt idx="14">
                  <c:v>83.659797077484825</c:v>
                </c:pt>
                <c:pt idx="15">
                  <c:v>64.45151216562823</c:v>
                </c:pt>
                <c:pt idx="16">
                  <c:v>55.480978445526453</c:v>
                </c:pt>
                <c:pt idx="17">
                  <c:v>58.536815211920491</c:v>
                </c:pt>
                <c:pt idx="18">
                  <c:v>68.619086735104077</c:v>
                </c:pt>
                <c:pt idx="19">
                  <c:v>68.72353270431779</c:v>
                </c:pt>
                <c:pt idx="20">
                  <c:v>79.403087126865302</c:v>
                </c:pt>
                <c:pt idx="21">
                  <c:v>82.582006144829208</c:v>
                </c:pt>
                <c:pt idx="22">
                  <c:v>88.723616781942823</c:v>
                </c:pt>
                <c:pt idx="23">
                  <c:v>95.01727392739177</c:v>
                </c:pt>
                <c:pt idx="24">
                  <c:v>73.881844872890284</c:v>
                </c:pt>
                <c:pt idx="25">
                  <c:v>74.543504287196683</c:v>
                </c:pt>
                <c:pt idx="26">
                  <c:v>89.867850399329456</c:v>
                </c:pt>
                <c:pt idx="27">
                  <c:v>84.080173449434653</c:v>
                </c:pt>
                <c:pt idx="28">
                  <c:v>91.312805128583307</c:v>
                </c:pt>
                <c:pt idx="29">
                  <c:v>111.43273407834432</c:v>
                </c:pt>
                <c:pt idx="30">
                  <c:v>106.20223105744589</c:v>
                </c:pt>
                <c:pt idx="31">
                  <c:v>103.88487548611974</c:v>
                </c:pt>
                <c:pt idx="32">
                  <c:v>101.4497930020039</c:v>
                </c:pt>
                <c:pt idx="33">
                  <c:v>103.17098217117433</c:v>
                </c:pt>
                <c:pt idx="34">
                  <c:v>127.54224831719286</c:v>
                </c:pt>
                <c:pt idx="35">
                  <c:v>132.63095775028461</c:v>
                </c:pt>
                <c:pt idx="36">
                  <c:v>94.821843665525336</c:v>
                </c:pt>
                <c:pt idx="37">
                  <c:v>100.25969879290726</c:v>
                </c:pt>
              </c:numCache>
            </c:numRef>
          </c:val>
          <c:smooth val="0"/>
          <c:extLst>
            <c:ext xmlns:c16="http://schemas.microsoft.com/office/drawing/2014/chart" uri="{C3380CC4-5D6E-409C-BE32-E72D297353CC}">
              <c16:uniqueId val="{00000000-4BEF-46BD-BB63-2AEF303D61B9}"/>
            </c:ext>
          </c:extLst>
        </c:ser>
        <c:ser>
          <c:idx val="1"/>
          <c:order val="1"/>
          <c:tx>
            <c:strRef>
              <c:f>'BoP_izvoz usluga'!$F$5</c:f>
              <c:strCache>
                <c:ptCount val="1"/>
                <c:pt idx="0">
                  <c:v>sa</c:v>
                </c:pt>
              </c:strCache>
            </c:strRef>
          </c:tx>
          <c:spPr>
            <a:ln w="22225" cap="rnd">
              <a:solidFill>
                <a:srgbClr val="25AAE1"/>
              </a:solidFill>
              <a:round/>
            </a:ln>
            <a:effectLst/>
          </c:spPr>
          <c:marker>
            <c:symbol val="none"/>
          </c:marker>
          <c:cat>
            <c:numRef>
              <c:f>'BoP_izvoz usluga'!$A$90:$A$127</c:f>
              <c:numCache>
                <c:formatCode>yyyy</c:formatCode>
                <c:ptCount val="38"/>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numCache>
            </c:numRef>
          </c:cat>
          <c:val>
            <c:numRef>
              <c:f>'BoP_izvoz usluga'!$F$90:$F$127</c:f>
              <c:numCache>
                <c:formatCode>0.0</c:formatCode>
                <c:ptCount val="38"/>
                <c:pt idx="0">
                  <c:v>105.41430880361841</c:v>
                </c:pt>
                <c:pt idx="1">
                  <c:v>98.401809885951849</c:v>
                </c:pt>
                <c:pt idx="2">
                  <c:v>96.97677927069023</c:v>
                </c:pt>
                <c:pt idx="3">
                  <c:v>95.322055825124323</c:v>
                </c:pt>
                <c:pt idx="4">
                  <c:v>106.7384834586443</c:v>
                </c:pt>
                <c:pt idx="5">
                  <c:v>103.15791506547066</c:v>
                </c:pt>
                <c:pt idx="6">
                  <c:v>109.00526681562941</c:v>
                </c:pt>
                <c:pt idx="7">
                  <c:v>109.1267497537446</c:v>
                </c:pt>
                <c:pt idx="8">
                  <c:v>104.01123833129732</c:v>
                </c:pt>
                <c:pt idx="9">
                  <c:v>103.42017360789728</c:v>
                </c:pt>
                <c:pt idx="10">
                  <c:v>99.662864496656667</c:v>
                </c:pt>
                <c:pt idx="11">
                  <c:v>96.354519650864844</c:v>
                </c:pt>
                <c:pt idx="12">
                  <c:v>108.25902352333712</c:v>
                </c:pt>
                <c:pt idx="13">
                  <c:v>91.983360260716424</c:v>
                </c:pt>
                <c:pt idx="14">
                  <c:v>88.784789810899923</c:v>
                </c:pt>
                <c:pt idx="15">
                  <c:v>67.542274105876302</c:v>
                </c:pt>
                <c:pt idx="16">
                  <c:v>57.965355243205565</c:v>
                </c:pt>
                <c:pt idx="17">
                  <c:v>58.409919079027603</c:v>
                </c:pt>
                <c:pt idx="18">
                  <c:v>61.405136423702253</c:v>
                </c:pt>
                <c:pt idx="19">
                  <c:v>67.458487983252084</c:v>
                </c:pt>
                <c:pt idx="20">
                  <c:v>74.2271453594402</c:v>
                </c:pt>
                <c:pt idx="21">
                  <c:v>77.227043886589996</c:v>
                </c:pt>
                <c:pt idx="22">
                  <c:v>87.7284493328347</c:v>
                </c:pt>
                <c:pt idx="23">
                  <c:v>82.403928639115549</c:v>
                </c:pt>
                <c:pt idx="24">
                  <c:v>86.17636189105022</c:v>
                </c:pt>
                <c:pt idx="25">
                  <c:v>87.859691453860776</c:v>
                </c:pt>
                <c:pt idx="26">
                  <c:v>92.849910832628694</c:v>
                </c:pt>
                <c:pt idx="27">
                  <c:v>88.972450884233623</c:v>
                </c:pt>
                <c:pt idx="28">
                  <c:v>93.409613851022343</c:v>
                </c:pt>
                <c:pt idx="29">
                  <c:v>111.07345540320128</c:v>
                </c:pt>
                <c:pt idx="30">
                  <c:v>99.328682851865594</c:v>
                </c:pt>
                <c:pt idx="31">
                  <c:v>97.355997199171895</c:v>
                </c:pt>
                <c:pt idx="32">
                  <c:v>96.570576643039502</c:v>
                </c:pt>
                <c:pt idx="33">
                  <c:v>99.038648197397421</c:v>
                </c:pt>
                <c:pt idx="34">
                  <c:v>119.43454240383431</c:v>
                </c:pt>
                <c:pt idx="35">
                  <c:v>114.76905850420727</c:v>
                </c:pt>
                <c:pt idx="36">
                  <c:v>108.61523510889508</c:v>
                </c:pt>
                <c:pt idx="37">
                  <c:v>118.3442677951406</c:v>
                </c:pt>
              </c:numCache>
            </c:numRef>
          </c:val>
          <c:smooth val="0"/>
          <c:extLst>
            <c:ext xmlns:c16="http://schemas.microsoft.com/office/drawing/2014/chart" uri="{C3380CC4-5D6E-409C-BE32-E72D297353CC}">
              <c16:uniqueId val="{00000001-4BEF-46BD-BB63-2AEF303D61B9}"/>
            </c:ext>
          </c:extLst>
        </c:ser>
        <c:ser>
          <c:idx val="2"/>
          <c:order val="2"/>
          <c:tx>
            <c:strRef>
              <c:f>'BoP_izvoz usluga'!$G$5</c:f>
              <c:strCache>
                <c:ptCount val="1"/>
                <c:pt idx="0">
                  <c:v>t</c:v>
                </c:pt>
              </c:strCache>
            </c:strRef>
          </c:tx>
          <c:spPr>
            <a:ln w="25400" cap="rnd">
              <a:solidFill>
                <a:srgbClr val="FF0000"/>
              </a:solidFill>
              <a:round/>
            </a:ln>
            <a:effectLst/>
          </c:spPr>
          <c:marker>
            <c:symbol val="none"/>
          </c:marker>
          <c:cat>
            <c:numRef>
              <c:f>'BoP_izvoz usluga'!$A$90:$A$127</c:f>
              <c:numCache>
                <c:formatCode>yyyy</c:formatCode>
                <c:ptCount val="38"/>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numCache>
            </c:numRef>
          </c:cat>
          <c:val>
            <c:numRef>
              <c:f>'BoP_izvoz usluga'!$G$90:$G$127</c:f>
              <c:numCache>
                <c:formatCode>0.0</c:formatCode>
                <c:ptCount val="38"/>
                <c:pt idx="0">
                  <c:v>95.580961928484555</c:v>
                </c:pt>
                <c:pt idx="1">
                  <c:v>96.836056588922148</c:v>
                </c:pt>
                <c:pt idx="2">
                  <c:v>98.825236946114387</c:v>
                </c:pt>
                <c:pt idx="3">
                  <c:v>101.25708323182891</c:v>
                </c:pt>
                <c:pt idx="4">
                  <c:v>103.68134554866789</c:v>
                </c:pt>
                <c:pt idx="5">
                  <c:v>105.68160436345924</c:v>
                </c:pt>
                <c:pt idx="6">
                  <c:v>106.81874458558745</c:v>
                </c:pt>
                <c:pt idx="7">
                  <c:v>106.76130040395547</c:v>
                </c:pt>
                <c:pt idx="8">
                  <c:v>105.42682564012544</c:v>
                </c:pt>
                <c:pt idx="9">
                  <c:v>103.07218828243992</c:v>
                </c:pt>
                <c:pt idx="10">
                  <c:v>100.2651111484178</c:v>
                </c:pt>
                <c:pt idx="11">
                  <c:v>97.343911736602422</c:v>
                </c:pt>
                <c:pt idx="12">
                  <c:v>94.424392361687865</c:v>
                </c:pt>
                <c:pt idx="13">
                  <c:v>91.631201999436882</c:v>
                </c:pt>
                <c:pt idx="14">
                  <c:v>88.987243391286242</c:v>
                </c:pt>
                <c:pt idx="15">
                  <c:v>59.565319924035457</c:v>
                </c:pt>
                <c:pt idx="16">
                  <c:v>59.341675554199718</c:v>
                </c:pt>
                <c:pt idx="17">
                  <c:v>60.607598544609353</c:v>
                </c:pt>
                <c:pt idx="18">
                  <c:v>63.425331124350791</c:v>
                </c:pt>
                <c:pt idx="19">
                  <c:v>67.447903036873427</c:v>
                </c:pt>
                <c:pt idx="20">
                  <c:v>71.966511230551475</c:v>
                </c:pt>
                <c:pt idx="21">
                  <c:v>76.411018988765747</c:v>
                </c:pt>
                <c:pt idx="22">
                  <c:v>80.350680243845517</c:v>
                </c:pt>
                <c:pt idx="23">
                  <c:v>83.534772769277936</c:v>
                </c:pt>
                <c:pt idx="24">
                  <c:v>86.136437896789673</c:v>
                </c:pt>
                <c:pt idx="25">
                  <c:v>88.50409705648768</c:v>
                </c:pt>
                <c:pt idx="26">
                  <c:v>90.875540167754593</c:v>
                </c:pt>
                <c:pt idx="27">
                  <c:v>93.117318710902808</c:v>
                </c:pt>
                <c:pt idx="28">
                  <c:v>94.864668141282806</c:v>
                </c:pt>
                <c:pt idx="29">
                  <c:v>95.965926697930698</c:v>
                </c:pt>
                <c:pt idx="30">
                  <c:v>96.855224526010474</c:v>
                </c:pt>
                <c:pt idx="31">
                  <c:v>97.924466079768237</c:v>
                </c:pt>
                <c:pt idx="32">
                  <c:v>99.545221779118862</c:v>
                </c:pt>
                <c:pt idx="33">
                  <c:v>101.96174828648502</c:v>
                </c:pt>
                <c:pt idx="34">
                  <c:v>105.18931469122347</c:v>
                </c:pt>
                <c:pt idx="35">
                  <c:v>108.9965033028551</c:v>
                </c:pt>
                <c:pt idx="36">
                  <c:v>112.98130464048651</c:v>
                </c:pt>
                <c:pt idx="37">
                  <c:v>116.71009945003277</c:v>
                </c:pt>
              </c:numCache>
            </c:numRef>
          </c:val>
          <c:smooth val="0"/>
          <c:extLst>
            <c:ext xmlns:c16="http://schemas.microsoft.com/office/drawing/2014/chart" uri="{C3380CC4-5D6E-409C-BE32-E72D297353CC}">
              <c16:uniqueId val="{00000002-4BEF-46BD-BB63-2AEF303D61B9}"/>
            </c:ext>
          </c:extLst>
        </c:ser>
        <c:ser>
          <c:idx val="3"/>
          <c:order val="3"/>
          <c:tx>
            <c:strRef>
              <c:f>'BoP_izvoz usluga'!$H$5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7.97069444444444E-2"/>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BEF-46BD-BB63-2AEF303D61B9}"/>
                </c:ext>
              </c:extLst>
            </c:dLbl>
            <c:dLbl>
              <c:idx val="12"/>
              <c:layout>
                <c:manualLayout>
                  <c:x val="8.0908680555555473E-2"/>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BEF-46BD-BB63-2AEF303D61B9}"/>
                </c:ext>
              </c:extLst>
            </c:dLbl>
            <c:dLbl>
              <c:idx val="24"/>
              <c:layout>
                <c:manualLayout>
                  <c:x val="7.324479166666667E-2"/>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BEF-46BD-BB63-2AEF303D61B9}"/>
                </c:ext>
              </c:extLst>
            </c:dLbl>
            <c:dLbl>
              <c:idx val="36"/>
              <c:layout>
                <c:manualLayout>
                  <c:x val="-7.8479166666668276E-3"/>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BEF-46BD-BB63-2AEF303D61B9}"/>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'BoP_izvoz usluga'!$A$90:$A$127</c:f>
              <c:numCache>
                <c:formatCode>yyyy</c:formatCode>
                <c:ptCount val="38"/>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numCache>
            </c:numRef>
          </c:cat>
          <c:val>
            <c:numRef>
              <c:f>'BoP_izvoz usluga'!$H$90:$H$127</c:f>
              <c:numCache>
                <c:formatCode>General</c:formatCode>
                <c:ptCount val="38"/>
                <c:pt idx="0">
                  <c:v>40</c:v>
                </c:pt>
                <c:pt idx="12">
                  <c:v>40</c:v>
                </c:pt>
                <c:pt idx="24">
                  <c:v>40</c:v>
                </c:pt>
                <c:pt idx="36">
                  <c:v>40</c:v>
                </c:pt>
              </c:numCache>
            </c:numRef>
          </c:val>
          <c:smooth val="0"/>
          <c:extLst>
            <c:ext xmlns:c16="http://schemas.microsoft.com/office/drawing/2014/chart" uri="{C3380CC4-5D6E-409C-BE32-E72D297353CC}">
              <c16:uniqueId val="{00000007-4BEF-46BD-BB63-2AEF303D61B9}"/>
            </c:ext>
          </c:extLst>
        </c:ser>
        <c:ser>
          <c:idx val="4"/>
          <c:order val="4"/>
          <c:tx>
            <c:strRef>
              <c:f>'BoP_izvoz usluga'!$I$5</c:f>
              <c:strCache>
                <c:ptCount val="1"/>
                <c:pt idx="0">
                  <c:v>Series5</c:v>
                </c:pt>
              </c:strCache>
            </c:strRef>
          </c:tx>
          <c:spPr>
            <a:ln w="28575" cap="rnd">
              <a:noFill/>
              <a:round/>
            </a:ln>
            <a:effectLst/>
          </c:spPr>
          <c:marker>
            <c:symbol val="none"/>
          </c:marker>
          <c:dLbls>
            <c:dLbl>
              <c:idx val="0"/>
              <c:tx>
                <c:rich>
                  <a:bodyPr/>
                  <a:lstStyle/>
                  <a:p>
                    <a:fld id="{067C4E58-BCE5-421A-9EDB-4BE2D60082D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4BEF-46BD-BB63-2AEF303D61B9}"/>
                </c:ext>
              </c:extLst>
            </c:dLbl>
            <c:dLbl>
              <c:idx val="1"/>
              <c:tx>
                <c:rich>
                  <a:bodyPr/>
                  <a:lstStyle/>
                  <a:p>
                    <a:fld id="{15421C32-30DD-4870-B2F9-58B98C9AA48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4BEF-46BD-BB63-2AEF303D61B9}"/>
                </c:ext>
              </c:extLst>
            </c:dLbl>
            <c:dLbl>
              <c:idx val="2"/>
              <c:tx>
                <c:rich>
                  <a:bodyPr/>
                  <a:lstStyle/>
                  <a:p>
                    <a:fld id="{B2F17D3A-D349-4187-983D-D639901651B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4BEF-46BD-BB63-2AEF303D61B9}"/>
                </c:ext>
              </c:extLst>
            </c:dLbl>
            <c:dLbl>
              <c:idx val="3"/>
              <c:tx>
                <c:rich>
                  <a:bodyPr/>
                  <a:lstStyle/>
                  <a:p>
                    <a:fld id="{A493347F-761D-4362-93C2-BD81D09CD4E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4BEF-46BD-BB63-2AEF303D61B9}"/>
                </c:ext>
              </c:extLst>
            </c:dLbl>
            <c:dLbl>
              <c:idx val="4"/>
              <c:tx>
                <c:rich>
                  <a:bodyPr/>
                  <a:lstStyle/>
                  <a:p>
                    <a:fld id="{A5F318AE-756C-4255-855D-D102086B439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4BEF-46BD-BB63-2AEF303D61B9}"/>
                </c:ext>
              </c:extLst>
            </c:dLbl>
            <c:dLbl>
              <c:idx val="5"/>
              <c:tx>
                <c:rich>
                  <a:bodyPr/>
                  <a:lstStyle/>
                  <a:p>
                    <a:fld id="{AF280158-4442-4903-B976-4BC3F34114D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4BEF-46BD-BB63-2AEF303D61B9}"/>
                </c:ext>
              </c:extLst>
            </c:dLbl>
            <c:dLbl>
              <c:idx val="6"/>
              <c:tx>
                <c:rich>
                  <a:bodyPr/>
                  <a:lstStyle/>
                  <a:p>
                    <a:fld id="{E4289C8D-32F1-4B48-8C13-65B2B577745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4BEF-46BD-BB63-2AEF303D61B9}"/>
                </c:ext>
              </c:extLst>
            </c:dLbl>
            <c:dLbl>
              <c:idx val="7"/>
              <c:tx>
                <c:rich>
                  <a:bodyPr/>
                  <a:lstStyle/>
                  <a:p>
                    <a:fld id="{46B568B5-8717-4B51-A4DB-4D98D1FC000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4BEF-46BD-BB63-2AEF303D61B9}"/>
                </c:ext>
              </c:extLst>
            </c:dLbl>
            <c:dLbl>
              <c:idx val="8"/>
              <c:tx>
                <c:rich>
                  <a:bodyPr/>
                  <a:lstStyle/>
                  <a:p>
                    <a:fld id="{16E80464-DE38-476F-ADAF-45E1A803C8C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4BEF-46BD-BB63-2AEF303D61B9}"/>
                </c:ext>
              </c:extLst>
            </c:dLbl>
            <c:dLbl>
              <c:idx val="9"/>
              <c:tx>
                <c:rich>
                  <a:bodyPr/>
                  <a:lstStyle/>
                  <a:p>
                    <a:fld id="{C1E9AE5A-97AC-48BD-95AD-336FB50C235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4BEF-46BD-BB63-2AEF303D61B9}"/>
                </c:ext>
              </c:extLst>
            </c:dLbl>
            <c:dLbl>
              <c:idx val="10"/>
              <c:tx>
                <c:rich>
                  <a:bodyPr/>
                  <a:lstStyle/>
                  <a:p>
                    <a:fld id="{F14C4C9A-1E6E-4DD1-BD74-ECD70B343ED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4BEF-46BD-BB63-2AEF303D61B9}"/>
                </c:ext>
              </c:extLst>
            </c:dLbl>
            <c:dLbl>
              <c:idx val="11"/>
              <c:tx>
                <c:rich>
                  <a:bodyPr/>
                  <a:lstStyle/>
                  <a:p>
                    <a:fld id="{EC8DE37F-4959-42C8-B4DB-EC7CAA7A172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4BEF-46BD-BB63-2AEF303D61B9}"/>
                </c:ext>
              </c:extLst>
            </c:dLbl>
            <c:dLbl>
              <c:idx val="12"/>
              <c:tx>
                <c:rich>
                  <a:bodyPr/>
                  <a:lstStyle/>
                  <a:p>
                    <a:fld id="{13EF7BC0-FAB4-4C35-BE00-ED9AF46055F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4BEF-46BD-BB63-2AEF303D61B9}"/>
                </c:ext>
              </c:extLst>
            </c:dLbl>
            <c:dLbl>
              <c:idx val="13"/>
              <c:tx>
                <c:rich>
                  <a:bodyPr/>
                  <a:lstStyle/>
                  <a:p>
                    <a:fld id="{31A87FE1-7CF1-4D91-B3D8-C6CD20AD744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4BEF-46BD-BB63-2AEF303D61B9}"/>
                </c:ext>
              </c:extLst>
            </c:dLbl>
            <c:dLbl>
              <c:idx val="14"/>
              <c:tx>
                <c:rich>
                  <a:bodyPr/>
                  <a:lstStyle/>
                  <a:p>
                    <a:fld id="{4BB92A08-C776-46E2-A252-F174510A734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4BEF-46BD-BB63-2AEF303D61B9}"/>
                </c:ext>
              </c:extLst>
            </c:dLbl>
            <c:dLbl>
              <c:idx val="15"/>
              <c:tx>
                <c:rich>
                  <a:bodyPr/>
                  <a:lstStyle/>
                  <a:p>
                    <a:fld id="{9A621E0D-7C1E-4F66-8C82-48E276F04C3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4BEF-46BD-BB63-2AEF303D61B9}"/>
                </c:ext>
              </c:extLst>
            </c:dLbl>
            <c:dLbl>
              <c:idx val="16"/>
              <c:tx>
                <c:rich>
                  <a:bodyPr/>
                  <a:lstStyle/>
                  <a:p>
                    <a:fld id="{2095B379-6E1C-41E1-A31F-5E8079A92C2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4BEF-46BD-BB63-2AEF303D61B9}"/>
                </c:ext>
              </c:extLst>
            </c:dLbl>
            <c:dLbl>
              <c:idx val="17"/>
              <c:tx>
                <c:rich>
                  <a:bodyPr/>
                  <a:lstStyle/>
                  <a:p>
                    <a:fld id="{A31E42EE-AD64-443C-93ED-C6438041302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4BEF-46BD-BB63-2AEF303D61B9}"/>
                </c:ext>
              </c:extLst>
            </c:dLbl>
            <c:dLbl>
              <c:idx val="18"/>
              <c:tx>
                <c:rich>
                  <a:bodyPr/>
                  <a:lstStyle/>
                  <a:p>
                    <a:fld id="{7BB4A3AF-99B2-42BD-834C-7AF6C4A55BD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4BEF-46BD-BB63-2AEF303D61B9}"/>
                </c:ext>
              </c:extLst>
            </c:dLbl>
            <c:dLbl>
              <c:idx val="19"/>
              <c:tx>
                <c:rich>
                  <a:bodyPr/>
                  <a:lstStyle/>
                  <a:p>
                    <a:fld id="{EEA20D76-EDAC-41C2-B557-BB3059441EC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4BEF-46BD-BB63-2AEF303D61B9}"/>
                </c:ext>
              </c:extLst>
            </c:dLbl>
            <c:dLbl>
              <c:idx val="20"/>
              <c:tx>
                <c:rich>
                  <a:bodyPr/>
                  <a:lstStyle/>
                  <a:p>
                    <a:fld id="{54364F77-03EA-4A82-A9BE-8D94E6B08B4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4BEF-46BD-BB63-2AEF303D61B9}"/>
                </c:ext>
              </c:extLst>
            </c:dLbl>
            <c:dLbl>
              <c:idx val="21"/>
              <c:tx>
                <c:rich>
                  <a:bodyPr/>
                  <a:lstStyle/>
                  <a:p>
                    <a:fld id="{6EFD1088-8899-40E9-9358-D4293356F48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4BEF-46BD-BB63-2AEF303D61B9}"/>
                </c:ext>
              </c:extLst>
            </c:dLbl>
            <c:dLbl>
              <c:idx val="22"/>
              <c:tx>
                <c:rich>
                  <a:bodyPr/>
                  <a:lstStyle/>
                  <a:p>
                    <a:fld id="{FFA8D662-E487-4022-A97F-D5656ED99CD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4BEF-46BD-BB63-2AEF303D61B9}"/>
                </c:ext>
              </c:extLst>
            </c:dLbl>
            <c:dLbl>
              <c:idx val="23"/>
              <c:tx>
                <c:rich>
                  <a:bodyPr/>
                  <a:lstStyle/>
                  <a:p>
                    <a:fld id="{644B0E87-4545-40AD-B7EF-0505F68C30E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4BEF-46BD-BB63-2AEF303D61B9}"/>
                </c:ext>
              </c:extLst>
            </c:dLbl>
            <c:dLbl>
              <c:idx val="24"/>
              <c:tx>
                <c:rich>
                  <a:bodyPr/>
                  <a:lstStyle/>
                  <a:p>
                    <a:fld id="{3B01F152-AB1D-4E11-8639-D5F332F5570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4BEF-46BD-BB63-2AEF303D61B9}"/>
                </c:ext>
              </c:extLst>
            </c:dLbl>
            <c:dLbl>
              <c:idx val="25"/>
              <c:tx>
                <c:rich>
                  <a:bodyPr/>
                  <a:lstStyle/>
                  <a:p>
                    <a:fld id="{1B816E34-F09B-4F9F-AE34-89E5C873866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4BEF-46BD-BB63-2AEF303D61B9}"/>
                </c:ext>
              </c:extLst>
            </c:dLbl>
            <c:dLbl>
              <c:idx val="26"/>
              <c:tx>
                <c:rich>
                  <a:bodyPr/>
                  <a:lstStyle/>
                  <a:p>
                    <a:fld id="{AC9EE4D9-DAF1-4BD6-81C9-60C0C15D4F8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4BEF-46BD-BB63-2AEF303D61B9}"/>
                </c:ext>
              </c:extLst>
            </c:dLbl>
            <c:dLbl>
              <c:idx val="27"/>
              <c:tx>
                <c:rich>
                  <a:bodyPr/>
                  <a:lstStyle/>
                  <a:p>
                    <a:fld id="{80E63A3D-C062-422E-8730-E122E662BD4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4BEF-46BD-BB63-2AEF303D61B9}"/>
                </c:ext>
              </c:extLst>
            </c:dLbl>
            <c:dLbl>
              <c:idx val="28"/>
              <c:tx>
                <c:rich>
                  <a:bodyPr/>
                  <a:lstStyle/>
                  <a:p>
                    <a:fld id="{9C8FD146-80B8-4156-BA7B-8B806F956CC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4-4BEF-46BD-BB63-2AEF303D61B9}"/>
                </c:ext>
              </c:extLst>
            </c:dLbl>
            <c:dLbl>
              <c:idx val="29"/>
              <c:tx>
                <c:rich>
                  <a:bodyPr/>
                  <a:lstStyle/>
                  <a:p>
                    <a:fld id="{D1712EFA-B61A-4FCC-ACAC-3D108B6B3BE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4BEF-46BD-BB63-2AEF303D61B9}"/>
                </c:ext>
              </c:extLst>
            </c:dLbl>
            <c:dLbl>
              <c:idx val="30"/>
              <c:tx>
                <c:rich>
                  <a:bodyPr/>
                  <a:lstStyle/>
                  <a:p>
                    <a:fld id="{11E39C7C-2666-4140-B9E7-E848DA5D30E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4BEF-46BD-BB63-2AEF303D61B9}"/>
                </c:ext>
              </c:extLst>
            </c:dLbl>
            <c:dLbl>
              <c:idx val="31"/>
              <c:tx>
                <c:rich>
                  <a:bodyPr/>
                  <a:lstStyle/>
                  <a:p>
                    <a:fld id="{01E2110E-E93B-498E-A886-F367D824763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7-4BEF-46BD-BB63-2AEF303D61B9}"/>
                </c:ext>
              </c:extLst>
            </c:dLbl>
            <c:dLbl>
              <c:idx val="32"/>
              <c:tx>
                <c:rich>
                  <a:bodyPr/>
                  <a:lstStyle/>
                  <a:p>
                    <a:fld id="{1B3C079E-409C-4BD9-9F39-84A9100CF33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4BEF-46BD-BB63-2AEF303D61B9}"/>
                </c:ext>
              </c:extLst>
            </c:dLbl>
            <c:dLbl>
              <c:idx val="33"/>
              <c:tx>
                <c:rich>
                  <a:bodyPr/>
                  <a:lstStyle/>
                  <a:p>
                    <a:fld id="{02791175-9354-484B-A31C-F6CAE8B143A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4BEF-46BD-BB63-2AEF303D61B9}"/>
                </c:ext>
              </c:extLst>
            </c:dLbl>
            <c:dLbl>
              <c:idx val="34"/>
              <c:tx>
                <c:rich>
                  <a:bodyPr/>
                  <a:lstStyle/>
                  <a:p>
                    <a:fld id="{F79D0E73-9530-4900-9449-C4DC477019A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A-4BEF-46BD-BB63-2AEF303D61B9}"/>
                </c:ext>
              </c:extLst>
            </c:dLbl>
            <c:dLbl>
              <c:idx val="35"/>
              <c:tx>
                <c:rich>
                  <a:bodyPr/>
                  <a:lstStyle/>
                  <a:p>
                    <a:fld id="{73ABF621-0A36-4299-ACA2-DD56B9F16E1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4BEF-46BD-BB63-2AEF303D61B9}"/>
                </c:ext>
              </c:extLst>
            </c:dLbl>
            <c:dLbl>
              <c:idx val="36"/>
              <c:tx>
                <c:rich>
                  <a:bodyPr/>
                  <a:lstStyle/>
                  <a:p>
                    <a:fld id="{B33DC687-9FD3-4CCD-8601-04113E84042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C-4BEF-46BD-BB63-2AEF303D61B9}"/>
                </c:ext>
              </c:extLst>
            </c:dLbl>
            <c:dLbl>
              <c:idx val="37"/>
              <c:tx>
                <c:rich>
                  <a:bodyPr/>
                  <a:lstStyle/>
                  <a:p>
                    <a:fld id="{B3C637BA-8B4D-4F3C-86F2-C6D954E25A2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D-4BEF-46BD-BB63-2AEF303D61B9}"/>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'BoP_izvoz usluga'!$A$90:$A$127</c:f>
              <c:numCache>
                <c:formatCode>yyyy</c:formatCode>
                <c:ptCount val="38"/>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numCache>
            </c:numRef>
          </c:cat>
          <c:val>
            <c:numRef>
              <c:f>'BoP_izvoz usluga'!$I$90:$I$127</c:f>
              <c:numCache>
                <c:formatCode>General</c:formatCode>
                <c:ptCount val="38"/>
                <c:pt idx="0">
                  <c:v>40</c:v>
                </c:pt>
                <c:pt idx="1">
                  <c:v>40</c:v>
                </c:pt>
                <c:pt idx="2">
                  <c:v>40</c:v>
                </c:pt>
                <c:pt idx="3">
                  <c:v>40</c:v>
                </c:pt>
                <c:pt idx="4">
                  <c:v>40</c:v>
                </c:pt>
                <c:pt idx="5">
                  <c:v>40</c:v>
                </c:pt>
                <c:pt idx="6">
                  <c:v>40</c:v>
                </c:pt>
                <c:pt idx="7">
                  <c:v>40</c:v>
                </c:pt>
                <c:pt idx="8">
                  <c:v>40</c:v>
                </c:pt>
                <c:pt idx="9">
                  <c:v>40</c:v>
                </c:pt>
                <c:pt idx="10">
                  <c:v>40</c:v>
                </c:pt>
                <c:pt idx="11">
                  <c:v>40</c:v>
                </c:pt>
                <c:pt idx="12">
                  <c:v>40</c:v>
                </c:pt>
                <c:pt idx="13">
                  <c:v>40</c:v>
                </c:pt>
                <c:pt idx="14">
                  <c:v>40</c:v>
                </c:pt>
                <c:pt idx="15">
                  <c:v>40</c:v>
                </c:pt>
                <c:pt idx="16">
                  <c:v>40</c:v>
                </c:pt>
                <c:pt idx="17">
                  <c:v>40</c:v>
                </c:pt>
                <c:pt idx="18">
                  <c:v>40</c:v>
                </c:pt>
                <c:pt idx="19">
                  <c:v>40</c:v>
                </c:pt>
                <c:pt idx="20">
                  <c:v>40</c:v>
                </c:pt>
                <c:pt idx="21">
                  <c:v>40</c:v>
                </c:pt>
                <c:pt idx="22">
                  <c:v>40</c:v>
                </c:pt>
                <c:pt idx="23">
                  <c:v>40</c:v>
                </c:pt>
                <c:pt idx="24">
                  <c:v>40</c:v>
                </c:pt>
                <c:pt idx="25">
                  <c:v>40</c:v>
                </c:pt>
                <c:pt idx="26">
                  <c:v>40</c:v>
                </c:pt>
                <c:pt idx="27">
                  <c:v>40</c:v>
                </c:pt>
                <c:pt idx="28">
                  <c:v>40</c:v>
                </c:pt>
                <c:pt idx="29">
                  <c:v>40</c:v>
                </c:pt>
                <c:pt idx="30">
                  <c:v>40</c:v>
                </c:pt>
                <c:pt idx="31">
                  <c:v>40</c:v>
                </c:pt>
                <c:pt idx="32">
                  <c:v>40</c:v>
                </c:pt>
                <c:pt idx="33">
                  <c:v>40</c:v>
                </c:pt>
                <c:pt idx="34">
                  <c:v>40</c:v>
                </c:pt>
                <c:pt idx="35">
                  <c:v>40</c:v>
                </c:pt>
                <c:pt idx="36">
                  <c:v>40</c:v>
                </c:pt>
                <c:pt idx="37">
                  <c:v>40</c:v>
                </c:pt>
              </c:numCache>
            </c:numRef>
          </c:val>
          <c:smooth val="0"/>
          <c:extLst>
            <c:ext xmlns:c15="http://schemas.microsoft.com/office/drawing/2012/chart" uri="{02D57815-91ED-43cb-92C2-25804820EDAC}">
              <c15:datalabelsRange>
                <c15:f>'BoP_izvoz usluga'!$C$90:$C$127</c15:f>
                <c15:dlblRangeCache>
                  <c:ptCount val="3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15:dlblRangeCache>
              </c15:datalabelsRange>
            </c:ext>
            <c:ext xmlns:c16="http://schemas.microsoft.com/office/drawing/2014/chart" uri="{C3380CC4-5D6E-409C-BE32-E72D297353CC}">
              <c16:uniqueId val="{0000002E-4BEF-46BD-BB63-2AEF303D61B9}"/>
            </c:ext>
          </c:extLst>
        </c:ser>
        <c:dLbls>
          <c:showLegendKey val="0"/>
          <c:showVal val="0"/>
          <c:showCatName val="0"/>
          <c:showSerName val="0"/>
          <c:showPercent val="0"/>
          <c:showBubbleSize val="0"/>
        </c:dLbls>
        <c:smooth val="0"/>
        <c:axId val="1828933200"/>
        <c:axId val="1828928304"/>
      </c:lineChart>
      <c:dateAx>
        <c:axId val="182893320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1828928304"/>
        <c:crosses val="autoZero"/>
        <c:auto val="1"/>
        <c:lblOffset val="0"/>
        <c:baseTimeUnit val="months"/>
      </c:dateAx>
      <c:valAx>
        <c:axId val="1828928304"/>
        <c:scaling>
          <c:orientation val="minMax"/>
          <c:min val="4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28933200"/>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1151726726726725"/>
        </c:manualLayout>
      </c:layout>
      <c:lineChart>
        <c:grouping val="standard"/>
        <c:varyColors val="0"/>
        <c:ser>
          <c:idx val="0"/>
          <c:order val="0"/>
          <c:tx>
            <c:strRef>
              <c:f>Usluge!$S$5</c:f>
              <c:strCache>
                <c:ptCount val="1"/>
                <c:pt idx="0">
                  <c:v>y</c:v>
                </c:pt>
              </c:strCache>
            </c:strRef>
          </c:tx>
          <c:spPr>
            <a:ln w="12700" cap="rnd">
              <a:solidFill>
                <a:srgbClr val="7F3F98"/>
              </a:solidFill>
              <a:prstDash val="sysDash"/>
              <a:round/>
            </a:ln>
            <a:effectLst/>
          </c:spPr>
          <c:marker>
            <c:symbol val="none"/>
          </c:marker>
          <c:cat>
            <c:numRef>
              <c:f>Usluge!$A$126:$A$164</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Usluge!$S$126:$S$164</c:f>
              <c:numCache>
                <c:formatCode>0.0</c:formatCode>
                <c:ptCount val="39"/>
                <c:pt idx="0">
                  <c:v>81.033662770000007</c:v>
                </c:pt>
                <c:pt idx="1">
                  <c:v>89.345893318999998</c:v>
                </c:pt>
                <c:pt idx="2">
                  <c:v>93.330736067999993</c:v>
                </c:pt>
                <c:pt idx="3">
                  <c:v>114.156446058</c:v>
                </c:pt>
                <c:pt idx="4">
                  <c:v>144.09473649399999</c:v>
                </c:pt>
                <c:pt idx="5">
                  <c:v>145.34113003100001</c:v>
                </c:pt>
                <c:pt idx="6">
                  <c:v>169.06671175100001</c:v>
                </c:pt>
                <c:pt idx="7">
                  <c:v>191.53766709199999</c:v>
                </c:pt>
                <c:pt idx="8">
                  <c:v>133.19224789699999</c:v>
                </c:pt>
                <c:pt idx="9">
                  <c:v>124.314009431</c:v>
                </c:pt>
                <c:pt idx="10">
                  <c:v>94.688714023000003</c:v>
                </c:pt>
                <c:pt idx="11">
                  <c:v>100.82453387</c:v>
                </c:pt>
                <c:pt idx="12">
                  <c:v>101.37892759899999</c:v>
                </c:pt>
                <c:pt idx="13">
                  <c:v>107.281434573</c:v>
                </c:pt>
                <c:pt idx="14">
                  <c:v>50.660795866000001</c:v>
                </c:pt>
                <c:pt idx="15">
                  <c:v>6.1240586439999998</c:v>
                </c:pt>
                <c:pt idx="16">
                  <c:v>25.093703713</c:v>
                </c:pt>
                <c:pt idx="17">
                  <c:v>82.354739949000006</c:v>
                </c:pt>
                <c:pt idx="18">
                  <c:v>108.40859890999999</c:v>
                </c:pt>
                <c:pt idx="19">
                  <c:v>158.875628949</c:v>
                </c:pt>
                <c:pt idx="20">
                  <c:v>102.632377858</c:v>
                </c:pt>
                <c:pt idx="21">
                  <c:v>77.738173559000003</c:v>
                </c:pt>
                <c:pt idx="22">
                  <c:v>50.752386238</c:v>
                </c:pt>
                <c:pt idx="23">
                  <c:v>40.382092098000001</c:v>
                </c:pt>
                <c:pt idx="24">
                  <c:v>66.058416426999997</c:v>
                </c:pt>
                <c:pt idx="25">
                  <c:v>69.799802264999997</c:v>
                </c:pt>
                <c:pt idx="26">
                  <c:v>61.460667962999999</c:v>
                </c:pt>
                <c:pt idx="27">
                  <c:v>58.604312686</c:v>
                </c:pt>
                <c:pt idx="28">
                  <c:v>86.121118343000006</c:v>
                </c:pt>
                <c:pt idx="29">
                  <c:v>114.727599502</c:v>
                </c:pt>
                <c:pt idx="30">
                  <c:v>173.498627247</c:v>
                </c:pt>
                <c:pt idx="31">
                  <c:v>195.88548998300001</c:v>
                </c:pt>
                <c:pt idx="32">
                  <c:v>123.544973739</c:v>
                </c:pt>
                <c:pt idx="33">
                  <c:v>91.929241660000002</c:v>
                </c:pt>
                <c:pt idx="34">
                  <c:v>77.110272308999996</c:v>
                </c:pt>
                <c:pt idx="35">
                  <c:v>81.259477876000005</c:v>
                </c:pt>
                <c:pt idx="36">
                  <c:v>91.482142261000007</c:v>
                </c:pt>
                <c:pt idx="37">
                  <c:v>85.535803013999995</c:v>
                </c:pt>
                <c:pt idx="38">
                  <c:v>94.345990724000004</c:v>
                </c:pt>
              </c:numCache>
            </c:numRef>
          </c:val>
          <c:smooth val="0"/>
          <c:extLst>
            <c:ext xmlns:c16="http://schemas.microsoft.com/office/drawing/2014/chart" uri="{C3380CC4-5D6E-409C-BE32-E72D297353CC}">
              <c16:uniqueId val="{00000000-E09A-431F-B11A-48B67039B46D}"/>
            </c:ext>
          </c:extLst>
        </c:ser>
        <c:ser>
          <c:idx val="1"/>
          <c:order val="1"/>
          <c:tx>
            <c:strRef>
              <c:f>Usluge!$T$5</c:f>
              <c:strCache>
                <c:ptCount val="1"/>
                <c:pt idx="0">
                  <c:v>sa</c:v>
                </c:pt>
              </c:strCache>
            </c:strRef>
          </c:tx>
          <c:spPr>
            <a:ln w="22225" cap="rnd">
              <a:solidFill>
                <a:srgbClr val="25AAE1"/>
              </a:solidFill>
              <a:round/>
            </a:ln>
            <a:effectLst/>
          </c:spPr>
          <c:marker>
            <c:symbol val="none"/>
          </c:marker>
          <c:cat>
            <c:numRef>
              <c:f>Usluge!$A$126:$A$164</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Usluge!$T$126:$T$164</c:f>
              <c:numCache>
                <c:formatCode>0.0</c:formatCode>
                <c:ptCount val="39"/>
                <c:pt idx="0">
                  <c:v>104.43119523199999</c:v>
                </c:pt>
                <c:pt idx="1">
                  <c:v>115.235041112</c:v>
                </c:pt>
                <c:pt idx="2">
                  <c:v>119.290468828</c:v>
                </c:pt>
                <c:pt idx="3">
                  <c:v>131.09021180600001</c:v>
                </c:pt>
                <c:pt idx="4">
                  <c:v>131.47270921399999</c:v>
                </c:pt>
                <c:pt idx="5">
                  <c:v>126.983115582</c:v>
                </c:pt>
                <c:pt idx="6">
                  <c:v>122.897244614</c:v>
                </c:pt>
                <c:pt idx="7">
                  <c:v>117.38198737099999</c:v>
                </c:pt>
                <c:pt idx="8">
                  <c:v>123.400032903</c:v>
                </c:pt>
                <c:pt idx="9">
                  <c:v>126.511896738</c:v>
                </c:pt>
                <c:pt idx="10">
                  <c:v>132.438713237</c:v>
                </c:pt>
                <c:pt idx="11">
                  <c:v>134.09676716000001</c:v>
                </c:pt>
                <c:pt idx="12">
                  <c:v>129.331096613</c:v>
                </c:pt>
                <c:pt idx="13">
                  <c:v>118.703309495</c:v>
                </c:pt>
                <c:pt idx="14">
                  <c:v>66.893666861</c:v>
                </c:pt>
                <c:pt idx="15">
                  <c:v>7.1818294729999996</c:v>
                </c:pt>
                <c:pt idx="16">
                  <c:v>22.963911317000001</c:v>
                </c:pt>
                <c:pt idx="17">
                  <c:v>74.045442807000001</c:v>
                </c:pt>
                <c:pt idx="18">
                  <c:v>78.610004110000006</c:v>
                </c:pt>
                <c:pt idx="19">
                  <c:v>94.514273833000004</c:v>
                </c:pt>
                <c:pt idx="20">
                  <c:v>93.085279134999993</c:v>
                </c:pt>
                <c:pt idx="21">
                  <c:v>78.331617843999993</c:v>
                </c:pt>
                <c:pt idx="22">
                  <c:v>71.753964014999994</c:v>
                </c:pt>
                <c:pt idx="23">
                  <c:v>54.143276612999998</c:v>
                </c:pt>
                <c:pt idx="24">
                  <c:v>81.583530914999997</c:v>
                </c:pt>
                <c:pt idx="25">
                  <c:v>91.821064031999995</c:v>
                </c:pt>
                <c:pt idx="26">
                  <c:v>82.295142116999997</c:v>
                </c:pt>
                <c:pt idx="27">
                  <c:v>70.488011556000004</c:v>
                </c:pt>
                <c:pt idx="28">
                  <c:v>81.437631335999995</c:v>
                </c:pt>
                <c:pt idx="29">
                  <c:v>102.608721718</c:v>
                </c:pt>
                <c:pt idx="30">
                  <c:v>124.602474707</c:v>
                </c:pt>
                <c:pt idx="31">
                  <c:v>114.99315584199999</c:v>
                </c:pt>
                <c:pt idx="32">
                  <c:v>111.6853601</c:v>
                </c:pt>
                <c:pt idx="33">
                  <c:v>90.592013386999994</c:v>
                </c:pt>
                <c:pt idx="34">
                  <c:v>110.161832034</c:v>
                </c:pt>
                <c:pt idx="35">
                  <c:v>109.567354239</c:v>
                </c:pt>
                <c:pt idx="36">
                  <c:v>113.57614853299999</c:v>
                </c:pt>
                <c:pt idx="37">
                  <c:v>113.525403103</c:v>
                </c:pt>
                <c:pt idx="38">
                  <c:v>127.61381906</c:v>
                </c:pt>
              </c:numCache>
            </c:numRef>
          </c:val>
          <c:smooth val="0"/>
          <c:extLst>
            <c:ext xmlns:c16="http://schemas.microsoft.com/office/drawing/2014/chart" uri="{C3380CC4-5D6E-409C-BE32-E72D297353CC}">
              <c16:uniqueId val="{00000001-E09A-431F-B11A-48B67039B46D}"/>
            </c:ext>
          </c:extLst>
        </c:ser>
        <c:ser>
          <c:idx val="2"/>
          <c:order val="2"/>
          <c:tx>
            <c:strRef>
              <c:f>Usluge!$U$5</c:f>
              <c:strCache>
                <c:ptCount val="1"/>
                <c:pt idx="0">
                  <c:v>t</c:v>
                </c:pt>
              </c:strCache>
            </c:strRef>
          </c:tx>
          <c:spPr>
            <a:ln w="25400" cap="rnd">
              <a:solidFill>
                <a:srgbClr val="FF0000"/>
              </a:solidFill>
              <a:round/>
            </a:ln>
            <a:effectLst/>
          </c:spPr>
          <c:marker>
            <c:symbol val="none"/>
          </c:marker>
          <c:cat>
            <c:numRef>
              <c:f>Usluge!$A$126:$A$164</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Usluge!$U$126:$U$164</c:f>
              <c:numCache>
                <c:formatCode>0.0</c:formatCode>
                <c:ptCount val="39"/>
                <c:pt idx="0">
                  <c:v>112.59969699299999</c:v>
                </c:pt>
                <c:pt idx="1">
                  <c:v>116.32134847</c:v>
                </c:pt>
                <c:pt idx="2">
                  <c:v>120.78720649500001</c:v>
                </c:pt>
                <c:pt idx="3">
                  <c:v>124.514621846</c:v>
                </c:pt>
                <c:pt idx="4">
                  <c:v>126.405241864</c:v>
                </c:pt>
                <c:pt idx="5">
                  <c:v>126.20880337</c:v>
                </c:pt>
                <c:pt idx="6">
                  <c:v>124.905714112</c:v>
                </c:pt>
                <c:pt idx="7">
                  <c:v>124.247931059</c:v>
                </c:pt>
                <c:pt idx="8">
                  <c:v>125.407520637</c:v>
                </c:pt>
                <c:pt idx="9">
                  <c:v>127.98854086199999</c:v>
                </c:pt>
                <c:pt idx="10">
                  <c:v>130.24873195699999</c:v>
                </c:pt>
                <c:pt idx="11">
                  <c:v>129.719965441</c:v>
                </c:pt>
                <c:pt idx="12">
                  <c:v>124.96028120299999</c:v>
                </c:pt>
                <c:pt idx="13">
                  <c:v>116.182838702</c:v>
                </c:pt>
                <c:pt idx="14">
                  <c:v>105.14067765599999</c:v>
                </c:pt>
                <c:pt idx="15">
                  <c:v>94.300427409999998</c:v>
                </c:pt>
                <c:pt idx="16">
                  <c:v>85.737755457000006</c:v>
                </c:pt>
                <c:pt idx="17">
                  <c:v>80.435883735999994</c:v>
                </c:pt>
                <c:pt idx="18">
                  <c:v>77.904561146999995</c:v>
                </c:pt>
                <c:pt idx="19">
                  <c:v>77.066583816000005</c:v>
                </c:pt>
                <c:pt idx="20">
                  <c:v>76.915244143999999</c:v>
                </c:pt>
                <c:pt idx="21">
                  <c:v>76.801908300999997</c:v>
                </c:pt>
                <c:pt idx="22">
                  <c:v>76.736291717</c:v>
                </c:pt>
                <c:pt idx="23">
                  <c:v>77.185844681999995</c:v>
                </c:pt>
                <c:pt idx="24">
                  <c:v>78.653320554999993</c:v>
                </c:pt>
                <c:pt idx="25">
                  <c:v>81.270097433999993</c:v>
                </c:pt>
                <c:pt idx="26">
                  <c:v>85.179455837000006</c:v>
                </c:pt>
                <c:pt idx="27">
                  <c:v>90.257324530999995</c:v>
                </c:pt>
                <c:pt idx="28">
                  <c:v>96.004312776000006</c:v>
                </c:pt>
                <c:pt idx="29">
                  <c:v>101.68605196599999</c:v>
                </c:pt>
                <c:pt idx="30">
                  <c:v>106.46850849800001</c:v>
                </c:pt>
                <c:pt idx="31">
                  <c:v>109.69613002200001</c:v>
                </c:pt>
                <c:pt idx="32">
                  <c:v>110.954778443</c:v>
                </c:pt>
                <c:pt idx="33">
                  <c:v>110.982939278</c:v>
                </c:pt>
                <c:pt idx="34">
                  <c:v>110.908055479</c:v>
                </c:pt>
                <c:pt idx="35">
                  <c:v>111.68241915900001</c:v>
                </c:pt>
                <c:pt idx="36">
                  <c:v>113.80348322899999</c:v>
                </c:pt>
                <c:pt idx="37">
                  <c:v>117.42654098200001</c:v>
                </c:pt>
                <c:pt idx="38">
                  <c:v>122.194927694</c:v>
                </c:pt>
              </c:numCache>
            </c:numRef>
          </c:val>
          <c:smooth val="0"/>
          <c:extLst>
            <c:ext xmlns:c16="http://schemas.microsoft.com/office/drawing/2014/chart" uri="{C3380CC4-5D6E-409C-BE32-E72D297353CC}">
              <c16:uniqueId val="{00000002-E09A-431F-B11A-48B67039B46D}"/>
            </c:ext>
          </c:extLst>
        </c:ser>
        <c:ser>
          <c:idx val="3"/>
          <c:order val="3"/>
          <c:tx>
            <c:strRef>
              <c:f>Usluge!$V$5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7.6984551012613825E-2"/>
                  <c:y val="6.089789789789790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09A-431F-B11A-48B67039B46D}"/>
                </c:ext>
              </c:extLst>
            </c:dLbl>
            <c:dLbl>
              <c:idx val="12"/>
              <c:layout>
                <c:manualLayout>
                  <c:x val="7.1928147336878787E-2"/>
                  <c:y val="6.089789789789790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09A-431F-B11A-48B67039B46D}"/>
                </c:ext>
              </c:extLst>
            </c:dLbl>
            <c:dLbl>
              <c:idx val="24"/>
              <c:layout>
                <c:manualLayout>
                  <c:x val="7.5378607011513957E-2"/>
                  <c:y val="6.518168168168168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09A-431F-B11A-48B67039B46D}"/>
                </c:ext>
              </c:extLst>
            </c:dLbl>
            <c:dLbl>
              <c:idx val="36"/>
              <c:layout>
                <c:manualLayout>
                  <c:x val="-4.7551593288277559E-3"/>
                  <c:y val="6.518168168168168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09A-431F-B11A-48B67039B46D}"/>
                </c:ext>
              </c:extLst>
            </c:dLbl>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Usluge!$A$126:$A$164</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Usluge!$V$126:$V$164</c:f>
              <c:numCache>
                <c:formatCode>General</c:formatCode>
                <c:ptCount val="39"/>
                <c:pt idx="0">
                  <c:v>0</c:v>
                </c:pt>
                <c:pt idx="12">
                  <c:v>0</c:v>
                </c:pt>
                <c:pt idx="24">
                  <c:v>0</c:v>
                </c:pt>
                <c:pt idx="36">
                  <c:v>0</c:v>
                </c:pt>
              </c:numCache>
            </c:numRef>
          </c:val>
          <c:smooth val="0"/>
          <c:extLst>
            <c:ext xmlns:c16="http://schemas.microsoft.com/office/drawing/2014/chart" uri="{C3380CC4-5D6E-409C-BE32-E72D297353CC}">
              <c16:uniqueId val="{00000007-E09A-431F-B11A-48B67039B46D}"/>
            </c:ext>
          </c:extLst>
        </c:ser>
        <c:ser>
          <c:idx val="4"/>
          <c:order val="4"/>
          <c:tx>
            <c:strRef>
              <c:f>Usluge!$W$5</c:f>
              <c:strCache>
                <c:ptCount val="1"/>
                <c:pt idx="0">
                  <c:v>Series5</c:v>
                </c:pt>
              </c:strCache>
            </c:strRef>
          </c:tx>
          <c:spPr>
            <a:ln w="28575" cap="rnd">
              <a:noFill/>
              <a:round/>
            </a:ln>
            <a:effectLst/>
          </c:spPr>
          <c:marker>
            <c:symbol val="none"/>
          </c:marker>
          <c:dLbls>
            <c:dLbl>
              <c:idx val="0"/>
              <c:tx>
                <c:rich>
                  <a:bodyPr/>
                  <a:lstStyle/>
                  <a:p>
                    <a:fld id="{77438124-FF4C-4CEC-9247-8B5C6E935AA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E09A-431F-B11A-48B67039B46D}"/>
                </c:ext>
              </c:extLst>
            </c:dLbl>
            <c:dLbl>
              <c:idx val="1"/>
              <c:tx>
                <c:rich>
                  <a:bodyPr/>
                  <a:lstStyle/>
                  <a:p>
                    <a:fld id="{55153E56-DB09-4BD3-959C-58BD94228B8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E09A-431F-B11A-48B67039B46D}"/>
                </c:ext>
              </c:extLst>
            </c:dLbl>
            <c:dLbl>
              <c:idx val="2"/>
              <c:tx>
                <c:rich>
                  <a:bodyPr/>
                  <a:lstStyle/>
                  <a:p>
                    <a:fld id="{61D0CA49-7876-4622-BD75-B1BE3070054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E09A-431F-B11A-48B67039B46D}"/>
                </c:ext>
              </c:extLst>
            </c:dLbl>
            <c:dLbl>
              <c:idx val="3"/>
              <c:tx>
                <c:rich>
                  <a:bodyPr/>
                  <a:lstStyle/>
                  <a:p>
                    <a:fld id="{2749EB17-6417-457E-9AD6-2711148FB45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E09A-431F-B11A-48B67039B46D}"/>
                </c:ext>
              </c:extLst>
            </c:dLbl>
            <c:dLbl>
              <c:idx val="4"/>
              <c:tx>
                <c:rich>
                  <a:bodyPr/>
                  <a:lstStyle/>
                  <a:p>
                    <a:fld id="{CAB881E6-4A12-4376-9A11-63FD909909C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E09A-431F-B11A-48B67039B46D}"/>
                </c:ext>
              </c:extLst>
            </c:dLbl>
            <c:dLbl>
              <c:idx val="5"/>
              <c:tx>
                <c:rich>
                  <a:bodyPr/>
                  <a:lstStyle/>
                  <a:p>
                    <a:fld id="{ED1753B9-FF83-4D37-B498-6AA86A7EAA6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E09A-431F-B11A-48B67039B46D}"/>
                </c:ext>
              </c:extLst>
            </c:dLbl>
            <c:dLbl>
              <c:idx val="6"/>
              <c:tx>
                <c:rich>
                  <a:bodyPr/>
                  <a:lstStyle/>
                  <a:p>
                    <a:fld id="{338614D8-6BB5-4039-9700-4048F3694DC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E09A-431F-B11A-48B67039B46D}"/>
                </c:ext>
              </c:extLst>
            </c:dLbl>
            <c:dLbl>
              <c:idx val="7"/>
              <c:tx>
                <c:rich>
                  <a:bodyPr/>
                  <a:lstStyle/>
                  <a:p>
                    <a:fld id="{4258728F-C981-4086-B8FD-E75C01D6775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E09A-431F-B11A-48B67039B46D}"/>
                </c:ext>
              </c:extLst>
            </c:dLbl>
            <c:dLbl>
              <c:idx val="8"/>
              <c:tx>
                <c:rich>
                  <a:bodyPr/>
                  <a:lstStyle/>
                  <a:p>
                    <a:fld id="{9B2C7A2A-6840-4A43-9434-B8C83A0A715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E09A-431F-B11A-48B67039B46D}"/>
                </c:ext>
              </c:extLst>
            </c:dLbl>
            <c:dLbl>
              <c:idx val="9"/>
              <c:tx>
                <c:rich>
                  <a:bodyPr/>
                  <a:lstStyle/>
                  <a:p>
                    <a:fld id="{6952B501-81A4-491B-A8B3-1FC60DACA28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E09A-431F-B11A-48B67039B46D}"/>
                </c:ext>
              </c:extLst>
            </c:dLbl>
            <c:dLbl>
              <c:idx val="10"/>
              <c:tx>
                <c:rich>
                  <a:bodyPr/>
                  <a:lstStyle/>
                  <a:p>
                    <a:fld id="{982026C4-8D5A-4FD3-B847-C9A9D66B689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E09A-431F-B11A-48B67039B46D}"/>
                </c:ext>
              </c:extLst>
            </c:dLbl>
            <c:dLbl>
              <c:idx val="11"/>
              <c:tx>
                <c:rich>
                  <a:bodyPr/>
                  <a:lstStyle/>
                  <a:p>
                    <a:fld id="{2752A1AE-027C-45F7-BF54-CB986FF42A9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E09A-431F-B11A-48B67039B46D}"/>
                </c:ext>
              </c:extLst>
            </c:dLbl>
            <c:dLbl>
              <c:idx val="12"/>
              <c:tx>
                <c:rich>
                  <a:bodyPr/>
                  <a:lstStyle/>
                  <a:p>
                    <a:fld id="{904A5CA4-3EB1-401E-8FF6-6AFBB12D942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E09A-431F-B11A-48B67039B46D}"/>
                </c:ext>
              </c:extLst>
            </c:dLbl>
            <c:dLbl>
              <c:idx val="13"/>
              <c:tx>
                <c:rich>
                  <a:bodyPr/>
                  <a:lstStyle/>
                  <a:p>
                    <a:fld id="{55A2112F-0A42-4C33-8491-FF96249C64A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E09A-431F-B11A-48B67039B46D}"/>
                </c:ext>
              </c:extLst>
            </c:dLbl>
            <c:dLbl>
              <c:idx val="14"/>
              <c:tx>
                <c:rich>
                  <a:bodyPr/>
                  <a:lstStyle/>
                  <a:p>
                    <a:fld id="{FB26DECD-E2E3-4916-906E-2451BE2F434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E09A-431F-B11A-48B67039B46D}"/>
                </c:ext>
              </c:extLst>
            </c:dLbl>
            <c:dLbl>
              <c:idx val="15"/>
              <c:tx>
                <c:rich>
                  <a:bodyPr/>
                  <a:lstStyle/>
                  <a:p>
                    <a:fld id="{0B78EB0B-05BD-4F92-95D3-90D6B13C040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E09A-431F-B11A-48B67039B46D}"/>
                </c:ext>
              </c:extLst>
            </c:dLbl>
            <c:dLbl>
              <c:idx val="16"/>
              <c:tx>
                <c:rich>
                  <a:bodyPr/>
                  <a:lstStyle/>
                  <a:p>
                    <a:fld id="{4AF7A671-CF47-4655-A583-CEDBAF306F4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E09A-431F-B11A-48B67039B46D}"/>
                </c:ext>
              </c:extLst>
            </c:dLbl>
            <c:dLbl>
              <c:idx val="17"/>
              <c:tx>
                <c:rich>
                  <a:bodyPr/>
                  <a:lstStyle/>
                  <a:p>
                    <a:fld id="{5DDEFB6B-6957-45D5-94B7-11A78D1FAA1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E09A-431F-B11A-48B67039B46D}"/>
                </c:ext>
              </c:extLst>
            </c:dLbl>
            <c:dLbl>
              <c:idx val="18"/>
              <c:tx>
                <c:rich>
                  <a:bodyPr/>
                  <a:lstStyle/>
                  <a:p>
                    <a:fld id="{C5743028-7C07-48E5-BDFA-1AE226A7BE1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E09A-431F-B11A-48B67039B46D}"/>
                </c:ext>
              </c:extLst>
            </c:dLbl>
            <c:dLbl>
              <c:idx val="19"/>
              <c:tx>
                <c:rich>
                  <a:bodyPr/>
                  <a:lstStyle/>
                  <a:p>
                    <a:fld id="{67F3889E-5FBC-432E-AA6F-43F0FEEEF97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E09A-431F-B11A-48B67039B46D}"/>
                </c:ext>
              </c:extLst>
            </c:dLbl>
            <c:dLbl>
              <c:idx val="20"/>
              <c:tx>
                <c:rich>
                  <a:bodyPr/>
                  <a:lstStyle/>
                  <a:p>
                    <a:fld id="{65B1D3B9-6A69-4BB7-B775-D37868D4927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E09A-431F-B11A-48B67039B46D}"/>
                </c:ext>
              </c:extLst>
            </c:dLbl>
            <c:dLbl>
              <c:idx val="21"/>
              <c:tx>
                <c:rich>
                  <a:bodyPr/>
                  <a:lstStyle/>
                  <a:p>
                    <a:fld id="{C40992D1-2D0C-451E-A383-017F089228D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E09A-431F-B11A-48B67039B46D}"/>
                </c:ext>
              </c:extLst>
            </c:dLbl>
            <c:dLbl>
              <c:idx val="22"/>
              <c:tx>
                <c:rich>
                  <a:bodyPr/>
                  <a:lstStyle/>
                  <a:p>
                    <a:fld id="{7279E15D-7245-402F-BCBB-0E121EFB532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E09A-431F-B11A-48B67039B46D}"/>
                </c:ext>
              </c:extLst>
            </c:dLbl>
            <c:dLbl>
              <c:idx val="23"/>
              <c:tx>
                <c:rich>
                  <a:bodyPr/>
                  <a:lstStyle/>
                  <a:p>
                    <a:fld id="{EB96983C-EB6A-42C7-AA55-F521C8E7F5F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E09A-431F-B11A-48B67039B46D}"/>
                </c:ext>
              </c:extLst>
            </c:dLbl>
            <c:dLbl>
              <c:idx val="24"/>
              <c:tx>
                <c:rich>
                  <a:bodyPr/>
                  <a:lstStyle/>
                  <a:p>
                    <a:fld id="{CEBF7E51-ABB0-44C3-AC26-1AC8F5EFDE3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E09A-431F-B11A-48B67039B46D}"/>
                </c:ext>
              </c:extLst>
            </c:dLbl>
            <c:dLbl>
              <c:idx val="25"/>
              <c:tx>
                <c:rich>
                  <a:bodyPr/>
                  <a:lstStyle/>
                  <a:p>
                    <a:fld id="{0376B815-6C20-4900-81A7-B3CDA9D775D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E09A-431F-B11A-48B67039B46D}"/>
                </c:ext>
              </c:extLst>
            </c:dLbl>
            <c:dLbl>
              <c:idx val="26"/>
              <c:tx>
                <c:rich>
                  <a:bodyPr/>
                  <a:lstStyle/>
                  <a:p>
                    <a:fld id="{39F11E9D-E58A-48E3-B2BC-FD2B99C4159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E09A-431F-B11A-48B67039B46D}"/>
                </c:ext>
              </c:extLst>
            </c:dLbl>
            <c:dLbl>
              <c:idx val="27"/>
              <c:tx>
                <c:rich>
                  <a:bodyPr/>
                  <a:lstStyle/>
                  <a:p>
                    <a:fld id="{138991EF-A2F1-41C0-AD38-AB3AD514608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E09A-431F-B11A-48B67039B46D}"/>
                </c:ext>
              </c:extLst>
            </c:dLbl>
            <c:dLbl>
              <c:idx val="28"/>
              <c:tx>
                <c:rich>
                  <a:bodyPr/>
                  <a:lstStyle/>
                  <a:p>
                    <a:fld id="{E33F788F-F62E-4D32-A4AE-A4DA2CFF190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4-E09A-431F-B11A-48B67039B46D}"/>
                </c:ext>
              </c:extLst>
            </c:dLbl>
            <c:dLbl>
              <c:idx val="29"/>
              <c:tx>
                <c:rich>
                  <a:bodyPr/>
                  <a:lstStyle/>
                  <a:p>
                    <a:fld id="{4A3C76B4-26AC-4BA3-BDB5-574F043750C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E09A-431F-B11A-48B67039B46D}"/>
                </c:ext>
              </c:extLst>
            </c:dLbl>
            <c:dLbl>
              <c:idx val="30"/>
              <c:tx>
                <c:rich>
                  <a:bodyPr/>
                  <a:lstStyle/>
                  <a:p>
                    <a:fld id="{EE3E8FEB-9FFF-496D-B582-B735A1F83CF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E09A-431F-B11A-48B67039B46D}"/>
                </c:ext>
              </c:extLst>
            </c:dLbl>
            <c:dLbl>
              <c:idx val="31"/>
              <c:tx>
                <c:rich>
                  <a:bodyPr/>
                  <a:lstStyle/>
                  <a:p>
                    <a:fld id="{74A5F7BC-9964-400E-BB35-5FD46893BF9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7-E09A-431F-B11A-48B67039B46D}"/>
                </c:ext>
              </c:extLst>
            </c:dLbl>
            <c:dLbl>
              <c:idx val="32"/>
              <c:tx>
                <c:rich>
                  <a:bodyPr/>
                  <a:lstStyle/>
                  <a:p>
                    <a:fld id="{78AD320E-E66B-4CC3-A301-A5F0521CD74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E09A-431F-B11A-48B67039B46D}"/>
                </c:ext>
              </c:extLst>
            </c:dLbl>
            <c:dLbl>
              <c:idx val="33"/>
              <c:tx>
                <c:rich>
                  <a:bodyPr/>
                  <a:lstStyle/>
                  <a:p>
                    <a:fld id="{EDC27B41-47E5-487C-8801-001FD4E66C2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E09A-431F-B11A-48B67039B46D}"/>
                </c:ext>
              </c:extLst>
            </c:dLbl>
            <c:dLbl>
              <c:idx val="34"/>
              <c:tx>
                <c:rich>
                  <a:bodyPr/>
                  <a:lstStyle/>
                  <a:p>
                    <a:fld id="{AE938C64-3E05-477A-9A21-0CFD4F474FC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A-E09A-431F-B11A-48B67039B46D}"/>
                </c:ext>
              </c:extLst>
            </c:dLbl>
            <c:dLbl>
              <c:idx val="35"/>
              <c:tx>
                <c:rich>
                  <a:bodyPr/>
                  <a:lstStyle/>
                  <a:p>
                    <a:fld id="{14F96615-6D11-4D14-948E-2AB79B87427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E09A-431F-B11A-48B67039B46D}"/>
                </c:ext>
              </c:extLst>
            </c:dLbl>
            <c:dLbl>
              <c:idx val="36"/>
              <c:tx>
                <c:rich>
                  <a:bodyPr/>
                  <a:lstStyle/>
                  <a:p>
                    <a:fld id="{F2918AA3-4B6C-45EF-A6ED-B9D7D500719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C-E09A-431F-B11A-48B67039B46D}"/>
                </c:ext>
              </c:extLst>
            </c:dLbl>
            <c:dLbl>
              <c:idx val="37"/>
              <c:tx>
                <c:rich>
                  <a:bodyPr/>
                  <a:lstStyle/>
                  <a:p>
                    <a:fld id="{956CBB2A-E76E-494B-A5D2-6CFA3D41925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D-E09A-431F-B11A-48B67039B46D}"/>
                </c:ext>
              </c:extLst>
            </c:dLbl>
            <c:dLbl>
              <c:idx val="38"/>
              <c:tx>
                <c:rich>
                  <a:bodyPr/>
                  <a:lstStyle/>
                  <a:p>
                    <a:fld id="{4569D5F5-350F-4BB5-A84D-447C3B7BFF4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E-E09A-431F-B11A-48B67039B46D}"/>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Usluge!$A$126:$A$164</c:f>
              <c:numCache>
                <c:formatCode>yyyy</c:formatCode>
                <c:ptCount val="3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numCache>
            </c:numRef>
          </c:cat>
          <c:val>
            <c:numRef>
              <c:f>Usluge!$W$126:$W$164</c:f>
              <c:numCache>
                <c:formatCode>General</c:formatCode>
                <c:ptCount val="39"/>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numCache>
            </c:numRef>
          </c:val>
          <c:smooth val="0"/>
          <c:extLst>
            <c:ext xmlns:c15="http://schemas.microsoft.com/office/drawing/2012/chart" uri="{02D57815-91ED-43cb-92C2-25804820EDAC}">
              <c15:datalabelsRange>
                <c15:f>Usluge!$C$126:$C$164</c15:f>
                <c15:dlblRangeCache>
                  <c:ptCount val="3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15:dlblRangeCache>
              </c15:datalabelsRange>
            </c:ext>
            <c:ext xmlns:c16="http://schemas.microsoft.com/office/drawing/2014/chart" uri="{C3380CC4-5D6E-409C-BE32-E72D297353CC}">
              <c16:uniqueId val="{0000002F-E09A-431F-B11A-48B67039B46D}"/>
            </c:ext>
          </c:extLst>
        </c:ser>
        <c:dLbls>
          <c:showLegendKey val="0"/>
          <c:showVal val="0"/>
          <c:showCatName val="0"/>
          <c:showSerName val="0"/>
          <c:showPercent val="0"/>
          <c:showBubbleSize val="0"/>
        </c:dLbls>
        <c:smooth val="0"/>
        <c:axId val="1828917968"/>
        <c:axId val="1828917424"/>
      </c:lineChart>
      <c:dateAx>
        <c:axId val="1828917968"/>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1828917424"/>
        <c:crosses val="autoZero"/>
        <c:auto val="1"/>
        <c:lblOffset val="0"/>
        <c:baseTimeUnit val="months"/>
        <c:majorUnit val="12"/>
        <c:majorTimeUnit val="months"/>
      </c:dateAx>
      <c:valAx>
        <c:axId val="1828917424"/>
        <c:scaling>
          <c:orientation val="minMax"/>
          <c:max val="200"/>
          <c:min val="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28917968"/>
        <c:crosses val="autoZero"/>
        <c:crossBetween val="midCat"/>
        <c:majorUnit val="5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3.9500937320235463E-2"/>
          <c:w val="0.86259167550669125"/>
          <c:h val="0.84243318318318317"/>
        </c:manualLayout>
      </c:layout>
      <c:lineChart>
        <c:grouping val="standard"/>
        <c:varyColors val="0"/>
        <c:ser>
          <c:idx val="0"/>
          <c:order val="0"/>
          <c:tx>
            <c:strRef>
              <c:f>'BoP_izvoz usluga'!$L$5</c:f>
              <c:strCache>
                <c:ptCount val="1"/>
                <c:pt idx="0">
                  <c:v>y</c:v>
                </c:pt>
              </c:strCache>
            </c:strRef>
          </c:tx>
          <c:spPr>
            <a:ln w="12700" cap="rnd">
              <a:solidFill>
                <a:srgbClr val="7F3F98"/>
              </a:solidFill>
              <a:prstDash val="sysDash"/>
              <a:round/>
            </a:ln>
            <a:effectLst/>
          </c:spPr>
          <c:marker>
            <c:symbol val="none"/>
          </c:marker>
          <c:cat>
            <c:numRef>
              <c:f>'BoP_izvoz usluga'!$A$90:$A$127</c:f>
              <c:numCache>
                <c:formatCode>yyyy</c:formatCode>
                <c:ptCount val="38"/>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numCache>
            </c:numRef>
          </c:cat>
          <c:val>
            <c:numRef>
              <c:f>'BoP_izvoz usluga'!$L$90:$L$127</c:f>
              <c:numCache>
                <c:formatCode>0.0</c:formatCode>
                <c:ptCount val="38"/>
                <c:pt idx="0">
                  <c:v>76.281542213999998</c:v>
                </c:pt>
                <c:pt idx="1">
                  <c:v>51.194759861000001</c:v>
                </c:pt>
                <c:pt idx="2">
                  <c:v>62.618110975999997</c:v>
                </c:pt>
                <c:pt idx="3">
                  <c:v>72.617075248000006</c:v>
                </c:pt>
                <c:pt idx="4">
                  <c:v>80.191888266999996</c:v>
                </c:pt>
                <c:pt idx="5">
                  <c:v>79.334970010999996</c:v>
                </c:pt>
                <c:pt idx="6">
                  <c:v>132.84343583899999</c:v>
                </c:pt>
                <c:pt idx="7">
                  <c:v>135.63615128000001</c:v>
                </c:pt>
                <c:pt idx="8">
                  <c:v>93.230291782999998</c:v>
                </c:pt>
                <c:pt idx="9">
                  <c:v>93.258159555999995</c:v>
                </c:pt>
                <c:pt idx="10">
                  <c:v>90.159089188999999</c:v>
                </c:pt>
                <c:pt idx="11">
                  <c:v>112.24312691199999</c:v>
                </c:pt>
                <c:pt idx="12">
                  <c:v>86.402010844000003</c:v>
                </c:pt>
                <c:pt idx="13">
                  <c:v>61.283572294999999</c:v>
                </c:pt>
                <c:pt idx="14">
                  <c:v>57.139064374</c:v>
                </c:pt>
                <c:pt idx="15">
                  <c:v>31.688595588999998</c:v>
                </c:pt>
                <c:pt idx="16">
                  <c:v>48.063525171999999</c:v>
                </c:pt>
                <c:pt idx="17">
                  <c:v>62.193700638000003</c:v>
                </c:pt>
                <c:pt idx="18">
                  <c:v>85.903103662999996</c:v>
                </c:pt>
                <c:pt idx="19">
                  <c:v>69.586124670000004</c:v>
                </c:pt>
                <c:pt idx="20">
                  <c:v>65.885364121999999</c:v>
                </c:pt>
                <c:pt idx="21">
                  <c:v>75.056619075</c:v>
                </c:pt>
                <c:pt idx="22">
                  <c:v>76.902369203000006</c:v>
                </c:pt>
                <c:pt idx="23">
                  <c:v>95.204009907</c:v>
                </c:pt>
                <c:pt idx="24">
                  <c:v>73.138770854000001</c:v>
                </c:pt>
                <c:pt idx="25">
                  <c:v>63.396696884000001</c:v>
                </c:pt>
                <c:pt idx="26">
                  <c:v>72.588797166000006</c:v>
                </c:pt>
                <c:pt idx="27">
                  <c:v>68.563449723000005</c:v>
                </c:pt>
                <c:pt idx="28">
                  <c:v>90.130653683999995</c:v>
                </c:pt>
                <c:pt idx="29">
                  <c:v>93.653600806</c:v>
                </c:pt>
                <c:pt idx="30">
                  <c:v>144.91015984500001</c:v>
                </c:pt>
                <c:pt idx="31">
                  <c:v>148.817790153</c:v>
                </c:pt>
                <c:pt idx="32">
                  <c:v>109.368596028</c:v>
                </c:pt>
                <c:pt idx="33">
                  <c:v>96.799839383000005</c:v>
                </c:pt>
                <c:pt idx="34">
                  <c:v>103.506327329</c:v>
                </c:pt>
                <c:pt idx="35">
                  <c:v>135.125318144</c:v>
                </c:pt>
                <c:pt idx="36">
                  <c:v>94.010973363999994</c:v>
                </c:pt>
                <c:pt idx="37">
                  <c:v>72.557453228</c:v>
                </c:pt>
              </c:numCache>
            </c:numRef>
          </c:val>
          <c:smooth val="0"/>
          <c:extLst>
            <c:ext xmlns:c16="http://schemas.microsoft.com/office/drawing/2014/chart" uri="{C3380CC4-5D6E-409C-BE32-E72D297353CC}">
              <c16:uniqueId val="{00000000-53AA-40B5-9921-82E45124898F}"/>
            </c:ext>
          </c:extLst>
        </c:ser>
        <c:ser>
          <c:idx val="1"/>
          <c:order val="1"/>
          <c:tx>
            <c:strRef>
              <c:f>'BoP_izvoz usluga'!$M$5</c:f>
              <c:strCache>
                <c:ptCount val="1"/>
                <c:pt idx="0">
                  <c:v>sa</c:v>
                </c:pt>
              </c:strCache>
            </c:strRef>
          </c:tx>
          <c:spPr>
            <a:ln w="22225" cap="rnd">
              <a:solidFill>
                <a:srgbClr val="25AAE1"/>
              </a:solidFill>
              <a:round/>
            </a:ln>
            <a:effectLst/>
          </c:spPr>
          <c:marker>
            <c:symbol val="none"/>
          </c:marker>
          <c:cat>
            <c:numRef>
              <c:f>'BoP_izvoz usluga'!$A$90:$A$127</c:f>
              <c:numCache>
                <c:formatCode>yyyy</c:formatCode>
                <c:ptCount val="38"/>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numCache>
            </c:numRef>
          </c:cat>
          <c:val>
            <c:numRef>
              <c:f>'BoP_izvoz usluga'!$M$90:$M$127</c:f>
              <c:numCache>
                <c:formatCode>0.0</c:formatCode>
                <c:ptCount val="38"/>
                <c:pt idx="0">
                  <c:v>81.004989917000003</c:v>
                </c:pt>
                <c:pt idx="1">
                  <c:v>80.834250181000002</c:v>
                </c:pt>
                <c:pt idx="2">
                  <c:v>89.660061433999999</c:v>
                </c:pt>
                <c:pt idx="3">
                  <c:v>87.059538664000002</c:v>
                </c:pt>
                <c:pt idx="4">
                  <c:v>87.907378018000003</c:v>
                </c:pt>
                <c:pt idx="5">
                  <c:v>91.000870856000006</c:v>
                </c:pt>
                <c:pt idx="6">
                  <c:v>90.938725833000007</c:v>
                </c:pt>
                <c:pt idx="7">
                  <c:v>93.408473489000002</c:v>
                </c:pt>
                <c:pt idx="8">
                  <c:v>92.870371509999998</c:v>
                </c:pt>
                <c:pt idx="9">
                  <c:v>88.052074536999996</c:v>
                </c:pt>
                <c:pt idx="10">
                  <c:v>94.668170703000001</c:v>
                </c:pt>
                <c:pt idx="11">
                  <c:v>93.581190763999999</c:v>
                </c:pt>
                <c:pt idx="12">
                  <c:v>92.709992954000001</c:v>
                </c:pt>
                <c:pt idx="13">
                  <c:v>92.688355040999994</c:v>
                </c:pt>
                <c:pt idx="14">
                  <c:v>75.184763860000004</c:v>
                </c:pt>
                <c:pt idx="15">
                  <c:v>38.308318151999998</c:v>
                </c:pt>
                <c:pt idx="16">
                  <c:v>57.760860796000003</c:v>
                </c:pt>
                <c:pt idx="17">
                  <c:v>65.597248772</c:v>
                </c:pt>
                <c:pt idx="18">
                  <c:v>61.214515272</c:v>
                </c:pt>
                <c:pt idx="19">
                  <c:v>48.664564009999999</c:v>
                </c:pt>
                <c:pt idx="20">
                  <c:v>64.625701789000004</c:v>
                </c:pt>
                <c:pt idx="21">
                  <c:v>76.090924564000005</c:v>
                </c:pt>
                <c:pt idx="22">
                  <c:v>77.254460745000003</c:v>
                </c:pt>
                <c:pt idx="23">
                  <c:v>75.041265246999998</c:v>
                </c:pt>
                <c:pt idx="24">
                  <c:v>84.800684932999999</c:v>
                </c:pt>
                <c:pt idx="25">
                  <c:v>95.712667581999995</c:v>
                </c:pt>
                <c:pt idx="26">
                  <c:v>91.235685043000004</c:v>
                </c:pt>
                <c:pt idx="27">
                  <c:v>86.971511528999997</c:v>
                </c:pt>
                <c:pt idx="28">
                  <c:v>103.062426871</c:v>
                </c:pt>
                <c:pt idx="29">
                  <c:v>100.56625180899999</c:v>
                </c:pt>
                <c:pt idx="30">
                  <c:v>107.659309822</c:v>
                </c:pt>
                <c:pt idx="31">
                  <c:v>101.709108801</c:v>
                </c:pt>
                <c:pt idx="32">
                  <c:v>106.26460058000001</c:v>
                </c:pt>
                <c:pt idx="33">
                  <c:v>103.610106414</c:v>
                </c:pt>
                <c:pt idx="34">
                  <c:v>99.831854187999994</c:v>
                </c:pt>
                <c:pt idx="35">
                  <c:v>108.87910219299999</c:v>
                </c:pt>
                <c:pt idx="36">
                  <c:v>102.984464941</c:v>
                </c:pt>
                <c:pt idx="37">
                  <c:v>107.81967871000001</c:v>
                </c:pt>
              </c:numCache>
            </c:numRef>
          </c:val>
          <c:smooth val="0"/>
          <c:extLst>
            <c:ext xmlns:c16="http://schemas.microsoft.com/office/drawing/2014/chart" uri="{C3380CC4-5D6E-409C-BE32-E72D297353CC}">
              <c16:uniqueId val="{00000001-53AA-40B5-9921-82E45124898F}"/>
            </c:ext>
          </c:extLst>
        </c:ser>
        <c:ser>
          <c:idx val="2"/>
          <c:order val="2"/>
          <c:tx>
            <c:strRef>
              <c:f>'BoP_izvoz usluga'!$N$5</c:f>
              <c:strCache>
                <c:ptCount val="1"/>
                <c:pt idx="0">
                  <c:v>t</c:v>
                </c:pt>
              </c:strCache>
            </c:strRef>
          </c:tx>
          <c:spPr>
            <a:ln w="25400" cap="rnd">
              <a:solidFill>
                <a:srgbClr val="FF0000"/>
              </a:solidFill>
              <a:round/>
            </a:ln>
            <a:effectLst/>
          </c:spPr>
          <c:marker>
            <c:symbol val="none"/>
          </c:marker>
          <c:cat>
            <c:numRef>
              <c:f>'BoP_izvoz usluga'!$A$90:$A$127</c:f>
              <c:numCache>
                <c:formatCode>yyyy</c:formatCode>
                <c:ptCount val="38"/>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numCache>
            </c:numRef>
          </c:cat>
          <c:val>
            <c:numRef>
              <c:f>'BoP_izvoz usluga'!$N$90:$N$127</c:f>
              <c:numCache>
                <c:formatCode>0.0</c:formatCode>
                <c:ptCount val="38"/>
                <c:pt idx="0">
                  <c:v>81.940900253999999</c:v>
                </c:pt>
                <c:pt idx="1">
                  <c:v>83.359894116999996</c:v>
                </c:pt>
                <c:pt idx="2">
                  <c:v>85.296314705</c:v>
                </c:pt>
                <c:pt idx="3">
                  <c:v>87.403059776999996</c:v>
                </c:pt>
                <c:pt idx="4">
                  <c:v>89.198425792999998</c:v>
                </c:pt>
                <c:pt idx="5">
                  <c:v>90.458941683999996</c:v>
                </c:pt>
                <c:pt idx="6">
                  <c:v>91.267056896</c:v>
                </c:pt>
                <c:pt idx="7">
                  <c:v>91.943511586</c:v>
                </c:pt>
                <c:pt idx="8">
                  <c:v>92.694372512000001</c:v>
                </c:pt>
                <c:pt idx="9">
                  <c:v>93.279461296999997</c:v>
                </c:pt>
                <c:pt idx="10">
                  <c:v>92.943892836000003</c:v>
                </c:pt>
                <c:pt idx="11">
                  <c:v>91.161766166999996</c:v>
                </c:pt>
                <c:pt idx="12">
                  <c:v>87.724665521999995</c:v>
                </c:pt>
                <c:pt idx="13">
                  <c:v>82.744516015000002</c:v>
                </c:pt>
                <c:pt idx="14">
                  <c:v>76.938252496000004</c:v>
                </c:pt>
                <c:pt idx="15">
                  <c:v>71.175055860000001</c:v>
                </c:pt>
                <c:pt idx="16">
                  <c:v>66.547839298</c:v>
                </c:pt>
                <c:pt idx="17">
                  <c:v>64.017136893</c:v>
                </c:pt>
                <c:pt idx="18">
                  <c:v>63.525274678999999</c:v>
                </c:pt>
                <c:pt idx="19">
                  <c:v>64.746443936000006</c:v>
                </c:pt>
                <c:pt idx="20">
                  <c:v>67.254460828000006</c:v>
                </c:pt>
                <c:pt idx="21">
                  <c:v>70.685417208999993</c:v>
                </c:pt>
                <c:pt idx="22">
                  <c:v>74.654112333</c:v>
                </c:pt>
                <c:pt idx="23">
                  <c:v>79.005112769999997</c:v>
                </c:pt>
                <c:pt idx="24">
                  <c:v>83.432795318999993</c:v>
                </c:pt>
                <c:pt idx="25">
                  <c:v>87.965108326999996</c:v>
                </c:pt>
                <c:pt idx="26">
                  <c:v>92.481829989999994</c:v>
                </c:pt>
                <c:pt idx="27">
                  <c:v>96.686974903000007</c:v>
                </c:pt>
                <c:pt idx="28">
                  <c:v>100.318070416</c:v>
                </c:pt>
                <c:pt idx="29">
                  <c:v>102.751270823</c:v>
                </c:pt>
                <c:pt idx="30">
                  <c:v>104.03587245200001</c:v>
                </c:pt>
                <c:pt idx="31">
                  <c:v>104.437449269</c:v>
                </c:pt>
                <c:pt idx="32">
                  <c:v>104.227548102</c:v>
                </c:pt>
                <c:pt idx="33">
                  <c:v>103.940651886</c:v>
                </c:pt>
                <c:pt idx="34">
                  <c:v>104.017265087</c:v>
                </c:pt>
                <c:pt idx="35">
                  <c:v>104.540517669</c:v>
                </c:pt>
                <c:pt idx="36">
                  <c:v>105.412011428</c:v>
                </c:pt>
                <c:pt idx="37">
                  <c:v>106.601971592</c:v>
                </c:pt>
              </c:numCache>
            </c:numRef>
          </c:val>
          <c:smooth val="0"/>
          <c:extLst>
            <c:ext xmlns:c16="http://schemas.microsoft.com/office/drawing/2014/chart" uri="{C3380CC4-5D6E-409C-BE32-E72D297353CC}">
              <c16:uniqueId val="{00000002-53AA-40B5-9921-82E45124898F}"/>
            </c:ext>
          </c:extLst>
        </c:ser>
        <c:ser>
          <c:idx val="3"/>
          <c:order val="3"/>
          <c:tx>
            <c:strRef>
              <c:f>'BoP_izvoz usluga'!$O$5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8.519756944444444E-2"/>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3AA-40B5-9921-82E45124898F}"/>
                </c:ext>
              </c:extLst>
            </c:dLbl>
            <c:dLbl>
              <c:idx val="12"/>
              <c:layout>
                <c:manualLayout>
                  <c:x val="8.0993402777777779E-2"/>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3AA-40B5-9921-82E45124898F}"/>
                </c:ext>
              </c:extLst>
            </c:dLbl>
            <c:dLbl>
              <c:idx val="24"/>
              <c:layout>
                <c:manualLayout>
                  <c:x val="7.3534374999999833E-2"/>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3AA-40B5-9921-82E45124898F}"/>
                </c:ext>
              </c:extLst>
            </c:dLbl>
            <c:dLbl>
              <c:idx val="36"/>
              <c:layout>
                <c:manualLayout>
                  <c:x val="-1.2175128682060499E-2"/>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3AA-40B5-9921-82E45124898F}"/>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'BoP_izvoz usluga'!$A$90:$A$127</c:f>
              <c:numCache>
                <c:formatCode>yyyy</c:formatCode>
                <c:ptCount val="38"/>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numCache>
            </c:numRef>
          </c:cat>
          <c:val>
            <c:numRef>
              <c:f>'BoP_izvoz usluga'!$O$90:$O$127</c:f>
              <c:numCache>
                <c:formatCode>General</c:formatCode>
                <c:ptCount val="38"/>
                <c:pt idx="0">
                  <c:v>20</c:v>
                </c:pt>
                <c:pt idx="12">
                  <c:v>20</c:v>
                </c:pt>
                <c:pt idx="24">
                  <c:v>20</c:v>
                </c:pt>
                <c:pt idx="36">
                  <c:v>20</c:v>
                </c:pt>
              </c:numCache>
            </c:numRef>
          </c:val>
          <c:smooth val="0"/>
          <c:extLst>
            <c:ext xmlns:c16="http://schemas.microsoft.com/office/drawing/2014/chart" uri="{C3380CC4-5D6E-409C-BE32-E72D297353CC}">
              <c16:uniqueId val="{00000007-53AA-40B5-9921-82E45124898F}"/>
            </c:ext>
          </c:extLst>
        </c:ser>
        <c:ser>
          <c:idx val="4"/>
          <c:order val="4"/>
          <c:tx>
            <c:strRef>
              <c:f>'BoP_izvoz usluga'!$P$5</c:f>
              <c:strCache>
                <c:ptCount val="1"/>
                <c:pt idx="0">
                  <c:v>Series5</c:v>
                </c:pt>
              </c:strCache>
            </c:strRef>
          </c:tx>
          <c:spPr>
            <a:ln w="28575" cap="rnd">
              <a:noFill/>
              <a:round/>
            </a:ln>
            <a:effectLst/>
          </c:spPr>
          <c:marker>
            <c:symbol val="none"/>
          </c:marker>
          <c:dLbls>
            <c:dLbl>
              <c:idx val="0"/>
              <c:tx>
                <c:rich>
                  <a:bodyPr/>
                  <a:lstStyle/>
                  <a:p>
                    <a:fld id="{D7CF44DF-4745-4DF6-99C0-81C9F18F935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53AA-40B5-9921-82E45124898F}"/>
                </c:ext>
              </c:extLst>
            </c:dLbl>
            <c:dLbl>
              <c:idx val="1"/>
              <c:tx>
                <c:rich>
                  <a:bodyPr/>
                  <a:lstStyle/>
                  <a:p>
                    <a:fld id="{3DC87C1C-7CAF-477D-95F8-5CBF7E8109C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53AA-40B5-9921-82E45124898F}"/>
                </c:ext>
              </c:extLst>
            </c:dLbl>
            <c:dLbl>
              <c:idx val="2"/>
              <c:tx>
                <c:rich>
                  <a:bodyPr/>
                  <a:lstStyle/>
                  <a:p>
                    <a:fld id="{CCE76B36-C374-41E8-856B-62B07BD5416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53AA-40B5-9921-82E45124898F}"/>
                </c:ext>
              </c:extLst>
            </c:dLbl>
            <c:dLbl>
              <c:idx val="3"/>
              <c:tx>
                <c:rich>
                  <a:bodyPr/>
                  <a:lstStyle/>
                  <a:p>
                    <a:fld id="{E7E80427-FFA2-4823-92E9-B81CCBF2368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53AA-40B5-9921-82E45124898F}"/>
                </c:ext>
              </c:extLst>
            </c:dLbl>
            <c:dLbl>
              <c:idx val="4"/>
              <c:tx>
                <c:rich>
                  <a:bodyPr/>
                  <a:lstStyle/>
                  <a:p>
                    <a:fld id="{E90C16FB-C6A9-44F8-B9C0-A9DA3CF7B8A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53AA-40B5-9921-82E45124898F}"/>
                </c:ext>
              </c:extLst>
            </c:dLbl>
            <c:dLbl>
              <c:idx val="5"/>
              <c:tx>
                <c:rich>
                  <a:bodyPr/>
                  <a:lstStyle/>
                  <a:p>
                    <a:fld id="{CB3C92BF-CBFB-48FD-A22E-FD3C441CC92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53AA-40B5-9921-82E45124898F}"/>
                </c:ext>
              </c:extLst>
            </c:dLbl>
            <c:dLbl>
              <c:idx val="6"/>
              <c:tx>
                <c:rich>
                  <a:bodyPr/>
                  <a:lstStyle/>
                  <a:p>
                    <a:fld id="{82B609B4-9F29-4B82-9A2B-987D54260C2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53AA-40B5-9921-82E45124898F}"/>
                </c:ext>
              </c:extLst>
            </c:dLbl>
            <c:dLbl>
              <c:idx val="7"/>
              <c:tx>
                <c:rich>
                  <a:bodyPr/>
                  <a:lstStyle/>
                  <a:p>
                    <a:fld id="{4399F639-6F20-4AD5-92E3-E4EF18FCBE5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53AA-40B5-9921-82E45124898F}"/>
                </c:ext>
              </c:extLst>
            </c:dLbl>
            <c:dLbl>
              <c:idx val="8"/>
              <c:tx>
                <c:rich>
                  <a:bodyPr/>
                  <a:lstStyle/>
                  <a:p>
                    <a:fld id="{297CB011-AD3B-4615-B2A1-E5D350E5E70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53AA-40B5-9921-82E45124898F}"/>
                </c:ext>
              </c:extLst>
            </c:dLbl>
            <c:dLbl>
              <c:idx val="9"/>
              <c:tx>
                <c:rich>
                  <a:bodyPr/>
                  <a:lstStyle/>
                  <a:p>
                    <a:fld id="{FA89958C-9F1E-4782-B8E5-FD8CE0BFAAD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53AA-40B5-9921-82E45124898F}"/>
                </c:ext>
              </c:extLst>
            </c:dLbl>
            <c:dLbl>
              <c:idx val="10"/>
              <c:tx>
                <c:rich>
                  <a:bodyPr/>
                  <a:lstStyle/>
                  <a:p>
                    <a:fld id="{8BBFF8EE-80FA-4DF9-AF16-13AE2A87604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53AA-40B5-9921-82E45124898F}"/>
                </c:ext>
              </c:extLst>
            </c:dLbl>
            <c:dLbl>
              <c:idx val="11"/>
              <c:tx>
                <c:rich>
                  <a:bodyPr/>
                  <a:lstStyle/>
                  <a:p>
                    <a:fld id="{4C1E77C4-3544-455B-906C-74857745089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53AA-40B5-9921-82E45124898F}"/>
                </c:ext>
              </c:extLst>
            </c:dLbl>
            <c:dLbl>
              <c:idx val="12"/>
              <c:tx>
                <c:rich>
                  <a:bodyPr/>
                  <a:lstStyle/>
                  <a:p>
                    <a:fld id="{1B0C22BF-6EF9-4F97-8D79-8E4404C1E37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53AA-40B5-9921-82E45124898F}"/>
                </c:ext>
              </c:extLst>
            </c:dLbl>
            <c:dLbl>
              <c:idx val="13"/>
              <c:tx>
                <c:rich>
                  <a:bodyPr/>
                  <a:lstStyle/>
                  <a:p>
                    <a:fld id="{A35235B7-2271-4A9F-9902-C625F81B82B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53AA-40B5-9921-82E45124898F}"/>
                </c:ext>
              </c:extLst>
            </c:dLbl>
            <c:dLbl>
              <c:idx val="14"/>
              <c:tx>
                <c:rich>
                  <a:bodyPr/>
                  <a:lstStyle/>
                  <a:p>
                    <a:fld id="{FE6C791D-4543-4AC3-830E-91F2B3A29D3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53AA-40B5-9921-82E45124898F}"/>
                </c:ext>
              </c:extLst>
            </c:dLbl>
            <c:dLbl>
              <c:idx val="15"/>
              <c:tx>
                <c:rich>
                  <a:bodyPr/>
                  <a:lstStyle/>
                  <a:p>
                    <a:fld id="{9F53C851-5E87-450A-9CA0-D352D4E0649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53AA-40B5-9921-82E45124898F}"/>
                </c:ext>
              </c:extLst>
            </c:dLbl>
            <c:dLbl>
              <c:idx val="16"/>
              <c:tx>
                <c:rich>
                  <a:bodyPr/>
                  <a:lstStyle/>
                  <a:p>
                    <a:fld id="{3A289A60-2FA6-46CD-BC69-B43678842AA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53AA-40B5-9921-82E45124898F}"/>
                </c:ext>
              </c:extLst>
            </c:dLbl>
            <c:dLbl>
              <c:idx val="17"/>
              <c:tx>
                <c:rich>
                  <a:bodyPr/>
                  <a:lstStyle/>
                  <a:p>
                    <a:fld id="{58845D12-0458-401B-A31D-E74074DB4E2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53AA-40B5-9921-82E45124898F}"/>
                </c:ext>
              </c:extLst>
            </c:dLbl>
            <c:dLbl>
              <c:idx val="18"/>
              <c:tx>
                <c:rich>
                  <a:bodyPr/>
                  <a:lstStyle/>
                  <a:p>
                    <a:fld id="{03960E4D-9B5F-4E65-B6CA-69A1F2A8642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53AA-40B5-9921-82E45124898F}"/>
                </c:ext>
              </c:extLst>
            </c:dLbl>
            <c:dLbl>
              <c:idx val="19"/>
              <c:tx>
                <c:rich>
                  <a:bodyPr/>
                  <a:lstStyle/>
                  <a:p>
                    <a:fld id="{A3CF3F7D-E013-4E68-83B7-17B57DFA4BE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53AA-40B5-9921-82E45124898F}"/>
                </c:ext>
              </c:extLst>
            </c:dLbl>
            <c:dLbl>
              <c:idx val="20"/>
              <c:tx>
                <c:rich>
                  <a:bodyPr/>
                  <a:lstStyle/>
                  <a:p>
                    <a:fld id="{962A7D89-8A28-4118-A2FC-BEC9A86F894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53AA-40B5-9921-82E45124898F}"/>
                </c:ext>
              </c:extLst>
            </c:dLbl>
            <c:dLbl>
              <c:idx val="21"/>
              <c:tx>
                <c:rich>
                  <a:bodyPr/>
                  <a:lstStyle/>
                  <a:p>
                    <a:fld id="{14FF82E5-6918-476F-96EC-7BF247BA61A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53AA-40B5-9921-82E45124898F}"/>
                </c:ext>
              </c:extLst>
            </c:dLbl>
            <c:dLbl>
              <c:idx val="22"/>
              <c:tx>
                <c:rich>
                  <a:bodyPr/>
                  <a:lstStyle/>
                  <a:p>
                    <a:fld id="{6A568762-D5AB-4129-974B-61B42142052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53AA-40B5-9921-82E45124898F}"/>
                </c:ext>
              </c:extLst>
            </c:dLbl>
            <c:dLbl>
              <c:idx val="23"/>
              <c:tx>
                <c:rich>
                  <a:bodyPr/>
                  <a:lstStyle/>
                  <a:p>
                    <a:fld id="{84271B43-ECD5-4AE3-970E-E5137A6E298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53AA-40B5-9921-82E45124898F}"/>
                </c:ext>
              </c:extLst>
            </c:dLbl>
            <c:dLbl>
              <c:idx val="24"/>
              <c:tx>
                <c:rich>
                  <a:bodyPr/>
                  <a:lstStyle/>
                  <a:p>
                    <a:fld id="{962D5FD8-925A-4215-B052-D48387EC726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53AA-40B5-9921-82E45124898F}"/>
                </c:ext>
              </c:extLst>
            </c:dLbl>
            <c:dLbl>
              <c:idx val="25"/>
              <c:tx>
                <c:rich>
                  <a:bodyPr/>
                  <a:lstStyle/>
                  <a:p>
                    <a:fld id="{0E7AAC19-2510-4AFB-BD6F-8B27464B506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1-53AA-40B5-9921-82E45124898F}"/>
                </c:ext>
              </c:extLst>
            </c:dLbl>
            <c:dLbl>
              <c:idx val="26"/>
              <c:tx>
                <c:rich>
                  <a:bodyPr/>
                  <a:lstStyle/>
                  <a:p>
                    <a:fld id="{2D38D1C0-BCA1-4A7C-841D-FB019D0A0B2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53AA-40B5-9921-82E45124898F}"/>
                </c:ext>
              </c:extLst>
            </c:dLbl>
            <c:dLbl>
              <c:idx val="27"/>
              <c:tx>
                <c:rich>
                  <a:bodyPr/>
                  <a:lstStyle/>
                  <a:p>
                    <a:fld id="{CAE71B4B-090F-4EB3-BABE-DF3FB429BAB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3-53AA-40B5-9921-82E45124898F}"/>
                </c:ext>
              </c:extLst>
            </c:dLbl>
            <c:dLbl>
              <c:idx val="28"/>
              <c:tx>
                <c:rich>
                  <a:bodyPr/>
                  <a:lstStyle/>
                  <a:p>
                    <a:fld id="{B07D569F-CCFE-4506-8531-DB14D90B715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4-53AA-40B5-9921-82E45124898F}"/>
                </c:ext>
              </c:extLst>
            </c:dLbl>
            <c:dLbl>
              <c:idx val="29"/>
              <c:tx>
                <c:rich>
                  <a:bodyPr/>
                  <a:lstStyle/>
                  <a:p>
                    <a:fld id="{3734B2AA-B58B-4C68-9263-13569BDF149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53AA-40B5-9921-82E45124898F}"/>
                </c:ext>
              </c:extLst>
            </c:dLbl>
            <c:dLbl>
              <c:idx val="30"/>
              <c:tx>
                <c:rich>
                  <a:bodyPr/>
                  <a:lstStyle/>
                  <a:p>
                    <a:fld id="{085C931B-D768-4284-82B1-732C9DB99DE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6-53AA-40B5-9921-82E45124898F}"/>
                </c:ext>
              </c:extLst>
            </c:dLbl>
            <c:dLbl>
              <c:idx val="31"/>
              <c:tx>
                <c:rich>
                  <a:bodyPr/>
                  <a:lstStyle/>
                  <a:p>
                    <a:fld id="{7C83B2EF-31F9-41BE-868B-027B14BE292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7-53AA-40B5-9921-82E45124898F}"/>
                </c:ext>
              </c:extLst>
            </c:dLbl>
            <c:dLbl>
              <c:idx val="32"/>
              <c:tx>
                <c:rich>
                  <a:bodyPr/>
                  <a:lstStyle/>
                  <a:p>
                    <a:fld id="{C168C90D-8B8D-4F31-9E40-C9BE11BB68A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53AA-40B5-9921-82E45124898F}"/>
                </c:ext>
              </c:extLst>
            </c:dLbl>
            <c:dLbl>
              <c:idx val="33"/>
              <c:tx>
                <c:rich>
                  <a:bodyPr/>
                  <a:lstStyle/>
                  <a:p>
                    <a:fld id="{5C23EA35-E9A7-4A41-8CF4-D1A3AA673B7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53AA-40B5-9921-82E45124898F}"/>
                </c:ext>
              </c:extLst>
            </c:dLbl>
            <c:dLbl>
              <c:idx val="34"/>
              <c:tx>
                <c:rich>
                  <a:bodyPr/>
                  <a:lstStyle/>
                  <a:p>
                    <a:fld id="{941E9D0D-5773-492D-A98C-AF0036DDEB2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A-53AA-40B5-9921-82E45124898F}"/>
                </c:ext>
              </c:extLst>
            </c:dLbl>
            <c:dLbl>
              <c:idx val="35"/>
              <c:tx>
                <c:rich>
                  <a:bodyPr/>
                  <a:lstStyle/>
                  <a:p>
                    <a:fld id="{45BD1BC1-42A1-4BE2-946E-A3B0A185CC5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53AA-40B5-9921-82E45124898F}"/>
                </c:ext>
              </c:extLst>
            </c:dLbl>
            <c:dLbl>
              <c:idx val="36"/>
              <c:tx>
                <c:rich>
                  <a:bodyPr/>
                  <a:lstStyle/>
                  <a:p>
                    <a:fld id="{F739325A-F3A3-4163-A448-E4A86422CBB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C-53AA-40B5-9921-82E45124898F}"/>
                </c:ext>
              </c:extLst>
            </c:dLbl>
            <c:dLbl>
              <c:idx val="37"/>
              <c:tx>
                <c:rich>
                  <a:bodyPr/>
                  <a:lstStyle/>
                  <a:p>
                    <a:fld id="{FFCC3A9F-3942-4BD7-A3B6-A92C90F28CF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D-53AA-40B5-9921-82E45124898F}"/>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'BoP_izvoz usluga'!$A$90:$A$127</c:f>
              <c:numCache>
                <c:formatCode>yyyy</c:formatCode>
                <c:ptCount val="38"/>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numCache>
            </c:numRef>
          </c:cat>
          <c:val>
            <c:numRef>
              <c:f>'BoP_izvoz usluga'!$P$90:$P$127</c:f>
              <c:numCache>
                <c:formatCode>General</c:formatCode>
                <c:ptCount val="38"/>
                <c:pt idx="0">
                  <c:v>20</c:v>
                </c:pt>
                <c:pt idx="1">
                  <c:v>20</c:v>
                </c:pt>
                <c:pt idx="2">
                  <c:v>20</c:v>
                </c:pt>
                <c:pt idx="3">
                  <c:v>20</c:v>
                </c:pt>
                <c:pt idx="4">
                  <c:v>20</c:v>
                </c:pt>
                <c:pt idx="5">
                  <c:v>20</c:v>
                </c:pt>
                <c:pt idx="6">
                  <c:v>20</c:v>
                </c:pt>
                <c:pt idx="7">
                  <c:v>20</c:v>
                </c:pt>
                <c:pt idx="8">
                  <c:v>20</c:v>
                </c:pt>
                <c:pt idx="9">
                  <c:v>20</c:v>
                </c:pt>
                <c:pt idx="10">
                  <c:v>20</c:v>
                </c:pt>
                <c:pt idx="11">
                  <c:v>20</c:v>
                </c:pt>
                <c:pt idx="12">
                  <c:v>20</c:v>
                </c:pt>
                <c:pt idx="13">
                  <c:v>20</c:v>
                </c:pt>
                <c:pt idx="14">
                  <c:v>20</c:v>
                </c:pt>
                <c:pt idx="15">
                  <c:v>20</c:v>
                </c:pt>
                <c:pt idx="16">
                  <c:v>20</c:v>
                </c:pt>
                <c:pt idx="17">
                  <c:v>20</c:v>
                </c:pt>
                <c:pt idx="18">
                  <c:v>20</c:v>
                </c:pt>
                <c:pt idx="19">
                  <c:v>20</c:v>
                </c:pt>
                <c:pt idx="20">
                  <c:v>20</c:v>
                </c:pt>
                <c:pt idx="21">
                  <c:v>20</c:v>
                </c:pt>
                <c:pt idx="22">
                  <c:v>20</c:v>
                </c:pt>
                <c:pt idx="23">
                  <c:v>20</c:v>
                </c:pt>
                <c:pt idx="24">
                  <c:v>20</c:v>
                </c:pt>
                <c:pt idx="25">
                  <c:v>20</c:v>
                </c:pt>
                <c:pt idx="26">
                  <c:v>20</c:v>
                </c:pt>
                <c:pt idx="27">
                  <c:v>20</c:v>
                </c:pt>
                <c:pt idx="28">
                  <c:v>20</c:v>
                </c:pt>
                <c:pt idx="29">
                  <c:v>20</c:v>
                </c:pt>
                <c:pt idx="30">
                  <c:v>20</c:v>
                </c:pt>
                <c:pt idx="31">
                  <c:v>20</c:v>
                </c:pt>
                <c:pt idx="32">
                  <c:v>20</c:v>
                </c:pt>
                <c:pt idx="33">
                  <c:v>20</c:v>
                </c:pt>
                <c:pt idx="34">
                  <c:v>20</c:v>
                </c:pt>
                <c:pt idx="35">
                  <c:v>20</c:v>
                </c:pt>
                <c:pt idx="36">
                  <c:v>20</c:v>
                </c:pt>
                <c:pt idx="37">
                  <c:v>20</c:v>
                </c:pt>
              </c:numCache>
            </c:numRef>
          </c:val>
          <c:smooth val="0"/>
          <c:extLst>
            <c:ext xmlns:c15="http://schemas.microsoft.com/office/drawing/2012/chart" uri="{02D57815-91ED-43cb-92C2-25804820EDAC}">
              <c15:datalabelsRange>
                <c15:f>'BoP_izvoz usluga'!$C$90:$C$127</c15:f>
                <c15:dlblRangeCache>
                  <c:ptCount val="3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15:dlblRangeCache>
              </c15:datalabelsRange>
            </c:ext>
            <c:ext xmlns:c16="http://schemas.microsoft.com/office/drawing/2014/chart" uri="{C3380CC4-5D6E-409C-BE32-E72D297353CC}">
              <c16:uniqueId val="{0000002E-53AA-40B5-9921-82E45124898F}"/>
            </c:ext>
          </c:extLst>
        </c:ser>
        <c:dLbls>
          <c:showLegendKey val="0"/>
          <c:showVal val="0"/>
          <c:showCatName val="0"/>
          <c:showSerName val="0"/>
          <c:showPercent val="0"/>
          <c:showBubbleSize val="0"/>
        </c:dLbls>
        <c:smooth val="0"/>
        <c:axId val="1828937008"/>
        <c:axId val="1828920688"/>
      </c:lineChart>
      <c:dateAx>
        <c:axId val="1828937008"/>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1828920688"/>
        <c:crosses val="autoZero"/>
        <c:auto val="1"/>
        <c:lblOffset val="0"/>
        <c:baseTimeUnit val="months"/>
      </c:dateAx>
      <c:valAx>
        <c:axId val="1828920688"/>
        <c:scaling>
          <c:orientation val="minMax"/>
          <c:max val="150"/>
          <c:min val="2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28937008"/>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229075532225129E-2"/>
          <c:y val="5.8179243711477598E-2"/>
          <c:w val="0.88862277631962672"/>
          <c:h val="0.64057387972680324"/>
        </c:manualLayout>
      </c:layout>
      <c:barChart>
        <c:barDir val="col"/>
        <c:grouping val="clustered"/>
        <c:varyColors val="0"/>
        <c:ser>
          <c:idx val="0"/>
          <c:order val="0"/>
          <c:tx>
            <c:strRef>
              <c:f>BDPQ_doprinosi!$R$54</c:f>
              <c:strCache>
                <c:ptCount val="1"/>
                <c:pt idx="0">
                  <c:v>Тренутна процена</c:v>
                </c:pt>
              </c:strCache>
            </c:strRef>
          </c:tx>
          <c:spPr>
            <a:solidFill>
              <a:srgbClr val="29489A"/>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bg1"/>
                    </a:solidFill>
                    <a:latin typeface="+mn-lt"/>
                    <a:ea typeface="+mn-ea"/>
                    <a:cs typeface="+mn-cs"/>
                  </a:defRPr>
                </a:pPr>
                <a:endParaRPr lang="sr-Latn-R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BDPQ_doprinosi!$S$52:$V$53</c:f>
              <c:multiLvlStrCache>
                <c:ptCount val="4"/>
                <c:lvl>
                  <c:pt idx="0">
                    <c:v>Q1</c:v>
                  </c:pt>
                  <c:pt idx="1">
                    <c:v>Q2</c:v>
                  </c:pt>
                  <c:pt idx="2">
                    <c:v>Q3</c:v>
                  </c:pt>
                  <c:pt idx="3">
                    <c:v>Q4</c:v>
                  </c:pt>
                </c:lvl>
                <c:lvl>
                  <c:pt idx="0">
                    <c:v>2022</c:v>
                  </c:pt>
                </c:lvl>
              </c:multiLvlStrCache>
            </c:multiLvlStrRef>
          </c:cat>
          <c:val>
            <c:numRef>
              <c:f>BDPQ_doprinosi!$S$54:$V$54</c:f>
              <c:numCache>
                <c:formatCode>0.0</c:formatCode>
                <c:ptCount val="4"/>
                <c:pt idx="0">
                  <c:v>4.3</c:v>
                </c:pt>
                <c:pt idx="1">
                  <c:v>3.9</c:v>
                </c:pt>
                <c:pt idx="2">
                  <c:v>3.5</c:v>
                </c:pt>
                <c:pt idx="3">
                  <c:v>2.2000000000000002</c:v>
                </c:pt>
              </c:numCache>
            </c:numRef>
          </c:val>
          <c:extLst>
            <c:ext xmlns:c16="http://schemas.microsoft.com/office/drawing/2014/chart" uri="{C3380CC4-5D6E-409C-BE32-E72D297353CC}">
              <c16:uniqueId val="{00000000-96B2-4A0C-BBE0-42F287B9F810}"/>
            </c:ext>
          </c:extLst>
        </c:ser>
        <c:ser>
          <c:idx val="1"/>
          <c:order val="1"/>
          <c:tx>
            <c:strRef>
              <c:f>BDPQ_doprinosi!$R$55</c:f>
              <c:strCache>
                <c:ptCount val="1"/>
                <c:pt idx="0">
                  <c:v>Претходна пројекција</c:v>
                </c:pt>
              </c:strCache>
            </c:strRef>
          </c:tx>
          <c:spPr>
            <a:solidFill>
              <a:srgbClr val="ED1C2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bg1"/>
                    </a:solidFill>
                    <a:latin typeface="+mn-lt"/>
                    <a:ea typeface="+mn-ea"/>
                    <a:cs typeface="+mn-cs"/>
                  </a:defRPr>
                </a:pPr>
                <a:endParaRPr lang="sr-Latn-R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BDPQ_doprinosi!$S$52:$V$53</c:f>
              <c:multiLvlStrCache>
                <c:ptCount val="4"/>
                <c:lvl>
                  <c:pt idx="0">
                    <c:v>Q1</c:v>
                  </c:pt>
                  <c:pt idx="1">
                    <c:v>Q2</c:v>
                  </c:pt>
                  <c:pt idx="2">
                    <c:v>Q3</c:v>
                  </c:pt>
                  <c:pt idx="3">
                    <c:v>Q4</c:v>
                  </c:pt>
                </c:lvl>
                <c:lvl>
                  <c:pt idx="0">
                    <c:v>2022</c:v>
                  </c:pt>
                </c:lvl>
              </c:multiLvlStrCache>
            </c:multiLvlStrRef>
          </c:cat>
          <c:val>
            <c:numRef>
              <c:f>BDPQ_doprinosi!$S$55:$V$55</c:f>
              <c:numCache>
                <c:formatCode>0.0</c:formatCode>
                <c:ptCount val="4"/>
                <c:pt idx="0">
                  <c:v>3.9</c:v>
                </c:pt>
                <c:pt idx="1">
                  <c:v>4.0404518468464898</c:v>
                </c:pt>
                <c:pt idx="2">
                  <c:v>4.4651123906068104</c:v>
                </c:pt>
                <c:pt idx="3">
                  <c:v>5.54373796963168</c:v>
                </c:pt>
              </c:numCache>
            </c:numRef>
          </c:val>
          <c:extLst>
            <c:ext xmlns:c16="http://schemas.microsoft.com/office/drawing/2014/chart" uri="{C3380CC4-5D6E-409C-BE32-E72D297353CC}">
              <c16:uniqueId val="{00000001-96B2-4A0C-BBE0-42F287B9F810}"/>
            </c:ext>
          </c:extLst>
        </c:ser>
        <c:dLbls>
          <c:showLegendKey val="0"/>
          <c:showVal val="0"/>
          <c:showCatName val="0"/>
          <c:showSerName val="0"/>
          <c:showPercent val="0"/>
          <c:showBubbleSize val="0"/>
        </c:dLbls>
        <c:gapWidth val="57"/>
        <c:overlap val="-16"/>
        <c:axId val="1011580544"/>
        <c:axId val="1011583040"/>
      </c:barChart>
      <c:catAx>
        <c:axId val="1011580544"/>
        <c:scaling>
          <c:orientation val="minMax"/>
        </c:scaling>
        <c:delete val="0"/>
        <c:axPos val="b"/>
        <c:numFmt formatCode="General" sourceLinked="1"/>
        <c:majorTickMark val="none"/>
        <c:minorTickMark val="none"/>
        <c:tickLblPos val="nextTo"/>
        <c:spPr>
          <a:noFill/>
          <a:ln w="6350" cap="flat" cmpd="sng" algn="ctr">
            <a:no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011583040"/>
        <c:crosses val="autoZero"/>
        <c:auto val="1"/>
        <c:lblAlgn val="ctr"/>
        <c:lblOffset val="100"/>
        <c:noMultiLvlLbl val="0"/>
      </c:catAx>
      <c:valAx>
        <c:axId val="1011583040"/>
        <c:scaling>
          <c:orientation val="minMax"/>
          <c:max val="6"/>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011580544"/>
        <c:crosses val="autoZero"/>
        <c:crossBetween val="between"/>
        <c:majorUnit val="1"/>
      </c:valAx>
      <c:spPr>
        <a:noFill/>
        <a:ln>
          <a:noFill/>
        </a:ln>
        <a:effectLst/>
      </c:spPr>
    </c:plotArea>
    <c:legend>
      <c:legendPos val="b"/>
      <c:layout>
        <c:manualLayout>
          <c:xMode val="edge"/>
          <c:yMode val="edge"/>
          <c:x val="0.11687591134441529"/>
          <c:y val="0.8803256704980843"/>
          <c:w val="0.75698855351414407"/>
          <c:h val="0.10380726303514909"/>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userShapes r:id="rId5"/>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4.6197089947089945E-2"/>
          <c:w val="0.90740810185185183"/>
          <c:h val="0.69238921957671962"/>
        </c:manualLayout>
      </c:layout>
      <c:barChart>
        <c:barDir val="col"/>
        <c:grouping val="stacked"/>
        <c:varyColors val="0"/>
        <c:ser>
          <c:idx val="2"/>
          <c:order val="0"/>
          <c:tx>
            <c:strRef>
              <c:f>BDP_doprinosi!$R$8</c:f>
              <c:strCache>
                <c:ptCount val="1"/>
                <c:pt idx="0">
                  <c:v>Приватна потрошња</c:v>
                </c:pt>
              </c:strCache>
            </c:strRef>
          </c:tx>
          <c:spPr>
            <a:solidFill>
              <a:srgbClr val="10103C"/>
            </a:solidFill>
            <a:ln>
              <a:noFill/>
            </a:ln>
            <a:effectLst/>
          </c:spPr>
          <c:invertIfNegative val="0"/>
          <c:cat>
            <c:numRef>
              <c:f>BDP_doprinosi!$AC$6:$AJ$6</c:f>
              <c:numCache>
                <c:formatCode>General</c:formatCode>
                <c:ptCount val="7"/>
                <c:pt idx="0">
                  <c:v>2019</c:v>
                </c:pt>
                <c:pt idx="1">
                  <c:v>2020</c:v>
                </c:pt>
                <c:pt idx="2">
                  <c:v>2021</c:v>
                </c:pt>
                <c:pt idx="3">
                  <c:v>2022</c:v>
                </c:pt>
                <c:pt idx="4">
                  <c:v>2023</c:v>
                </c:pt>
                <c:pt idx="5">
                  <c:v>2024</c:v>
                </c:pt>
                <c:pt idx="6">
                  <c:v>2025</c:v>
                </c:pt>
              </c:numCache>
              <c:extLst/>
            </c:numRef>
          </c:cat>
          <c:val>
            <c:numRef>
              <c:f>BDP_doprinosi!$AC$8:$AJ$8</c:f>
              <c:numCache>
                <c:formatCode>0.0</c:formatCode>
                <c:ptCount val="7"/>
                <c:pt idx="0">
                  <c:v>2.5473076722874062</c:v>
                </c:pt>
                <c:pt idx="1">
                  <c:v>-1.3152887388233652</c:v>
                </c:pt>
                <c:pt idx="2">
                  <c:v>5.068437512887634</c:v>
                </c:pt>
                <c:pt idx="3">
                  <c:v>2.1414927865752711</c:v>
                </c:pt>
                <c:pt idx="4">
                  <c:v>2.615921515326054</c:v>
                </c:pt>
                <c:pt idx="5">
                  <c:v>2.0620227412176098</c:v>
                </c:pt>
                <c:pt idx="6">
                  <c:v>2.0694248741347914</c:v>
                </c:pt>
              </c:numCache>
              <c:extLst/>
            </c:numRef>
          </c:val>
          <c:extLst>
            <c:ext xmlns:c16="http://schemas.microsoft.com/office/drawing/2014/chart" uri="{C3380CC4-5D6E-409C-BE32-E72D297353CC}">
              <c16:uniqueId val="{00000000-AB68-4211-ACF9-D757E080E264}"/>
            </c:ext>
          </c:extLst>
        </c:ser>
        <c:ser>
          <c:idx val="3"/>
          <c:order val="1"/>
          <c:tx>
            <c:strRef>
              <c:f>BDP_doprinosi!$R$9</c:f>
              <c:strCache>
                <c:ptCount val="1"/>
                <c:pt idx="0">
                  <c:v>Државна потрошња</c:v>
                </c:pt>
              </c:strCache>
            </c:strRef>
          </c:tx>
          <c:spPr>
            <a:solidFill>
              <a:srgbClr val="29489A"/>
            </a:solidFill>
            <a:ln>
              <a:noFill/>
            </a:ln>
            <a:effectLst/>
          </c:spPr>
          <c:invertIfNegative val="0"/>
          <c:cat>
            <c:numRef>
              <c:f>BDP_doprinosi!$AC$6:$AJ$6</c:f>
              <c:numCache>
                <c:formatCode>General</c:formatCode>
                <c:ptCount val="7"/>
                <c:pt idx="0">
                  <c:v>2019</c:v>
                </c:pt>
                <c:pt idx="1">
                  <c:v>2020</c:v>
                </c:pt>
                <c:pt idx="2">
                  <c:v>2021</c:v>
                </c:pt>
                <c:pt idx="3">
                  <c:v>2022</c:v>
                </c:pt>
                <c:pt idx="4">
                  <c:v>2023</c:v>
                </c:pt>
                <c:pt idx="5">
                  <c:v>2024</c:v>
                </c:pt>
                <c:pt idx="6">
                  <c:v>2025</c:v>
                </c:pt>
              </c:numCache>
              <c:extLst/>
            </c:numRef>
          </c:cat>
          <c:val>
            <c:numRef>
              <c:f>BDP_doprinosi!$AC$9:$AJ$9</c:f>
              <c:numCache>
                <c:formatCode>0.0</c:formatCode>
                <c:ptCount val="7"/>
                <c:pt idx="0">
                  <c:v>0.32165362516949936</c:v>
                </c:pt>
                <c:pt idx="1">
                  <c:v>0.46681029333435858</c:v>
                </c:pt>
                <c:pt idx="2">
                  <c:v>0.47084230445724529</c:v>
                </c:pt>
                <c:pt idx="3">
                  <c:v>-6.1672530554664262E-2</c:v>
                </c:pt>
                <c:pt idx="4">
                  <c:v>0.14842895909638212</c:v>
                </c:pt>
                <c:pt idx="5">
                  <c:v>0.1586230988419364</c:v>
                </c:pt>
                <c:pt idx="6">
                  <c:v>0.21027266555401955</c:v>
                </c:pt>
              </c:numCache>
              <c:extLst/>
            </c:numRef>
          </c:val>
          <c:extLst>
            <c:ext xmlns:c16="http://schemas.microsoft.com/office/drawing/2014/chart" uri="{C3380CC4-5D6E-409C-BE32-E72D297353CC}">
              <c16:uniqueId val="{00000001-AB68-4211-ACF9-D757E080E264}"/>
            </c:ext>
          </c:extLst>
        </c:ser>
        <c:ser>
          <c:idx val="1"/>
          <c:order val="2"/>
          <c:tx>
            <c:strRef>
              <c:f>BDP_doprinosi!$R$10</c:f>
              <c:strCache>
                <c:ptCount val="1"/>
                <c:pt idx="0">
                  <c:v>Инвестиције</c:v>
                </c:pt>
              </c:strCache>
            </c:strRef>
          </c:tx>
          <c:spPr>
            <a:solidFill>
              <a:srgbClr val="2183C4"/>
            </a:solidFill>
            <a:ln>
              <a:noFill/>
            </a:ln>
            <a:effectLst/>
          </c:spPr>
          <c:invertIfNegative val="0"/>
          <c:cat>
            <c:numRef>
              <c:f>BDP_doprinosi!$AC$6:$AJ$6</c:f>
              <c:numCache>
                <c:formatCode>General</c:formatCode>
                <c:ptCount val="7"/>
                <c:pt idx="0">
                  <c:v>2019</c:v>
                </c:pt>
                <c:pt idx="1">
                  <c:v>2020</c:v>
                </c:pt>
                <c:pt idx="2">
                  <c:v>2021</c:v>
                </c:pt>
                <c:pt idx="3">
                  <c:v>2022</c:v>
                </c:pt>
                <c:pt idx="4">
                  <c:v>2023</c:v>
                </c:pt>
                <c:pt idx="5">
                  <c:v>2024</c:v>
                </c:pt>
                <c:pt idx="6">
                  <c:v>2025</c:v>
                </c:pt>
              </c:numCache>
              <c:extLst/>
            </c:numRef>
          </c:cat>
          <c:val>
            <c:numRef>
              <c:f>BDP_doprinosi!$AC$10:$AJ$10</c:f>
              <c:numCache>
                <c:formatCode>0.0</c:formatCode>
                <c:ptCount val="7"/>
                <c:pt idx="0">
                  <c:v>3.4525777672115594</c:v>
                </c:pt>
                <c:pt idx="1">
                  <c:v>-0.42981806670151979</c:v>
                </c:pt>
                <c:pt idx="2">
                  <c:v>2.6703156331634217</c:v>
                </c:pt>
                <c:pt idx="3">
                  <c:v>0.70848459159747545</c:v>
                </c:pt>
                <c:pt idx="4">
                  <c:v>1.4435847200788572</c:v>
                </c:pt>
                <c:pt idx="5">
                  <c:v>1.6322836503239724</c:v>
                </c:pt>
                <c:pt idx="6">
                  <c:v>1.8734332484374481</c:v>
                </c:pt>
              </c:numCache>
              <c:extLst/>
            </c:numRef>
          </c:val>
          <c:extLst>
            <c:ext xmlns:c16="http://schemas.microsoft.com/office/drawing/2014/chart" uri="{C3380CC4-5D6E-409C-BE32-E72D297353CC}">
              <c16:uniqueId val="{00000002-AB68-4211-ACF9-D757E080E264}"/>
            </c:ext>
          </c:extLst>
        </c:ser>
        <c:ser>
          <c:idx val="0"/>
          <c:order val="3"/>
          <c:tx>
            <c:strRef>
              <c:f>BDP_doprinosi!$R$11</c:f>
              <c:strCache>
                <c:ptCount val="1"/>
                <c:pt idx="0">
                  <c:v>Нето извоз</c:v>
                </c:pt>
              </c:strCache>
            </c:strRef>
          </c:tx>
          <c:spPr>
            <a:solidFill>
              <a:srgbClr val="51BBE7"/>
            </a:solidFill>
            <a:ln>
              <a:noFill/>
            </a:ln>
            <a:effectLst/>
          </c:spPr>
          <c:invertIfNegative val="0"/>
          <c:cat>
            <c:numRef>
              <c:f>BDP_doprinosi!$AC$6:$AJ$6</c:f>
              <c:numCache>
                <c:formatCode>General</c:formatCode>
                <c:ptCount val="7"/>
                <c:pt idx="0">
                  <c:v>2019</c:v>
                </c:pt>
                <c:pt idx="1">
                  <c:v>2020</c:v>
                </c:pt>
                <c:pt idx="2">
                  <c:v>2021</c:v>
                </c:pt>
                <c:pt idx="3">
                  <c:v>2022</c:v>
                </c:pt>
                <c:pt idx="4">
                  <c:v>2023</c:v>
                </c:pt>
                <c:pt idx="5">
                  <c:v>2024</c:v>
                </c:pt>
                <c:pt idx="6">
                  <c:v>2025</c:v>
                </c:pt>
              </c:numCache>
              <c:extLst/>
            </c:numRef>
          </c:cat>
          <c:val>
            <c:numRef>
              <c:f>BDP_doprinosi!$AC$11:$AJ$11</c:f>
              <c:numCache>
                <c:formatCode>0.0</c:formatCode>
                <c:ptCount val="7"/>
                <c:pt idx="0">
                  <c:v>-2.4321559378222171</c:v>
                </c:pt>
                <c:pt idx="1">
                  <c:v>4.8384492191387185E-2</c:v>
                </c:pt>
                <c:pt idx="2">
                  <c:v>-1.5576800666672224</c:v>
                </c:pt>
                <c:pt idx="3">
                  <c:v>-0.82063745474615124</c:v>
                </c:pt>
                <c:pt idx="4">
                  <c:v>1.4120745876610415E-2</c:v>
                </c:pt>
                <c:pt idx="5">
                  <c:v>0.16082094604587843</c:v>
                </c:pt>
                <c:pt idx="6">
                  <c:v>0.32355796600274411</c:v>
                </c:pt>
              </c:numCache>
              <c:extLst/>
            </c:numRef>
          </c:val>
          <c:extLst>
            <c:ext xmlns:c16="http://schemas.microsoft.com/office/drawing/2014/chart" uri="{C3380CC4-5D6E-409C-BE32-E72D297353CC}">
              <c16:uniqueId val="{00000003-AB68-4211-ACF9-D757E080E264}"/>
            </c:ext>
          </c:extLst>
        </c:ser>
        <c:ser>
          <c:idx val="4"/>
          <c:order val="4"/>
          <c:tx>
            <c:strRef>
              <c:f>BDP_doprinosi!$R$12</c:f>
              <c:strCache>
                <c:ptCount val="1"/>
                <c:pt idx="0">
                  <c:v>Промена у залихама</c:v>
                </c:pt>
              </c:strCache>
            </c:strRef>
          </c:tx>
          <c:spPr>
            <a:solidFill>
              <a:srgbClr val="9ED1E6"/>
            </a:solidFill>
            <a:ln>
              <a:noFill/>
            </a:ln>
            <a:effectLst/>
          </c:spPr>
          <c:invertIfNegative val="0"/>
          <c:cat>
            <c:numRef>
              <c:f>BDP_doprinosi!$AC$6:$AJ$6</c:f>
              <c:numCache>
                <c:formatCode>General</c:formatCode>
                <c:ptCount val="7"/>
                <c:pt idx="0">
                  <c:v>2019</c:v>
                </c:pt>
                <c:pt idx="1">
                  <c:v>2020</c:v>
                </c:pt>
                <c:pt idx="2">
                  <c:v>2021</c:v>
                </c:pt>
                <c:pt idx="3">
                  <c:v>2022</c:v>
                </c:pt>
                <c:pt idx="4">
                  <c:v>2023</c:v>
                </c:pt>
                <c:pt idx="5">
                  <c:v>2024</c:v>
                </c:pt>
                <c:pt idx="6">
                  <c:v>2025</c:v>
                </c:pt>
              </c:numCache>
              <c:extLst/>
            </c:numRef>
          </c:cat>
          <c:val>
            <c:numRef>
              <c:f>BDP_doprinosi!$AC$12:$AJ$12</c:f>
              <c:numCache>
                <c:formatCode>0.0</c:formatCode>
                <c:ptCount val="7"/>
                <c:pt idx="0">
                  <c:v>0.44235332901016944</c:v>
                </c:pt>
                <c:pt idx="1">
                  <c:v>0.28531393769639174</c:v>
                </c:pt>
                <c:pt idx="2">
                  <c:v>0.73735791370395598</c:v>
                </c:pt>
                <c:pt idx="3">
                  <c:v>1.4923326071280612</c:v>
                </c:pt>
                <c:pt idx="4">
                  <c:v>-0.26205594037788532</c:v>
                </c:pt>
                <c:pt idx="5">
                  <c:v>-1.3750436429389799E-2</c:v>
                </c:pt>
                <c:pt idx="6">
                  <c:v>2.3311245870988623E-2</c:v>
                </c:pt>
              </c:numCache>
              <c:extLst/>
            </c:numRef>
          </c:val>
          <c:extLst>
            <c:ext xmlns:c16="http://schemas.microsoft.com/office/drawing/2014/chart" uri="{C3380CC4-5D6E-409C-BE32-E72D297353CC}">
              <c16:uniqueId val="{00000004-AB68-4211-ACF9-D757E080E264}"/>
            </c:ext>
          </c:extLst>
        </c:ser>
        <c:dLbls>
          <c:showLegendKey val="0"/>
          <c:showVal val="0"/>
          <c:showCatName val="0"/>
          <c:showSerName val="0"/>
          <c:showPercent val="0"/>
          <c:showBubbleSize val="0"/>
        </c:dLbls>
        <c:gapWidth val="60"/>
        <c:overlap val="100"/>
        <c:axId val="1768857248"/>
        <c:axId val="1768855072"/>
      </c:barChart>
      <c:lineChart>
        <c:grouping val="standard"/>
        <c:varyColors val="0"/>
        <c:ser>
          <c:idx val="5"/>
          <c:order val="5"/>
          <c:tx>
            <c:strRef>
              <c:f>BDP_doprinosi!$R$13</c:f>
              <c:strCache>
                <c:ptCount val="1"/>
                <c:pt idx="0">
                  <c:v>Реални раст БДП</c:v>
                </c:pt>
              </c:strCache>
            </c:strRef>
          </c:tx>
          <c:spPr>
            <a:ln w="25400" cap="rnd">
              <a:solidFill>
                <a:srgbClr val="FF0000"/>
              </a:solidFill>
              <a:round/>
            </a:ln>
            <a:effectLst/>
          </c:spPr>
          <c:marker>
            <c:symbol val="none"/>
          </c:marker>
          <c:dLbls>
            <c:dLbl>
              <c:idx val="1"/>
              <c:layout>
                <c:manualLayout>
                  <c:x val="-6.6898148148148151E-2"/>
                  <c:y val="5.15286168656826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B68-4211-ACF9-D757E080E264}"/>
                </c:ext>
              </c:extLst>
            </c:dLbl>
            <c:spPr>
              <a:noFill/>
              <a:ln>
                <a:noFill/>
              </a:ln>
              <a:effectLst/>
            </c:spPr>
            <c:txPr>
              <a:bodyPr rot="0" spcFirstLastPara="1" vertOverflow="ellipsis" vert="horz" wrap="square" anchor="ctr" anchorCtr="1"/>
              <a:lstStyle/>
              <a:p>
                <a:pPr>
                  <a:defRPr sz="750" b="1" i="0" u="none" strike="noStrike" kern="1200" baseline="0">
                    <a:solidFill>
                      <a:srgbClr val="FF0000"/>
                    </a:solidFill>
                    <a:latin typeface="+mn-lt"/>
                    <a:ea typeface="+mn-ea"/>
                    <a:cs typeface="Arial" panose="020B0604020202020204" pitchFamily="34" charset="0"/>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BDP_doprinosi!$AC$6:$AJ$6</c:f>
              <c:numCache>
                <c:formatCode>General</c:formatCode>
                <c:ptCount val="7"/>
                <c:pt idx="0">
                  <c:v>2019</c:v>
                </c:pt>
                <c:pt idx="1">
                  <c:v>2020</c:v>
                </c:pt>
                <c:pt idx="2">
                  <c:v>2021</c:v>
                </c:pt>
                <c:pt idx="3">
                  <c:v>2022</c:v>
                </c:pt>
                <c:pt idx="4">
                  <c:v>2023</c:v>
                </c:pt>
                <c:pt idx="5">
                  <c:v>2024</c:v>
                </c:pt>
                <c:pt idx="6">
                  <c:v>2025</c:v>
                </c:pt>
              </c:numCache>
              <c:extLst/>
            </c:numRef>
          </c:cat>
          <c:val>
            <c:numRef>
              <c:f>BDP_doprinosi!$AC$13:$AJ$13</c:f>
              <c:numCache>
                <c:formatCode>0.0</c:formatCode>
                <c:ptCount val="7"/>
                <c:pt idx="0">
                  <c:v>4.3317364558564329</c:v>
                </c:pt>
                <c:pt idx="1">
                  <c:v>-0.94459808230274167</c:v>
                </c:pt>
                <c:pt idx="2">
                  <c:v>7.3892732975450253</c:v>
                </c:pt>
                <c:pt idx="3">
                  <c:v>3.46</c:v>
                </c:pt>
                <c:pt idx="4">
                  <c:v>3.96</c:v>
                </c:pt>
                <c:pt idx="5">
                  <c:v>4</c:v>
                </c:pt>
                <c:pt idx="6">
                  <c:v>4.5</c:v>
                </c:pt>
              </c:numCache>
              <c:extLst/>
            </c:numRef>
          </c:val>
          <c:smooth val="0"/>
          <c:extLst>
            <c:ext xmlns:c16="http://schemas.microsoft.com/office/drawing/2014/chart" uri="{C3380CC4-5D6E-409C-BE32-E72D297353CC}">
              <c16:uniqueId val="{00000006-AB68-4211-ACF9-D757E080E264}"/>
            </c:ext>
          </c:extLst>
        </c:ser>
        <c:dLbls>
          <c:showLegendKey val="0"/>
          <c:showVal val="0"/>
          <c:showCatName val="0"/>
          <c:showSerName val="0"/>
          <c:showPercent val="0"/>
          <c:showBubbleSize val="0"/>
        </c:dLbls>
        <c:marker val="1"/>
        <c:smooth val="0"/>
        <c:axId val="1768857248"/>
        <c:axId val="1768855072"/>
      </c:lineChart>
      <c:catAx>
        <c:axId val="1768857248"/>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768855072"/>
        <c:crosses val="autoZero"/>
        <c:auto val="1"/>
        <c:lblAlgn val="ctr"/>
        <c:lblOffset val="100"/>
        <c:noMultiLvlLbl val="0"/>
      </c:catAx>
      <c:valAx>
        <c:axId val="1768855072"/>
        <c:scaling>
          <c:orientation val="minMax"/>
          <c:min val="-4"/>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768857248"/>
        <c:crosses val="autoZero"/>
        <c:crossBetween val="between"/>
      </c:valAx>
      <c:spPr>
        <a:noFill/>
        <a:ln>
          <a:noFill/>
        </a:ln>
        <a:effectLst/>
      </c:spPr>
    </c:plotArea>
    <c:legend>
      <c:legendPos val="b"/>
      <c:layout>
        <c:manualLayout>
          <c:xMode val="edge"/>
          <c:yMode val="edge"/>
          <c:x val="0"/>
          <c:y val="0.83244109195402283"/>
          <c:w val="1"/>
          <c:h val="0.1675589080459770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sr-Latn-RS"/>
    </a:p>
  </c:txPr>
  <c:externalData r:id="rId4">
    <c:autoUpdate val="0"/>
  </c:externalData>
  <c:userShapes r:id="rId5"/>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7.0236607987885669E-2"/>
          <c:w val="0.90740810185185183"/>
          <c:h val="0.66834989589248528"/>
        </c:manualLayout>
      </c:layout>
      <c:barChart>
        <c:barDir val="col"/>
        <c:grouping val="stacked"/>
        <c:varyColors val="0"/>
        <c:ser>
          <c:idx val="0"/>
          <c:order val="0"/>
          <c:tx>
            <c:strRef>
              <c:f>BDP_doprinosi!$R$34</c:f>
              <c:strCache>
                <c:ptCount val="1"/>
                <c:pt idx="0">
                  <c:v>Пољопривреда</c:v>
                </c:pt>
              </c:strCache>
            </c:strRef>
          </c:tx>
          <c:spPr>
            <a:solidFill>
              <a:srgbClr val="10103C"/>
            </a:solidFill>
            <a:ln>
              <a:noFill/>
            </a:ln>
            <a:effectLst/>
          </c:spPr>
          <c:invertIfNegative val="0"/>
          <c:cat>
            <c:numRef>
              <c:f>BDP_doprinosi!$AD$33:$AJ$33</c:f>
              <c:numCache>
                <c:formatCode>General</c:formatCode>
                <c:ptCount val="7"/>
                <c:pt idx="0">
                  <c:v>2019</c:v>
                </c:pt>
                <c:pt idx="1">
                  <c:v>2020</c:v>
                </c:pt>
                <c:pt idx="2">
                  <c:v>2021</c:v>
                </c:pt>
                <c:pt idx="3">
                  <c:v>2022</c:v>
                </c:pt>
                <c:pt idx="4">
                  <c:v>2023</c:v>
                </c:pt>
                <c:pt idx="5">
                  <c:v>2024</c:v>
                </c:pt>
                <c:pt idx="6">
                  <c:v>2025</c:v>
                </c:pt>
              </c:numCache>
            </c:numRef>
          </c:cat>
          <c:val>
            <c:numRef>
              <c:f>BDP_doprinosi!$AD$34:$AJ$34</c:f>
              <c:numCache>
                <c:formatCode>0.0</c:formatCode>
                <c:ptCount val="7"/>
                <c:pt idx="0">
                  <c:v>-0.10470209248427834</c:v>
                </c:pt>
                <c:pt idx="1">
                  <c:v>0.12991137327747054</c:v>
                </c:pt>
                <c:pt idx="2">
                  <c:v>-0.34151337471978516</c:v>
                </c:pt>
                <c:pt idx="3">
                  <c:v>2.8825425449082488E-2</c:v>
                </c:pt>
                <c:pt idx="4">
                  <c:v>0</c:v>
                </c:pt>
                <c:pt idx="5">
                  <c:v>0</c:v>
                </c:pt>
                <c:pt idx="6">
                  <c:v>0</c:v>
                </c:pt>
              </c:numCache>
            </c:numRef>
          </c:val>
          <c:extLst>
            <c:ext xmlns:c16="http://schemas.microsoft.com/office/drawing/2014/chart" uri="{C3380CC4-5D6E-409C-BE32-E72D297353CC}">
              <c16:uniqueId val="{00000000-FD19-4663-9D40-8C2818D43E46}"/>
            </c:ext>
          </c:extLst>
        </c:ser>
        <c:ser>
          <c:idx val="1"/>
          <c:order val="1"/>
          <c:tx>
            <c:strRef>
              <c:f>BDP_doprinosi!$R$35</c:f>
              <c:strCache>
                <c:ptCount val="1"/>
                <c:pt idx="0">
                  <c:v>Индустрија</c:v>
                </c:pt>
              </c:strCache>
            </c:strRef>
          </c:tx>
          <c:spPr>
            <a:solidFill>
              <a:srgbClr val="29489A"/>
            </a:solidFill>
            <a:ln>
              <a:noFill/>
            </a:ln>
            <a:effectLst/>
          </c:spPr>
          <c:invertIfNegative val="0"/>
          <c:cat>
            <c:numRef>
              <c:f>BDP_doprinosi!$AD$33:$AJ$33</c:f>
              <c:numCache>
                <c:formatCode>General</c:formatCode>
                <c:ptCount val="7"/>
                <c:pt idx="0">
                  <c:v>2019</c:v>
                </c:pt>
                <c:pt idx="1">
                  <c:v>2020</c:v>
                </c:pt>
                <c:pt idx="2">
                  <c:v>2021</c:v>
                </c:pt>
                <c:pt idx="3">
                  <c:v>2022</c:v>
                </c:pt>
                <c:pt idx="4">
                  <c:v>2023</c:v>
                </c:pt>
                <c:pt idx="5">
                  <c:v>2024</c:v>
                </c:pt>
                <c:pt idx="6">
                  <c:v>2025</c:v>
                </c:pt>
              </c:numCache>
            </c:numRef>
          </c:cat>
          <c:val>
            <c:numRef>
              <c:f>BDP_doprinosi!$AD$35:$AJ$35</c:f>
              <c:numCache>
                <c:formatCode>0.0</c:formatCode>
                <c:ptCount val="7"/>
                <c:pt idx="0">
                  <c:v>6.9801261418422189E-2</c:v>
                </c:pt>
                <c:pt idx="1">
                  <c:v>5.3216584000764809E-2</c:v>
                </c:pt>
                <c:pt idx="2">
                  <c:v>1.2001323504078834</c:v>
                </c:pt>
                <c:pt idx="3">
                  <c:v>0.73689147067146477</c:v>
                </c:pt>
                <c:pt idx="4">
                  <c:v>1.0268159837225328</c:v>
                </c:pt>
                <c:pt idx="5">
                  <c:v>1.1194307587249572</c:v>
                </c:pt>
                <c:pt idx="6">
                  <c:v>1.2684197445984229</c:v>
                </c:pt>
              </c:numCache>
            </c:numRef>
          </c:val>
          <c:extLst>
            <c:ext xmlns:c16="http://schemas.microsoft.com/office/drawing/2014/chart" uri="{C3380CC4-5D6E-409C-BE32-E72D297353CC}">
              <c16:uniqueId val="{00000001-FD19-4663-9D40-8C2818D43E46}"/>
            </c:ext>
          </c:extLst>
        </c:ser>
        <c:ser>
          <c:idx val="2"/>
          <c:order val="2"/>
          <c:tx>
            <c:strRef>
              <c:f>BDP_doprinosi!$R$36</c:f>
              <c:strCache>
                <c:ptCount val="1"/>
                <c:pt idx="0">
                  <c:v>Грађевинарство</c:v>
                </c:pt>
              </c:strCache>
            </c:strRef>
          </c:tx>
          <c:spPr>
            <a:solidFill>
              <a:srgbClr val="2183C4"/>
            </a:solidFill>
            <a:ln>
              <a:noFill/>
            </a:ln>
            <a:effectLst/>
          </c:spPr>
          <c:invertIfNegative val="0"/>
          <c:cat>
            <c:numRef>
              <c:f>BDP_doprinosi!$AD$33:$AJ$33</c:f>
              <c:numCache>
                <c:formatCode>General</c:formatCode>
                <c:ptCount val="7"/>
                <c:pt idx="0">
                  <c:v>2019</c:v>
                </c:pt>
                <c:pt idx="1">
                  <c:v>2020</c:v>
                </c:pt>
                <c:pt idx="2">
                  <c:v>2021</c:v>
                </c:pt>
                <c:pt idx="3">
                  <c:v>2022</c:v>
                </c:pt>
                <c:pt idx="4">
                  <c:v>2023</c:v>
                </c:pt>
                <c:pt idx="5">
                  <c:v>2024</c:v>
                </c:pt>
                <c:pt idx="6">
                  <c:v>2025</c:v>
                </c:pt>
              </c:numCache>
            </c:numRef>
          </c:cat>
          <c:val>
            <c:numRef>
              <c:f>BDP_doprinosi!$AD$36:$AJ$36</c:f>
              <c:numCache>
                <c:formatCode>0.0</c:formatCode>
                <c:ptCount val="7"/>
                <c:pt idx="0">
                  <c:v>1.4979377183874178</c:v>
                </c:pt>
                <c:pt idx="1">
                  <c:v>-0.20542761715776603</c:v>
                </c:pt>
                <c:pt idx="2">
                  <c:v>0.7600660360882544</c:v>
                </c:pt>
                <c:pt idx="3">
                  <c:v>7.4350845356837905E-2</c:v>
                </c:pt>
                <c:pt idx="4">
                  <c:v>0.30068356578132971</c:v>
                </c:pt>
                <c:pt idx="5">
                  <c:v>0.33895238324440807</c:v>
                </c:pt>
                <c:pt idx="6">
                  <c:v>0.43189093994045546</c:v>
                </c:pt>
              </c:numCache>
            </c:numRef>
          </c:val>
          <c:extLst>
            <c:ext xmlns:c16="http://schemas.microsoft.com/office/drawing/2014/chart" uri="{C3380CC4-5D6E-409C-BE32-E72D297353CC}">
              <c16:uniqueId val="{00000002-FD19-4663-9D40-8C2818D43E46}"/>
            </c:ext>
          </c:extLst>
        </c:ser>
        <c:ser>
          <c:idx val="3"/>
          <c:order val="3"/>
          <c:tx>
            <c:strRef>
              <c:f>BDP_doprinosi!$R$37</c:f>
              <c:strCache>
                <c:ptCount val="1"/>
                <c:pt idx="0">
                  <c:v>Услуге</c:v>
                </c:pt>
              </c:strCache>
            </c:strRef>
          </c:tx>
          <c:spPr>
            <a:solidFill>
              <a:srgbClr val="51BBE7"/>
            </a:solidFill>
            <a:ln>
              <a:noFill/>
            </a:ln>
            <a:effectLst/>
          </c:spPr>
          <c:invertIfNegative val="0"/>
          <c:cat>
            <c:numRef>
              <c:f>BDP_doprinosi!$AD$33:$AJ$33</c:f>
              <c:numCache>
                <c:formatCode>General</c:formatCode>
                <c:ptCount val="7"/>
                <c:pt idx="0">
                  <c:v>2019</c:v>
                </c:pt>
                <c:pt idx="1">
                  <c:v>2020</c:v>
                </c:pt>
                <c:pt idx="2">
                  <c:v>2021</c:v>
                </c:pt>
                <c:pt idx="3">
                  <c:v>2022</c:v>
                </c:pt>
                <c:pt idx="4">
                  <c:v>2023</c:v>
                </c:pt>
                <c:pt idx="5">
                  <c:v>2024</c:v>
                </c:pt>
                <c:pt idx="6">
                  <c:v>2025</c:v>
                </c:pt>
              </c:numCache>
            </c:numRef>
          </c:cat>
          <c:val>
            <c:numRef>
              <c:f>BDP_doprinosi!$AD$37:$AJ$37</c:f>
              <c:numCache>
                <c:formatCode>0.0</c:formatCode>
                <c:ptCount val="7"/>
                <c:pt idx="0">
                  <c:v>2.1454399811146474</c:v>
                </c:pt>
                <c:pt idx="1">
                  <c:v>-0.6123195878390526</c:v>
                </c:pt>
                <c:pt idx="2">
                  <c:v>4.4538334370475985</c:v>
                </c:pt>
                <c:pt idx="3">
                  <c:v>2.0173736651457794</c:v>
                </c:pt>
                <c:pt idx="4">
                  <c:v>2.0683174445686525</c:v>
                </c:pt>
                <c:pt idx="5">
                  <c:v>2.0683174445686525</c:v>
                </c:pt>
                <c:pt idx="6">
                  <c:v>2.2415262946064218</c:v>
                </c:pt>
              </c:numCache>
            </c:numRef>
          </c:val>
          <c:extLst>
            <c:ext xmlns:c16="http://schemas.microsoft.com/office/drawing/2014/chart" uri="{C3380CC4-5D6E-409C-BE32-E72D297353CC}">
              <c16:uniqueId val="{00000003-FD19-4663-9D40-8C2818D43E46}"/>
            </c:ext>
          </c:extLst>
        </c:ser>
        <c:ser>
          <c:idx val="4"/>
          <c:order val="4"/>
          <c:tx>
            <c:strRef>
              <c:f>BDP_doprinosi!$R$38</c:f>
              <c:strCache>
                <c:ptCount val="1"/>
                <c:pt idx="0">
                  <c:v>Нето порези</c:v>
                </c:pt>
              </c:strCache>
            </c:strRef>
          </c:tx>
          <c:spPr>
            <a:solidFill>
              <a:srgbClr val="9ED1E6"/>
            </a:solidFill>
            <a:ln>
              <a:noFill/>
            </a:ln>
            <a:effectLst/>
          </c:spPr>
          <c:invertIfNegative val="0"/>
          <c:cat>
            <c:numRef>
              <c:f>BDP_doprinosi!$AD$33:$AJ$33</c:f>
              <c:numCache>
                <c:formatCode>General</c:formatCode>
                <c:ptCount val="7"/>
                <c:pt idx="0">
                  <c:v>2019</c:v>
                </c:pt>
                <c:pt idx="1">
                  <c:v>2020</c:v>
                </c:pt>
                <c:pt idx="2">
                  <c:v>2021</c:v>
                </c:pt>
                <c:pt idx="3">
                  <c:v>2022</c:v>
                </c:pt>
                <c:pt idx="4">
                  <c:v>2023</c:v>
                </c:pt>
                <c:pt idx="5">
                  <c:v>2024</c:v>
                </c:pt>
                <c:pt idx="6">
                  <c:v>2025</c:v>
                </c:pt>
              </c:numCache>
            </c:numRef>
          </c:cat>
          <c:val>
            <c:numRef>
              <c:f>BDP_doprinosi!$AD$38:$AJ$38</c:f>
              <c:numCache>
                <c:formatCode>0.0</c:formatCode>
                <c:ptCount val="7"/>
                <c:pt idx="0">
                  <c:v>0.72325958742025398</c:v>
                </c:pt>
                <c:pt idx="1">
                  <c:v>-0.30997883458411762</c:v>
                </c:pt>
                <c:pt idx="2">
                  <c:v>1.3167548487210532</c:v>
                </c:pt>
                <c:pt idx="3">
                  <c:v>0.68756812309661253</c:v>
                </c:pt>
                <c:pt idx="4">
                  <c:v>0.65318971694178185</c:v>
                </c:pt>
                <c:pt idx="5">
                  <c:v>0.50880041109149321</c:v>
                </c:pt>
                <c:pt idx="6">
                  <c:v>0.51567609232245937</c:v>
                </c:pt>
              </c:numCache>
            </c:numRef>
          </c:val>
          <c:extLst>
            <c:ext xmlns:c16="http://schemas.microsoft.com/office/drawing/2014/chart" uri="{C3380CC4-5D6E-409C-BE32-E72D297353CC}">
              <c16:uniqueId val="{00000004-FD19-4663-9D40-8C2818D43E46}"/>
            </c:ext>
          </c:extLst>
        </c:ser>
        <c:dLbls>
          <c:showLegendKey val="0"/>
          <c:showVal val="0"/>
          <c:showCatName val="0"/>
          <c:showSerName val="0"/>
          <c:showPercent val="0"/>
          <c:showBubbleSize val="0"/>
        </c:dLbls>
        <c:gapWidth val="60"/>
        <c:overlap val="100"/>
        <c:axId val="1768857792"/>
        <c:axId val="1768858336"/>
      </c:barChart>
      <c:lineChart>
        <c:grouping val="standard"/>
        <c:varyColors val="0"/>
        <c:ser>
          <c:idx val="5"/>
          <c:order val="5"/>
          <c:tx>
            <c:strRef>
              <c:f>BDP_doprinosi!$R$39</c:f>
              <c:strCache>
                <c:ptCount val="1"/>
                <c:pt idx="0">
                  <c:v>Реални раст БДП</c:v>
                </c:pt>
              </c:strCache>
            </c:strRef>
          </c:tx>
          <c:spPr>
            <a:ln w="25400" cap="rnd">
              <a:solidFill>
                <a:srgbClr val="FF0000"/>
              </a:solidFill>
              <a:round/>
            </a:ln>
            <a:effectLst/>
          </c:spPr>
          <c:marker>
            <c:symbol val="none"/>
          </c:marker>
          <c:dLbls>
            <c:dLbl>
              <c:idx val="1"/>
              <c:layout>
                <c:manualLayout>
                  <c:x val="-6.6898148148148151E-2"/>
                  <c:y val="5.15497823206511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D19-4663-9D40-8C2818D43E46}"/>
                </c:ext>
              </c:extLst>
            </c:dLbl>
            <c:spPr>
              <a:noFill/>
              <a:ln>
                <a:noFill/>
              </a:ln>
              <a:effectLst/>
            </c:spPr>
            <c:txPr>
              <a:bodyPr rot="0" spcFirstLastPara="1" vertOverflow="ellipsis" vert="horz" wrap="square" anchor="ctr" anchorCtr="1"/>
              <a:lstStyle/>
              <a:p>
                <a:pPr>
                  <a:defRPr sz="750" b="1" i="0" u="none" strike="noStrike" kern="1200" baseline="0">
                    <a:solidFill>
                      <a:srgbClr val="FF0000"/>
                    </a:solidFill>
                    <a:latin typeface="+mn-lt"/>
                    <a:ea typeface="+mn-ea"/>
                    <a:cs typeface="Arial" panose="020B0604020202020204" pitchFamily="34" charset="0"/>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BDP_doprinosi!$AD$33:$AJ$33</c:f>
              <c:numCache>
                <c:formatCode>General</c:formatCode>
                <c:ptCount val="7"/>
                <c:pt idx="0">
                  <c:v>2019</c:v>
                </c:pt>
                <c:pt idx="1">
                  <c:v>2020</c:v>
                </c:pt>
                <c:pt idx="2">
                  <c:v>2021</c:v>
                </c:pt>
                <c:pt idx="3">
                  <c:v>2022</c:v>
                </c:pt>
                <c:pt idx="4">
                  <c:v>2023</c:v>
                </c:pt>
                <c:pt idx="5">
                  <c:v>2024</c:v>
                </c:pt>
                <c:pt idx="6">
                  <c:v>2025</c:v>
                </c:pt>
              </c:numCache>
            </c:numRef>
          </c:cat>
          <c:val>
            <c:numRef>
              <c:f>BDP_doprinosi!$AD$39:$AJ$39</c:f>
              <c:numCache>
                <c:formatCode>0.0</c:formatCode>
                <c:ptCount val="7"/>
                <c:pt idx="0">
                  <c:v>4.3317364558564329</c:v>
                </c:pt>
                <c:pt idx="1">
                  <c:v>-0.94459808230274167</c:v>
                </c:pt>
                <c:pt idx="2">
                  <c:v>7.3892732975450253</c:v>
                </c:pt>
                <c:pt idx="3">
                  <c:v>3.46</c:v>
                </c:pt>
                <c:pt idx="4">
                  <c:v>3.96</c:v>
                </c:pt>
                <c:pt idx="5">
                  <c:v>4</c:v>
                </c:pt>
                <c:pt idx="6">
                  <c:v>4.5</c:v>
                </c:pt>
              </c:numCache>
            </c:numRef>
          </c:val>
          <c:smooth val="0"/>
          <c:extLst>
            <c:ext xmlns:c16="http://schemas.microsoft.com/office/drawing/2014/chart" uri="{C3380CC4-5D6E-409C-BE32-E72D297353CC}">
              <c16:uniqueId val="{00000006-FD19-4663-9D40-8C2818D43E46}"/>
            </c:ext>
          </c:extLst>
        </c:ser>
        <c:dLbls>
          <c:showLegendKey val="0"/>
          <c:showVal val="0"/>
          <c:showCatName val="0"/>
          <c:showSerName val="0"/>
          <c:showPercent val="0"/>
          <c:showBubbleSize val="0"/>
        </c:dLbls>
        <c:marker val="1"/>
        <c:smooth val="0"/>
        <c:axId val="1768857792"/>
        <c:axId val="1768858336"/>
      </c:lineChart>
      <c:catAx>
        <c:axId val="1768857792"/>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768858336"/>
        <c:crosses val="autoZero"/>
        <c:auto val="1"/>
        <c:lblAlgn val="ctr"/>
        <c:lblOffset val="100"/>
        <c:noMultiLvlLbl val="0"/>
      </c:catAx>
      <c:valAx>
        <c:axId val="1768858336"/>
        <c:scaling>
          <c:orientation val="minMax"/>
          <c:max val="8"/>
          <c:min val="-2"/>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768857792"/>
        <c:crosses val="autoZero"/>
        <c:crossBetween val="between"/>
        <c:majorUnit val="2"/>
      </c:valAx>
      <c:spPr>
        <a:noFill/>
        <a:ln>
          <a:noFill/>
        </a:ln>
        <a:effectLst/>
      </c:spPr>
    </c:plotArea>
    <c:legend>
      <c:legendPos val="b"/>
      <c:layout>
        <c:manualLayout>
          <c:xMode val="edge"/>
          <c:yMode val="edge"/>
          <c:x val="2.9349664625255175E-2"/>
          <c:y val="0.84945769449176611"/>
          <c:w val="0.93586103820355804"/>
          <c:h val="0.1475728752602688"/>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sr-Latn-RS"/>
    </a:p>
  </c:txPr>
  <c:externalData r:id="rId4">
    <c:autoUpdate val="0"/>
  </c:externalData>
  <c:userShapes r:id="rId5"/>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860823258491655E-2"/>
          <c:y val="5.897500844309355E-2"/>
          <c:w val="0.87087291306850889"/>
          <c:h val="0.73818346842283022"/>
        </c:manualLayout>
      </c:layout>
      <c:barChart>
        <c:barDir val="col"/>
        <c:grouping val="clustered"/>
        <c:varyColors val="0"/>
        <c:ser>
          <c:idx val="0"/>
          <c:order val="0"/>
          <c:tx>
            <c:strRef>
              <c:f>BDP_doprinosi!$R$51</c:f>
              <c:strCache>
                <c:ptCount val="1"/>
                <c:pt idx="0">
                  <c:v>Претходна пројекција</c:v>
                </c:pt>
              </c:strCache>
            </c:strRef>
          </c:tx>
          <c:spPr>
            <a:solidFill>
              <a:srgbClr val="90CAE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ysClr val="windowText" lastClr="000000"/>
                    </a:solidFill>
                    <a:latin typeface="+mn-lt"/>
                    <a:ea typeface="+mn-ea"/>
                    <a:cs typeface="+mn-cs"/>
                  </a:defRPr>
                </a:pPr>
                <a:endParaRPr lang="sr-Latn-R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BDP_doprinosi!$S$50:$V$50</c:f>
              <c:strCache>
                <c:ptCount val="4"/>
                <c:pt idx="0">
                  <c:v>2022</c:v>
                </c:pt>
                <c:pt idx="1">
                  <c:v>2023</c:v>
                </c:pt>
                <c:pt idx="2">
                  <c:v>2024</c:v>
                </c:pt>
                <c:pt idx="3">
                  <c:v>2025</c:v>
                </c:pt>
              </c:strCache>
            </c:strRef>
          </c:cat>
          <c:val>
            <c:numRef>
              <c:f>BDP_doprinosi!$S$51:$V$51</c:f>
              <c:numCache>
                <c:formatCode>0.0</c:formatCode>
                <c:ptCount val="4"/>
                <c:pt idx="0">
                  <c:v>4.5</c:v>
                </c:pt>
                <c:pt idx="1">
                  <c:v>5</c:v>
                </c:pt>
                <c:pt idx="2">
                  <c:v>5</c:v>
                </c:pt>
                <c:pt idx="3">
                  <c:v>5</c:v>
                </c:pt>
              </c:numCache>
            </c:numRef>
          </c:val>
          <c:extLst>
            <c:ext xmlns:c16="http://schemas.microsoft.com/office/drawing/2014/chart" uri="{C3380CC4-5D6E-409C-BE32-E72D297353CC}">
              <c16:uniqueId val="{00000000-030E-4125-9BE0-9DA19CAA56AB}"/>
            </c:ext>
          </c:extLst>
        </c:ser>
        <c:ser>
          <c:idx val="1"/>
          <c:order val="1"/>
          <c:tx>
            <c:strRef>
              <c:f>BDP_doprinosi!$R$52</c:f>
              <c:strCache>
                <c:ptCount val="1"/>
                <c:pt idx="0">
                  <c:v>Тренутни сценарио</c:v>
                </c:pt>
              </c:strCache>
            </c:strRef>
          </c:tx>
          <c:spPr>
            <a:solidFill>
              <a:srgbClr val="2183C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sr-Latn-R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BDP_doprinosi!$S$50:$V$50</c:f>
              <c:strCache>
                <c:ptCount val="4"/>
                <c:pt idx="0">
                  <c:v>2022</c:v>
                </c:pt>
                <c:pt idx="1">
                  <c:v>2023</c:v>
                </c:pt>
                <c:pt idx="2">
                  <c:v>2024</c:v>
                </c:pt>
                <c:pt idx="3">
                  <c:v>2025</c:v>
                </c:pt>
              </c:strCache>
            </c:strRef>
          </c:cat>
          <c:val>
            <c:numRef>
              <c:f>BDP_doprinosi!$S$52:$V$52</c:f>
              <c:numCache>
                <c:formatCode>0.0</c:formatCode>
                <c:ptCount val="4"/>
                <c:pt idx="0">
                  <c:v>3.5</c:v>
                </c:pt>
                <c:pt idx="1">
                  <c:v>4</c:v>
                </c:pt>
                <c:pt idx="2">
                  <c:v>4</c:v>
                </c:pt>
                <c:pt idx="3">
                  <c:v>4.5</c:v>
                </c:pt>
              </c:numCache>
            </c:numRef>
          </c:val>
          <c:extLst>
            <c:ext xmlns:c16="http://schemas.microsoft.com/office/drawing/2014/chart" uri="{C3380CC4-5D6E-409C-BE32-E72D297353CC}">
              <c16:uniqueId val="{00000001-030E-4125-9BE0-9DA19CAA56AB}"/>
            </c:ext>
          </c:extLst>
        </c:ser>
        <c:ser>
          <c:idx val="2"/>
          <c:order val="2"/>
          <c:tx>
            <c:strRef>
              <c:f>BDP_doprinosi!$R$53</c:f>
              <c:strCache>
                <c:ptCount val="1"/>
                <c:pt idx="0">
                  <c:v>Алтернативни сценарио</c:v>
                </c:pt>
              </c:strCache>
            </c:strRef>
          </c:tx>
          <c:spPr>
            <a:solidFill>
              <a:srgbClr val="ED1C2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sr-Latn-R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BDP_doprinosi!$S$50:$V$50</c:f>
              <c:strCache>
                <c:ptCount val="4"/>
                <c:pt idx="0">
                  <c:v>2022</c:v>
                </c:pt>
                <c:pt idx="1">
                  <c:v>2023</c:v>
                </c:pt>
                <c:pt idx="2">
                  <c:v>2024</c:v>
                </c:pt>
                <c:pt idx="3">
                  <c:v>2025</c:v>
                </c:pt>
              </c:strCache>
            </c:strRef>
          </c:cat>
          <c:val>
            <c:numRef>
              <c:f>BDP_doprinosi!$S$53:$V$53</c:f>
              <c:numCache>
                <c:formatCode>0.0</c:formatCode>
                <c:ptCount val="4"/>
                <c:pt idx="0">
                  <c:v>3</c:v>
                </c:pt>
                <c:pt idx="1">
                  <c:v>2</c:v>
                </c:pt>
                <c:pt idx="2">
                  <c:v>3.5</c:v>
                </c:pt>
                <c:pt idx="3">
                  <c:v>4</c:v>
                </c:pt>
              </c:numCache>
            </c:numRef>
          </c:val>
          <c:extLst>
            <c:ext xmlns:c16="http://schemas.microsoft.com/office/drawing/2014/chart" uri="{C3380CC4-5D6E-409C-BE32-E72D297353CC}">
              <c16:uniqueId val="{00000002-030E-4125-9BE0-9DA19CAA56AB}"/>
            </c:ext>
          </c:extLst>
        </c:ser>
        <c:dLbls>
          <c:showLegendKey val="0"/>
          <c:showVal val="0"/>
          <c:showCatName val="0"/>
          <c:showSerName val="0"/>
          <c:showPercent val="0"/>
          <c:showBubbleSize val="0"/>
        </c:dLbls>
        <c:gapWidth val="90"/>
        <c:overlap val="-13"/>
        <c:axId val="79662463"/>
        <c:axId val="79929695"/>
      </c:barChart>
      <c:catAx>
        <c:axId val="79662463"/>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79929695"/>
        <c:crosses val="autoZero"/>
        <c:auto val="1"/>
        <c:lblAlgn val="ctr"/>
        <c:lblOffset val="100"/>
        <c:noMultiLvlLbl val="0"/>
      </c:catAx>
      <c:valAx>
        <c:axId val="79929695"/>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79662463"/>
        <c:crosses val="autoZero"/>
        <c:crossBetween val="between"/>
      </c:valAx>
      <c:spPr>
        <a:noFill/>
        <a:ln>
          <a:noFill/>
        </a:ln>
        <a:effectLst/>
      </c:spPr>
    </c:plotArea>
    <c:legend>
      <c:legendPos val="b"/>
      <c:layout>
        <c:manualLayout>
          <c:xMode val="edge"/>
          <c:yMode val="edge"/>
          <c:x val="0"/>
          <c:y val="0.89744089834515361"/>
          <c:w val="1"/>
          <c:h val="9.0865412656751243E-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2394894894894895"/>
          <c:w val="0.91418918918918923"/>
          <c:h val="0.72349849849849845"/>
        </c:manualLayout>
      </c:layout>
      <c:barChart>
        <c:barDir val="col"/>
        <c:grouping val="clustered"/>
        <c:varyColors val="0"/>
        <c:ser>
          <c:idx val="0"/>
          <c:order val="0"/>
          <c:tx>
            <c:strRef>
              <c:f>'Osn. makroekon. agregati'!$B$5</c:f>
              <c:strCache>
                <c:ptCount val="1"/>
                <c:pt idx="0">
                  <c:v>Реални раст БДП, %</c:v>
                </c:pt>
              </c:strCache>
            </c:strRef>
          </c:tx>
          <c:spPr>
            <a:solidFill>
              <a:srgbClr val="00389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7BC0-438F-B5E5-897503A03478}"/>
              </c:ext>
            </c:extLst>
          </c:dPt>
          <c:dPt>
            <c:idx val="1"/>
            <c:invertIfNegative val="0"/>
            <c:bubble3D val="0"/>
            <c:spPr>
              <a:solidFill>
                <a:srgbClr val="ED1C24"/>
              </a:solidFill>
              <a:ln>
                <a:noFill/>
              </a:ln>
              <a:effectLst/>
            </c:spPr>
            <c:extLst>
              <c:ext xmlns:c16="http://schemas.microsoft.com/office/drawing/2014/chart" uri="{C3380CC4-5D6E-409C-BE32-E72D297353CC}">
                <c16:uniqueId val="{00000003-7BC0-438F-B5E5-897503A03478}"/>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sr-Latn-RS"/>
                </a:p>
              </c:txPr>
              <c:showLegendKey val="0"/>
              <c:showVal val="1"/>
              <c:showCatName val="0"/>
              <c:showSerName val="0"/>
              <c:showPercent val="0"/>
              <c:showBubbleSize val="0"/>
              <c:extLst>
                <c:ext xmlns:c16="http://schemas.microsoft.com/office/drawing/2014/chart" uri="{C3380CC4-5D6E-409C-BE32-E72D297353CC}">
                  <c16:uniqueId val="{00000001-7BC0-438F-B5E5-897503A03478}"/>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FF0000"/>
                      </a:solidFill>
                      <a:latin typeface="+mn-lt"/>
                      <a:ea typeface="+mn-ea"/>
                      <a:cs typeface="+mn-cs"/>
                    </a:defRPr>
                  </a:pPr>
                  <a:endParaRPr lang="sr-Latn-RS"/>
                </a:p>
              </c:txPr>
              <c:showLegendKey val="0"/>
              <c:showVal val="1"/>
              <c:showCatName val="0"/>
              <c:showSerName val="0"/>
              <c:showPercent val="0"/>
              <c:showBubbleSize val="0"/>
              <c:extLst>
                <c:ext xmlns:c16="http://schemas.microsoft.com/office/drawing/2014/chart" uri="{C3380CC4-5D6E-409C-BE32-E72D297353CC}">
                  <c16:uniqueId val="{00000003-7BC0-438F-B5E5-897503A0347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agregati'!$C$5,'Osn. makroekon. agregati'!$D$5)</c:f>
              <c:numCache>
                <c:formatCode>0.0</c:formatCode>
                <c:ptCount val="2"/>
                <c:pt idx="0">
                  <c:v>4.5</c:v>
                </c:pt>
                <c:pt idx="1">
                  <c:v>3.5</c:v>
                </c:pt>
              </c:numCache>
            </c:numRef>
          </c:val>
          <c:extLst>
            <c:ext xmlns:c16="http://schemas.microsoft.com/office/drawing/2014/chart" uri="{C3380CC4-5D6E-409C-BE32-E72D297353CC}">
              <c16:uniqueId val="{00000004-7BC0-438F-B5E5-897503A03478}"/>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a:t>
                </a:r>
                <a:r>
                  <a:rPr lang="sr-Cyrl-RS" b="1"/>
                  <a:t>2</a:t>
                </a:r>
                <a:endParaRPr lang="en-US" b="1"/>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sr-Latn-R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53440"/>
        <c:crossesAt val="0"/>
        <c:auto val="1"/>
        <c:lblAlgn val="ctr"/>
        <c:lblOffset val="100"/>
        <c:noMultiLvlLbl val="0"/>
      </c:catAx>
      <c:valAx>
        <c:axId val="1768853440"/>
        <c:scaling>
          <c:orientation val="minMax"/>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sr-Latn-RS"/>
    </a:p>
  </c:txPr>
  <c:externalData r:id="rId4">
    <c:autoUpdate val="0"/>
  </c:externalData>
  <c:userShapes r:id="rId5"/>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890798861412E-2"/>
          <c:y val="9.5036966533029524E-2"/>
          <c:w val="0.90740810185185183"/>
          <c:h val="0.58088975694444445"/>
        </c:manualLayout>
      </c:layout>
      <c:barChart>
        <c:barDir val="col"/>
        <c:grouping val="stacked"/>
        <c:varyColors val="0"/>
        <c:ser>
          <c:idx val="2"/>
          <c:order val="1"/>
          <c:tx>
            <c:strRef>
              <c:f>'nepoljoprivredni BDP'!$D$5</c:f>
              <c:strCache>
                <c:ptCount val="1"/>
                <c:pt idx="0">
                  <c:v>Допринос фактора рада, п.п.</c:v>
                </c:pt>
              </c:strCache>
            </c:strRef>
          </c:tx>
          <c:spPr>
            <a:solidFill>
              <a:srgbClr val="10103C"/>
            </a:solidFill>
            <a:ln>
              <a:noFill/>
            </a:ln>
            <a:effectLst/>
          </c:spPr>
          <c:invertIfNegative val="0"/>
          <c:cat>
            <c:numRef>
              <c:f>'nepoljoprivredni BDP'!$B$10:$B$16</c:f>
              <c:numCache>
                <c:formatCode>General</c:formatCode>
                <c:ptCount val="7"/>
                <c:pt idx="0">
                  <c:v>2019</c:v>
                </c:pt>
                <c:pt idx="1">
                  <c:v>2020</c:v>
                </c:pt>
                <c:pt idx="2">
                  <c:v>2021</c:v>
                </c:pt>
                <c:pt idx="3">
                  <c:v>2022</c:v>
                </c:pt>
                <c:pt idx="4">
                  <c:v>2023</c:v>
                </c:pt>
                <c:pt idx="5">
                  <c:v>2024</c:v>
                </c:pt>
                <c:pt idx="6">
                  <c:v>2025</c:v>
                </c:pt>
              </c:numCache>
            </c:numRef>
          </c:cat>
          <c:val>
            <c:numRef>
              <c:f>'nepoljoprivredni BDP'!$D$10:$D$16</c:f>
              <c:numCache>
                <c:formatCode>0.0</c:formatCode>
                <c:ptCount val="7"/>
                <c:pt idx="0">
                  <c:v>1.3092940832694178</c:v>
                </c:pt>
                <c:pt idx="1">
                  <c:v>1.1070534583160507</c:v>
                </c:pt>
                <c:pt idx="2">
                  <c:v>0.82445587566571166</c:v>
                </c:pt>
                <c:pt idx="3">
                  <c:v>1.1882418867194433</c:v>
                </c:pt>
                <c:pt idx="4">
                  <c:v>0.53962942524091839</c:v>
                </c:pt>
                <c:pt idx="5">
                  <c:v>0.41037402998076566</c:v>
                </c:pt>
                <c:pt idx="6">
                  <c:v>0.31223138301073372</c:v>
                </c:pt>
              </c:numCache>
            </c:numRef>
          </c:val>
          <c:extLst>
            <c:ext xmlns:c16="http://schemas.microsoft.com/office/drawing/2014/chart" uri="{C3380CC4-5D6E-409C-BE32-E72D297353CC}">
              <c16:uniqueId val="{00000000-1375-4D35-A2F1-87CFE770A7F2}"/>
            </c:ext>
          </c:extLst>
        </c:ser>
        <c:ser>
          <c:idx val="1"/>
          <c:order val="2"/>
          <c:tx>
            <c:strRef>
              <c:f>'nepoljoprivredni BDP'!$E$5</c:f>
              <c:strCache>
                <c:ptCount val="1"/>
                <c:pt idx="0">
                  <c:v>Допринос капитала, п.п.</c:v>
                </c:pt>
              </c:strCache>
            </c:strRef>
          </c:tx>
          <c:spPr>
            <a:solidFill>
              <a:srgbClr val="29489A"/>
            </a:solidFill>
            <a:ln>
              <a:noFill/>
            </a:ln>
            <a:effectLst/>
          </c:spPr>
          <c:invertIfNegative val="0"/>
          <c:cat>
            <c:numRef>
              <c:f>'nepoljoprivredni BDP'!$B$10:$B$16</c:f>
              <c:numCache>
                <c:formatCode>General</c:formatCode>
                <c:ptCount val="7"/>
                <c:pt idx="0">
                  <c:v>2019</c:v>
                </c:pt>
                <c:pt idx="1">
                  <c:v>2020</c:v>
                </c:pt>
                <c:pt idx="2">
                  <c:v>2021</c:v>
                </c:pt>
                <c:pt idx="3">
                  <c:v>2022</c:v>
                </c:pt>
                <c:pt idx="4">
                  <c:v>2023</c:v>
                </c:pt>
                <c:pt idx="5">
                  <c:v>2024</c:v>
                </c:pt>
                <c:pt idx="6">
                  <c:v>2025</c:v>
                </c:pt>
              </c:numCache>
            </c:numRef>
          </c:cat>
          <c:val>
            <c:numRef>
              <c:f>'nepoljoprivredni BDP'!$E$10:$E$16</c:f>
              <c:numCache>
                <c:formatCode>0.0</c:formatCode>
                <c:ptCount val="7"/>
                <c:pt idx="0">
                  <c:v>1.493766405353335</c:v>
                </c:pt>
                <c:pt idx="1">
                  <c:v>1.2520403410443093</c:v>
                </c:pt>
                <c:pt idx="2">
                  <c:v>1.5832391768142904</c:v>
                </c:pt>
                <c:pt idx="3">
                  <c:v>1.5223720380551675</c:v>
                </c:pt>
                <c:pt idx="4">
                  <c:v>1.5913966455620998</c:v>
                </c:pt>
                <c:pt idx="5">
                  <c:v>1.68156833209544</c:v>
                </c:pt>
                <c:pt idx="6">
                  <c:v>1.7955758457484403</c:v>
                </c:pt>
              </c:numCache>
            </c:numRef>
          </c:val>
          <c:extLst>
            <c:ext xmlns:c16="http://schemas.microsoft.com/office/drawing/2014/chart" uri="{C3380CC4-5D6E-409C-BE32-E72D297353CC}">
              <c16:uniqueId val="{00000001-1375-4D35-A2F1-87CFE770A7F2}"/>
            </c:ext>
          </c:extLst>
        </c:ser>
        <c:ser>
          <c:idx val="3"/>
          <c:order val="3"/>
          <c:tx>
            <c:strRef>
              <c:f>'nepoljoprivredni BDP'!$F$5</c:f>
              <c:strCache>
                <c:ptCount val="1"/>
                <c:pt idx="0">
                  <c:v>ТФП, п.п.</c:v>
                </c:pt>
              </c:strCache>
            </c:strRef>
          </c:tx>
          <c:spPr>
            <a:solidFill>
              <a:srgbClr val="51BBE7"/>
            </a:solidFill>
            <a:ln>
              <a:noFill/>
            </a:ln>
            <a:effectLst/>
          </c:spPr>
          <c:invertIfNegative val="0"/>
          <c:cat>
            <c:numRef>
              <c:f>'nepoljoprivredni BDP'!$B$10:$B$16</c:f>
              <c:numCache>
                <c:formatCode>General</c:formatCode>
                <c:ptCount val="7"/>
                <c:pt idx="0">
                  <c:v>2019</c:v>
                </c:pt>
                <c:pt idx="1">
                  <c:v>2020</c:v>
                </c:pt>
                <c:pt idx="2">
                  <c:v>2021</c:v>
                </c:pt>
                <c:pt idx="3">
                  <c:v>2022</c:v>
                </c:pt>
                <c:pt idx="4">
                  <c:v>2023</c:v>
                </c:pt>
                <c:pt idx="5">
                  <c:v>2024</c:v>
                </c:pt>
                <c:pt idx="6">
                  <c:v>2025</c:v>
                </c:pt>
              </c:numCache>
            </c:numRef>
          </c:cat>
          <c:val>
            <c:numRef>
              <c:f>'nepoljoprivredni BDP'!$F$10:$F$16</c:f>
              <c:numCache>
                <c:formatCode>0.0</c:formatCode>
                <c:ptCount val="7"/>
                <c:pt idx="0">
                  <c:v>0.50042233144192094</c:v>
                </c:pt>
                <c:pt idx="1">
                  <c:v>1.1633346355054055</c:v>
                </c:pt>
                <c:pt idx="2">
                  <c:v>1.4143615532760723</c:v>
                </c:pt>
                <c:pt idx="3">
                  <c:v>1.3242499974260158</c:v>
                </c:pt>
                <c:pt idx="4">
                  <c:v>2.0187181062688606</c:v>
                </c:pt>
                <c:pt idx="5">
                  <c:v>2.1387644871046931</c:v>
                </c:pt>
                <c:pt idx="6">
                  <c:v>2.1864602896674565</c:v>
                </c:pt>
              </c:numCache>
            </c:numRef>
          </c:val>
          <c:extLst>
            <c:ext xmlns:c16="http://schemas.microsoft.com/office/drawing/2014/chart" uri="{C3380CC4-5D6E-409C-BE32-E72D297353CC}">
              <c16:uniqueId val="{00000002-1375-4D35-A2F1-87CFE770A7F2}"/>
            </c:ext>
          </c:extLst>
        </c:ser>
        <c:dLbls>
          <c:showLegendKey val="0"/>
          <c:showVal val="0"/>
          <c:showCatName val="0"/>
          <c:showSerName val="0"/>
          <c:showPercent val="0"/>
          <c:showBubbleSize val="0"/>
        </c:dLbls>
        <c:gapWidth val="60"/>
        <c:overlap val="100"/>
        <c:axId val="1961428144"/>
        <c:axId val="1961437392"/>
      </c:barChart>
      <c:lineChart>
        <c:grouping val="standard"/>
        <c:varyColors val="0"/>
        <c:ser>
          <c:idx val="0"/>
          <c:order val="0"/>
          <c:tx>
            <c:strRef>
              <c:f>'nepoljoprivredni BDP'!$C$5</c:f>
              <c:strCache>
                <c:ptCount val="1"/>
                <c:pt idx="0">
                  <c:v>Раст потенцијалног БДП, %</c:v>
                </c:pt>
              </c:strCache>
            </c:strRef>
          </c:tx>
          <c:spPr>
            <a:ln w="28575" cap="rnd">
              <a:solidFill>
                <a:srgbClr val="FF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Arial" panose="020B0604020202020204" pitchFamily="34" charset="0"/>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'nepoljoprivredni BDP'!$B$10:$B$16</c:f>
              <c:numCache>
                <c:formatCode>General</c:formatCode>
                <c:ptCount val="7"/>
                <c:pt idx="0">
                  <c:v>2019</c:v>
                </c:pt>
                <c:pt idx="1">
                  <c:v>2020</c:v>
                </c:pt>
                <c:pt idx="2">
                  <c:v>2021</c:v>
                </c:pt>
                <c:pt idx="3">
                  <c:v>2022</c:v>
                </c:pt>
                <c:pt idx="4">
                  <c:v>2023</c:v>
                </c:pt>
                <c:pt idx="5">
                  <c:v>2024</c:v>
                </c:pt>
                <c:pt idx="6">
                  <c:v>2025</c:v>
                </c:pt>
              </c:numCache>
            </c:numRef>
          </c:cat>
          <c:val>
            <c:numRef>
              <c:f>'nepoljoprivredni BDP'!$C$10:$C$16</c:f>
              <c:numCache>
                <c:formatCode>0.0</c:formatCode>
                <c:ptCount val="7"/>
                <c:pt idx="0">
                  <c:v>3.3034828200646738</c:v>
                </c:pt>
                <c:pt idx="1">
                  <c:v>3.5224284348657653</c:v>
                </c:pt>
                <c:pt idx="2">
                  <c:v>3.8220566057560745</c:v>
                </c:pt>
                <c:pt idx="3">
                  <c:v>4.0348639222006266</c:v>
                </c:pt>
                <c:pt idx="4">
                  <c:v>4.149744177071879</c:v>
                </c:pt>
                <c:pt idx="5">
                  <c:v>4.2307068491808986</c:v>
                </c:pt>
                <c:pt idx="6">
                  <c:v>4.294267518426631</c:v>
                </c:pt>
              </c:numCache>
            </c:numRef>
          </c:val>
          <c:smooth val="0"/>
          <c:extLst>
            <c:ext xmlns:c16="http://schemas.microsoft.com/office/drawing/2014/chart" uri="{C3380CC4-5D6E-409C-BE32-E72D297353CC}">
              <c16:uniqueId val="{00000003-1375-4D35-A2F1-87CFE770A7F2}"/>
            </c:ext>
          </c:extLst>
        </c:ser>
        <c:dLbls>
          <c:showLegendKey val="0"/>
          <c:showVal val="0"/>
          <c:showCatName val="0"/>
          <c:showSerName val="0"/>
          <c:showPercent val="0"/>
          <c:showBubbleSize val="0"/>
        </c:dLbls>
        <c:marker val="1"/>
        <c:smooth val="0"/>
        <c:axId val="1961428144"/>
        <c:axId val="1961437392"/>
      </c:lineChart>
      <c:catAx>
        <c:axId val="1961428144"/>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961437392"/>
        <c:crossesAt val="0"/>
        <c:auto val="1"/>
        <c:lblAlgn val="ctr"/>
        <c:lblOffset val="100"/>
        <c:noMultiLvlLbl val="0"/>
      </c:catAx>
      <c:valAx>
        <c:axId val="1961437392"/>
        <c:scaling>
          <c:orientation val="minMax"/>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961428144"/>
        <c:crosses val="autoZero"/>
        <c:crossBetween val="between"/>
        <c:majorUnit val="1"/>
        <c:minorUnit val="0.2"/>
      </c:valAx>
      <c:spPr>
        <a:noFill/>
        <a:ln>
          <a:noFill/>
        </a:ln>
        <a:effectLst/>
      </c:spPr>
    </c:plotArea>
    <c:legend>
      <c:legendPos val="b"/>
      <c:layout>
        <c:manualLayout>
          <c:xMode val="edge"/>
          <c:yMode val="edge"/>
          <c:x val="1.4346234889652889E-3"/>
          <c:y val="0.79209678819444451"/>
          <c:w val="0.99827437063324831"/>
          <c:h val="0.19444878472222224"/>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sr-Latn-RS"/>
    </a:p>
  </c:txPr>
  <c:externalData r:id="rId4">
    <c:autoUpdate val="0"/>
  </c:externalData>
  <c:userShapes r:id="rId5"/>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79862933799949E-2"/>
          <c:y val="9.8260956915078204E-2"/>
          <c:w val="0.92629337999416761"/>
          <c:h val="0.72096111111111116"/>
        </c:manualLayout>
      </c:layout>
      <c:barChart>
        <c:barDir val="col"/>
        <c:grouping val="clustered"/>
        <c:varyColors val="0"/>
        <c:ser>
          <c:idx val="0"/>
          <c:order val="0"/>
          <c:spPr>
            <a:solidFill>
              <a:srgbClr val="29489A"/>
            </a:solidFill>
            <a:ln>
              <a:noFill/>
            </a:ln>
            <a:effectLst/>
          </c:spPr>
          <c:invertIfNegative val="0"/>
          <c:dLbls>
            <c:dLbl>
              <c:idx val="0"/>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29489A"/>
                      </a:solidFill>
                      <a:latin typeface="+mn-lt"/>
                      <a:ea typeface="+mn-ea"/>
                      <a:cs typeface="+mn-cs"/>
                    </a:defRPr>
                  </a:pPr>
                  <a:endParaRPr lang="sr-Latn-R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55E-42A2-AB6B-EA44704290B7}"/>
                </c:ext>
              </c:extLst>
            </c:dLbl>
            <c:dLbl>
              <c:idx val="1"/>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29489A"/>
                      </a:solidFill>
                      <a:latin typeface="+mn-lt"/>
                      <a:ea typeface="+mn-ea"/>
                      <a:cs typeface="+mn-cs"/>
                    </a:defRPr>
                  </a:pPr>
                  <a:endParaRPr lang="sr-Latn-R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55E-42A2-AB6B-EA44704290B7}"/>
                </c:ext>
              </c:extLst>
            </c:dLbl>
            <c:dLbl>
              <c:idx val="2"/>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29489A"/>
                      </a:solidFill>
                      <a:latin typeface="+mn-lt"/>
                      <a:ea typeface="+mn-ea"/>
                      <a:cs typeface="+mn-cs"/>
                    </a:defRPr>
                  </a:pPr>
                  <a:endParaRPr lang="sr-Latn-R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55E-42A2-AB6B-EA44704290B7}"/>
                </c:ext>
              </c:extLst>
            </c:dLbl>
            <c:dLbl>
              <c:idx val="3"/>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29489A"/>
                      </a:solidFill>
                      <a:latin typeface="+mn-lt"/>
                      <a:ea typeface="+mn-ea"/>
                      <a:cs typeface="+mn-cs"/>
                    </a:defRPr>
                  </a:pPr>
                  <a:endParaRPr lang="sr-Latn-R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55E-42A2-AB6B-EA44704290B7}"/>
                </c:ext>
              </c:extLst>
            </c:dLbl>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sr-Latn-R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'Trziste rada'!$T$39:$U$64</c:f>
              <c:multiLvlStrCache>
                <c:ptCount val="26"/>
                <c:lvl>
                  <c:pt idx="0">
                    <c:v>I</c:v>
                  </c:pt>
                  <c:pt idx="1">
                    <c:v>II</c:v>
                  </c:pt>
                  <c:pt idx="2">
                    <c:v>III</c:v>
                  </c:pt>
                  <c:pt idx="3">
                    <c:v>IV</c:v>
                  </c:pt>
                  <c:pt idx="4">
                    <c:v>I</c:v>
                  </c:pt>
                  <c:pt idx="5">
                    <c:v>II</c:v>
                  </c:pt>
                  <c:pt idx="6">
                    <c:v>III</c:v>
                  </c:pt>
                  <c:pt idx="7">
                    <c:v>IV</c:v>
                  </c:pt>
                  <c:pt idx="8">
                    <c:v> </c:v>
                  </c:pt>
                  <c:pt idx="9">
                    <c:v>I</c:v>
                  </c:pt>
                  <c:pt idx="10">
                    <c:v>II</c:v>
                  </c:pt>
                  <c:pt idx="11">
                    <c:v>III</c:v>
                  </c:pt>
                  <c:pt idx="12">
                    <c:v>IV</c:v>
                  </c:pt>
                  <c:pt idx="13">
                    <c:v>I</c:v>
                  </c:pt>
                  <c:pt idx="14">
                    <c:v>II</c:v>
                  </c:pt>
                  <c:pt idx="15">
                    <c:v>III</c:v>
                  </c:pt>
                  <c:pt idx="16">
                    <c:v>IV</c:v>
                  </c:pt>
                  <c:pt idx="17">
                    <c:v> </c:v>
                  </c:pt>
                  <c:pt idx="18">
                    <c:v>I</c:v>
                  </c:pt>
                  <c:pt idx="19">
                    <c:v>II</c:v>
                  </c:pt>
                  <c:pt idx="20">
                    <c:v>III</c:v>
                  </c:pt>
                  <c:pt idx="21">
                    <c:v>IV</c:v>
                  </c:pt>
                  <c:pt idx="22">
                    <c:v>I</c:v>
                  </c:pt>
                  <c:pt idx="23">
                    <c:v>II</c:v>
                  </c:pt>
                  <c:pt idx="24">
                    <c:v>III</c:v>
                  </c:pt>
                  <c:pt idx="25">
                    <c:v>IV</c:v>
                  </c:pt>
                </c:lvl>
                <c:lvl>
                  <c:pt idx="0">
                    <c:v>2020</c:v>
                  </c:pt>
                  <c:pt idx="4">
                    <c:v>2021</c:v>
                  </c:pt>
                  <c:pt idx="8">
                    <c:v> </c:v>
                  </c:pt>
                  <c:pt idx="9">
                    <c:v>2020</c:v>
                  </c:pt>
                  <c:pt idx="13">
                    <c:v>2021</c:v>
                  </c:pt>
                  <c:pt idx="17">
                    <c:v> </c:v>
                  </c:pt>
                  <c:pt idx="18">
                    <c:v>2020</c:v>
                  </c:pt>
                  <c:pt idx="22">
                    <c:v>2021</c:v>
                  </c:pt>
                </c:lvl>
              </c:multiLvlStrCache>
            </c:multiLvlStrRef>
          </c:cat>
          <c:val>
            <c:numRef>
              <c:f>'Trziste rada'!$V$39:$V$64</c:f>
              <c:numCache>
                <c:formatCode>0.0%</c:formatCode>
                <c:ptCount val="26"/>
                <c:pt idx="0">
                  <c:v>0.105</c:v>
                </c:pt>
                <c:pt idx="1">
                  <c:v>7.9000000000000001E-2</c:v>
                </c:pt>
                <c:pt idx="2">
                  <c:v>9.8000000000000004E-2</c:v>
                </c:pt>
                <c:pt idx="3">
                  <c:v>0.107</c:v>
                </c:pt>
                <c:pt idx="9">
                  <c:v>0.46700000000000003</c:v>
                </c:pt>
                <c:pt idx="10">
                  <c:v>0.46299999999999997</c:v>
                </c:pt>
                <c:pt idx="11">
                  <c:v>0.47799999999999998</c:v>
                </c:pt>
                <c:pt idx="12">
                  <c:v>0.47600000000000003</c:v>
                </c:pt>
                <c:pt idx="18">
                  <c:v>0.47799999999999998</c:v>
                </c:pt>
                <c:pt idx="19">
                  <c:v>0.498</c:v>
                </c:pt>
                <c:pt idx="20">
                  <c:v>0.47</c:v>
                </c:pt>
                <c:pt idx="21">
                  <c:v>0.46700000000000003</c:v>
                </c:pt>
              </c:numCache>
            </c:numRef>
          </c:val>
          <c:extLst>
            <c:ext xmlns:c16="http://schemas.microsoft.com/office/drawing/2014/chart" uri="{C3380CC4-5D6E-409C-BE32-E72D297353CC}">
              <c16:uniqueId val="{00000004-555E-42A2-AB6B-EA44704290B7}"/>
            </c:ext>
          </c:extLst>
        </c:ser>
        <c:dLbls>
          <c:showLegendKey val="0"/>
          <c:showVal val="0"/>
          <c:showCatName val="0"/>
          <c:showSerName val="0"/>
          <c:showPercent val="0"/>
          <c:showBubbleSize val="0"/>
        </c:dLbls>
        <c:gapWidth val="14"/>
        <c:overlap val="-27"/>
        <c:axId val="961497464"/>
        <c:axId val="961498448"/>
      </c:barChart>
      <c:barChart>
        <c:barDir val="col"/>
        <c:grouping val="clustered"/>
        <c:varyColors val="0"/>
        <c:ser>
          <c:idx val="1"/>
          <c:order val="1"/>
          <c:spPr>
            <a:solidFill>
              <a:srgbClr val="FF0000"/>
            </a:solidFill>
            <a:ln>
              <a:noFill/>
            </a:ln>
            <a:effectLst/>
          </c:spPr>
          <c:invertIfNegative val="0"/>
          <c:dLbls>
            <c:dLbl>
              <c:idx val="4"/>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FF0000"/>
                      </a:solidFill>
                      <a:latin typeface="+mn-lt"/>
                      <a:ea typeface="+mn-ea"/>
                      <a:cs typeface="+mn-cs"/>
                    </a:defRPr>
                  </a:pPr>
                  <a:endParaRPr lang="sr-Latn-R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55E-42A2-AB6B-EA44704290B7}"/>
                </c:ext>
              </c:extLst>
            </c:dLbl>
            <c:dLbl>
              <c:idx val="5"/>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FF0000"/>
                      </a:solidFill>
                      <a:latin typeface="+mn-lt"/>
                      <a:ea typeface="+mn-ea"/>
                      <a:cs typeface="+mn-cs"/>
                    </a:defRPr>
                  </a:pPr>
                  <a:endParaRPr lang="sr-Latn-R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55E-42A2-AB6B-EA44704290B7}"/>
                </c:ext>
              </c:extLst>
            </c:dLbl>
            <c:dLbl>
              <c:idx val="6"/>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FF0000"/>
                      </a:solidFill>
                      <a:latin typeface="+mn-lt"/>
                      <a:ea typeface="+mn-ea"/>
                      <a:cs typeface="+mn-cs"/>
                    </a:defRPr>
                  </a:pPr>
                  <a:endParaRPr lang="sr-Latn-R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55E-42A2-AB6B-EA44704290B7}"/>
                </c:ext>
              </c:extLst>
            </c:dLbl>
            <c:dLbl>
              <c:idx val="7"/>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FF0000"/>
                      </a:solidFill>
                      <a:latin typeface="+mn-lt"/>
                      <a:ea typeface="+mn-ea"/>
                      <a:cs typeface="+mn-cs"/>
                    </a:defRPr>
                  </a:pPr>
                  <a:endParaRPr lang="sr-Latn-R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55E-42A2-AB6B-EA44704290B7}"/>
                </c:ext>
              </c:extLst>
            </c:dLbl>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sr-Latn-R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'Trziste rada'!$T$39:$U$64</c:f>
              <c:multiLvlStrCache>
                <c:ptCount val="26"/>
                <c:lvl>
                  <c:pt idx="0">
                    <c:v>I</c:v>
                  </c:pt>
                  <c:pt idx="1">
                    <c:v>II</c:v>
                  </c:pt>
                  <c:pt idx="2">
                    <c:v>III</c:v>
                  </c:pt>
                  <c:pt idx="3">
                    <c:v>IV</c:v>
                  </c:pt>
                  <c:pt idx="4">
                    <c:v>I</c:v>
                  </c:pt>
                  <c:pt idx="5">
                    <c:v>II</c:v>
                  </c:pt>
                  <c:pt idx="6">
                    <c:v>III</c:v>
                  </c:pt>
                  <c:pt idx="7">
                    <c:v>IV</c:v>
                  </c:pt>
                  <c:pt idx="8">
                    <c:v> </c:v>
                  </c:pt>
                  <c:pt idx="9">
                    <c:v>I</c:v>
                  </c:pt>
                  <c:pt idx="10">
                    <c:v>II</c:v>
                  </c:pt>
                  <c:pt idx="11">
                    <c:v>III</c:v>
                  </c:pt>
                  <c:pt idx="12">
                    <c:v>IV</c:v>
                  </c:pt>
                  <c:pt idx="13">
                    <c:v>I</c:v>
                  </c:pt>
                  <c:pt idx="14">
                    <c:v>II</c:v>
                  </c:pt>
                  <c:pt idx="15">
                    <c:v>III</c:v>
                  </c:pt>
                  <c:pt idx="16">
                    <c:v>IV</c:v>
                  </c:pt>
                  <c:pt idx="17">
                    <c:v> </c:v>
                  </c:pt>
                  <c:pt idx="18">
                    <c:v>I</c:v>
                  </c:pt>
                  <c:pt idx="19">
                    <c:v>II</c:v>
                  </c:pt>
                  <c:pt idx="20">
                    <c:v>III</c:v>
                  </c:pt>
                  <c:pt idx="21">
                    <c:v>IV</c:v>
                  </c:pt>
                  <c:pt idx="22">
                    <c:v>I</c:v>
                  </c:pt>
                  <c:pt idx="23">
                    <c:v>II</c:v>
                  </c:pt>
                  <c:pt idx="24">
                    <c:v>III</c:v>
                  </c:pt>
                  <c:pt idx="25">
                    <c:v>IV</c:v>
                  </c:pt>
                </c:lvl>
                <c:lvl>
                  <c:pt idx="0">
                    <c:v>2020</c:v>
                  </c:pt>
                  <c:pt idx="4">
                    <c:v>2021</c:v>
                  </c:pt>
                  <c:pt idx="8">
                    <c:v> </c:v>
                  </c:pt>
                  <c:pt idx="9">
                    <c:v>2020</c:v>
                  </c:pt>
                  <c:pt idx="13">
                    <c:v>2021</c:v>
                  </c:pt>
                  <c:pt idx="17">
                    <c:v> </c:v>
                  </c:pt>
                  <c:pt idx="18">
                    <c:v>2020</c:v>
                  </c:pt>
                  <c:pt idx="22">
                    <c:v>2021</c:v>
                  </c:pt>
                </c:lvl>
              </c:multiLvlStrCache>
            </c:multiLvlStrRef>
          </c:cat>
          <c:val>
            <c:numRef>
              <c:f>'Trziste rada'!$W$39:$W$64</c:f>
              <c:numCache>
                <c:formatCode>General</c:formatCode>
                <c:ptCount val="26"/>
                <c:pt idx="4" formatCode="0.0%">
                  <c:v>0.128</c:v>
                </c:pt>
                <c:pt idx="5" formatCode="0.0%">
                  <c:v>0.111</c:v>
                </c:pt>
                <c:pt idx="6" formatCode="0.0%">
                  <c:v>0.105</c:v>
                </c:pt>
                <c:pt idx="7" formatCode="0.0%">
                  <c:v>9.8000000000000004E-2</c:v>
                </c:pt>
                <c:pt idx="13" formatCode="0.0%">
                  <c:v>0.46299999999999997</c:v>
                </c:pt>
                <c:pt idx="14" formatCode="0.0%">
                  <c:v>0.48299999999999998</c:v>
                </c:pt>
                <c:pt idx="15" formatCode="0.0%">
                  <c:v>0.5</c:v>
                </c:pt>
                <c:pt idx="16" formatCode="0.0%">
                  <c:v>0.5</c:v>
                </c:pt>
                <c:pt idx="22" formatCode="0.0%">
                  <c:v>0.46899999999999997</c:v>
                </c:pt>
                <c:pt idx="23" formatCode="0.0%">
                  <c:v>0.45700000000000002</c:v>
                </c:pt>
                <c:pt idx="24" formatCode="0.0%">
                  <c:v>0.442</c:v>
                </c:pt>
                <c:pt idx="25" formatCode="0.0%">
                  <c:v>0.44600000000000001</c:v>
                </c:pt>
              </c:numCache>
            </c:numRef>
          </c:val>
          <c:extLst>
            <c:ext xmlns:c16="http://schemas.microsoft.com/office/drawing/2014/chart" uri="{C3380CC4-5D6E-409C-BE32-E72D297353CC}">
              <c16:uniqueId val="{00000009-555E-42A2-AB6B-EA44704290B7}"/>
            </c:ext>
          </c:extLst>
        </c:ser>
        <c:dLbls>
          <c:showLegendKey val="0"/>
          <c:showVal val="0"/>
          <c:showCatName val="0"/>
          <c:showSerName val="0"/>
          <c:showPercent val="0"/>
          <c:showBubbleSize val="0"/>
        </c:dLbls>
        <c:gapWidth val="14"/>
        <c:overlap val="-27"/>
        <c:axId val="1025104512"/>
        <c:axId val="1025106808"/>
      </c:barChart>
      <c:lineChart>
        <c:grouping val="standard"/>
        <c:varyColors val="0"/>
        <c:ser>
          <c:idx val="2"/>
          <c:order val="2"/>
          <c:spPr>
            <a:ln w="28575" cap="rnd">
              <a:noFill/>
              <a:round/>
            </a:ln>
            <a:effectLst/>
          </c:spPr>
          <c:marker>
            <c:symbol val="none"/>
          </c:marker>
          <c:dLbls>
            <c:dLbl>
              <c:idx val="0"/>
              <c:tx>
                <c:rich>
                  <a:bodyPr/>
                  <a:lstStyle/>
                  <a:p>
                    <a:fld id="{15A2C371-7F27-4131-9FC3-A7458D060CFE}"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555E-42A2-AB6B-EA44704290B7}"/>
                </c:ext>
              </c:extLst>
            </c:dLbl>
            <c:dLbl>
              <c:idx val="1"/>
              <c:tx>
                <c:rich>
                  <a:bodyPr/>
                  <a:lstStyle/>
                  <a:p>
                    <a:fld id="{2BD9ABA0-D84F-4B72-8C37-06ABF8BE8CD3}"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555E-42A2-AB6B-EA44704290B7}"/>
                </c:ext>
              </c:extLst>
            </c:dLbl>
            <c:dLbl>
              <c:idx val="2"/>
              <c:tx>
                <c:rich>
                  <a:bodyPr/>
                  <a:lstStyle/>
                  <a:p>
                    <a:fld id="{7F852F21-5792-4B4E-9A30-FE7E3AFFE49F}"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555E-42A2-AB6B-EA44704290B7}"/>
                </c:ext>
              </c:extLst>
            </c:dLbl>
            <c:dLbl>
              <c:idx val="3"/>
              <c:tx>
                <c:rich>
                  <a:bodyPr/>
                  <a:lstStyle/>
                  <a:p>
                    <a:fld id="{2F302CFE-3D8D-4758-9DD4-B49331DDA2DE}"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555E-42A2-AB6B-EA44704290B7}"/>
                </c:ext>
              </c:extLst>
            </c:dLbl>
            <c:dLbl>
              <c:idx val="4"/>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555E-42A2-AB6B-EA44704290B7}"/>
                </c:ext>
              </c:extLst>
            </c:dLbl>
            <c:dLbl>
              <c:idx val="5"/>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555E-42A2-AB6B-EA44704290B7}"/>
                </c:ext>
              </c:extLst>
            </c:dLbl>
            <c:dLbl>
              <c:idx val="6"/>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0-555E-42A2-AB6B-EA44704290B7}"/>
                </c:ext>
              </c:extLst>
            </c:dLbl>
            <c:dLbl>
              <c:idx val="7"/>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1-555E-42A2-AB6B-EA44704290B7}"/>
                </c:ext>
              </c:extLst>
            </c:dLbl>
            <c:dLbl>
              <c:idx val="8"/>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2-555E-42A2-AB6B-EA44704290B7}"/>
                </c:ext>
              </c:extLst>
            </c:dLbl>
            <c:dLbl>
              <c:idx val="9"/>
              <c:tx>
                <c:rich>
                  <a:bodyPr/>
                  <a:lstStyle/>
                  <a:p>
                    <a:fld id="{9F85D67F-BEFB-4A47-92DF-82BC6BFE1F7B}"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555E-42A2-AB6B-EA44704290B7}"/>
                </c:ext>
              </c:extLst>
            </c:dLbl>
            <c:dLbl>
              <c:idx val="10"/>
              <c:tx>
                <c:rich>
                  <a:bodyPr/>
                  <a:lstStyle/>
                  <a:p>
                    <a:fld id="{EBA03191-2878-48CE-A65D-B3F57DE054F2}"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555E-42A2-AB6B-EA44704290B7}"/>
                </c:ext>
              </c:extLst>
            </c:dLbl>
            <c:dLbl>
              <c:idx val="11"/>
              <c:tx>
                <c:rich>
                  <a:bodyPr/>
                  <a:lstStyle/>
                  <a:p>
                    <a:fld id="{8BB02AB1-B645-4BB2-8FD0-E5E41FFD2ED7}"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555E-42A2-AB6B-EA44704290B7}"/>
                </c:ext>
              </c:extLst>
            </c:dLbl>
            <c:dLbl>
              <c:idx val="12"/>
              <c:tx>
                <c:rich>
                  <a:bodyPr/>
                  <a:lstStyle/>
                  <a:p>
                    <a:fld id="{9E01A08C-E718-4E61-81E8-2EE896E7CB61}"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555E-42A2-AB6B-EA44704290B7}"/>
                </c:ext>
              </c:extLst>
            </c:dLbl>
            <c:dLbl>
              <c:idx val="13"/>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7-555E-42A2-AB6B-EA44704290B7}"/>
                </c:ext>
              </c:extLst>
            </c:dLbl>
            <c:dLbl>
              <c:idx val="14"/>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8-555E-42A2-AB6B-EA44704290B7}"/>
                </c:ext>
              </c:extLst>
            </c:dLbl>
            <c:dLbl>
              <c:idx val="15"/>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9-555E-42A2-AB6B-EA44704290B7}"/>
                </c:ext>
              </c:extLst>
            </c:dLbl>
            <c:dLbl>
              <c:idx val="16"/>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A-555E-42A2-AB6B-EA44704290B7}"/>
                </c:ext>
              </c:extLst>
            </c:dLbl>
            <c:dLbl>
              <c:idx val="17"/>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B-555E-42A2-AB6B-EA44704290B7}"/>
                </c:ext>
              </c:extLst>
            </c:dLbl>
            <c:dLbl>
              <c:idx val="18"/>
              <c:tx>
                <c:rich>
                  <a:bodyPr/>
                  <a:lstStyle/>
                  <a:p>
                    <a:fld id="{368E7388-FA51-4E98-9BE5-F856A2CC301D}"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555E-42A2-AB6B-EA44704290B7}"/>
                </c:ext>
              </c:extLst>
            </c:dLbl>
            <c:dLbl>
              <c:idx val="19"/>
              <c:tx>
                <c:rich>
                  <a:bodyPr/>
                  <a:lstStyle/>
                  <a:p>
                    <a:fld id="{2D3CF48E-E453-4596-A020-400407FB45CF}"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555E-42A2-AB6B-EA44704290B7}"/>
                </c:ext>
              </c:extLst>
            </c:dLbl>
            <c:dLbl>
              <c:idx val="20"/>
              <c:tx>
                <c:rich>
                  <a:bodyPr/>
                  <a:lstStyle/>
                  <a:p>
                    <a:fld id="{FCB48537-E6D6-4826-86C2-497CEF9BD649}"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555E-42A2-AB6B-EA44704290B7}"/>
                </c:ext>
              </c:extLst>
            </c:dLbl>
            <c:dLbl>
              <c:idx val="21"/>
              <c:tx>
                <c:rich>
                  <a:bodyPr/>
                  <a:lstStyle/>
                  <a:p>
                    <a:fld id="{DA073B08-5AC8-4950-8F99-093967DD410A}"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555E-42A2-AB6B-EA44704290B7}"/>
                </c:ext>
              </c:extLst>
            </c:dLbl>
            <c:dLbl>
              <c:idx val="22"/>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0-555E-42A2-AB6B-EA44704290B7}"/>
                </c:ext>
              </c:extLst>
            </c:dLbl>
            <c:dLbl>
              <c:idx val="23"/>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1-555E-42A2-AB6B-EA44704290B7}"/>
                </c:ext>
              </c:extLst>
            </c:dLbl>
            <c:dLbl>
              <c:idx val="24"/>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2-555E-42A2-AB6B-EA44704290B7}"/>
                </c:ext>
              </c:extLst>
            </c:dLbl>
            <c:dLbl>
              <c:idx val="25"/>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3-555E-42A2-AB6B-EA44704290B7}"/>
                </c:ext>
              </c:extLst>
            </c:dLbl>
            <c:spPr>
              <a:noFill/>
              <a:ln>
                <a:noFill/>
              </a:ln>
              <a:effectLst/>
            </c:spPr>
            <c:txPr>
              <a:bodyPr rot="0" spcFirstLastPara="1" vertOverflow="ellipsis" vert="horz" wrap="square" lIns="38100" tIns="0" rIns="38100" bIns="0" anchor="t" anchorCtr="0">
                <a:spAutoFit/>
              </a:bodyPr>
              <a:lstStyle/>
              <a:p>
                <a:pPr>
                  <a:defRPr sz="750" b="1" i="0" u="none" strike="noStrike" kern="1200" baseline="0">
                    <a:solidFill>
                      <a:srgbClr val="29489A"/>
                    </a:solidFill>
                    <a:latin typeface="+mn-lt"/>
                    <a:ea typeface="+mn-ea"/>
                    <a:cs typeface="+mn-cs"/>
                  </a:defRPr>
                </a:pPr>
                <a:endParaRPr lang="sr-Latn-RS"/>
              </a:p>
            </c:txPr>
            <c:dLblPos val="b"/>
            <c:showLegendKey val="0"/>
            <c:showVal val="0"/>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DataLabelsRange val="1"/>
                <c15:showLeaderLines val="0"/>
              </c:ext>
            </c:extLst>
          </c:dLbls>
          <c:cat>
            <c:multiLvlStrRef>
              <c:f>'Trziste rada'!$T$39:$U$64</c:f>
              <c:multiLvlStrCache>
                <c:ptCount val="26"/>
                <c:lvl>
                  <c:pt idx="0">
                    <c:v>I</c:v>
                  </c:pt>
                  <c:pt idx="1">
                    <c:v>II</c:v>
                  </c:pt>
                  <c:pt idx="2">
                    <c:v>III</c:v>
                  </c:pt>
                  <c:pt idx="3">
                    <c:v>IV</c:v>
                  </c:pt>
                  <c:pt idx="4">
                    <c:v>I</c:v>
                  </c:pt>
                  <c:pt idx="5">
                    <c:v>II</c:v>
                  </c:pt>
                  <c:pt idx="6">
                    <c:v>III</c:v>
                  </c:pt>
                  <c:pt idx="7">
                    <c:v>IV</c:v>
                  </c:pt>
                  <c:pt idx="8">
                    <c:v> </c:v>
                  </c:pt>
                  <c:pt idx="9">
                    <c:v>I</c:v>
                  </c:pt>
                  <c:pt idx="10">
                    <c:v>II</c:v>
                  </c:pt>
                  <c:pt idx="11">
                    <c:v>III</c:v>
                  </c:pt>
                  <c:pt idx="12">
                    <c:v>IV</c:v>
                  </c:pt>
                  <c:pt idx="13">
                    <c:v>I</c:v>
                  </c:pt>
                  <c:pt idx="14">
                    <c:v>II</c:v>
                  </c:pt>
                  <c:pt idx="15">
                    <c:v>III</c:v>
                  </c:pt>
                  <c:pt idx="16">
                    <c:v>IV</c:v>
                  </c:pt>
                  <c:pt idx="17">
                    <c:v> </c:v>
                  </c:pt>
                  <c:pt idx="18">
                    <c:v>I</c:v>
                  </c:pt>
                  <c:pt idx="19">
                    <c:v>II</c:v>
                  </c:pt>
                  <c:pt idx="20">
                    <c:v>III</c:v>
                  </c:pt>
                  <c:pt idx="21">
                    <c:v>IV</c:v>
                  </c:pt>
                  <c:pt idx="22">
                    <c:v>I</c:v>
                  </c:pt>
                  <c:pt idx="23">
                    <c:v>II</c:v>
                  </c:pt>
                  <c:pt idx="24">
                    <c:v>III</c:v>
                  </c:pt>
                  <c:pt idx="25">
                    <c:v>IV</c:v>
                  </c:pt>
                </c:lvl>
                <c:lvl>
                  <c:pt idx="0">
                    <c:v>2020</c:v>
                  </c:pt>
                  <c:pt idx="4">
                    <c:v>2021</c:v>
                  </c:pt>
                  <c:pt idx="8">
                    <c:v> </c:v>
                  </c:pt>
                  <c:pt idx="9">
                    <c:v>2020</c:v>
                  </c:pt>
                  <c:pt idx="13">
                    <c:v>2021</c:v>
                  </c:pt>
                  <c:pt idx="17">
                    <c:v> </c:v>
                  </c:pt>
                  <c:pt idx="18">
                    <c:v>2020</c:v>
                  </c:pt>
                  <c:pt idx="22">
                    <c:v>2021</c:v>
                  </c:pt>
                </c:lvl>
              </c:multiLvlStrCache>
            </c:multiLvlStrRef>
          </c:cat>
          <c:val>
            <c:numRef>
              <c:f>'Trziste rada'!$X$39:$X$64</c:f>
              <c:numCache>
                <c:formatCode>General</c:formatCode>
                <c:ptCount val="26"/>
                <c:pt idx="0">
                  <c:v>0</c:v>
                </c:pt>
                <c:pt idx="1">
                  <c:v>0</c:v>
                </c:pt>
                <c:pt idx="2">
                  <c:v>0</c:v>
                </c:pt>
                <c:pt idx="3">
                  <c:v>0</c:v>
                </c:pt>
                <c:pt idx="9">
                  <c:v>0</c:v>
                </c:pt>
                <c:pt idx="10">
                  <c:v>0</c:v>
                </c:pt>
                <c:pt idx="11">
                  <c:v>0</c:v>
                </c:pt>
                <c:pt idx="12">
                  <c:v>0</c:v>
                </c:pt>
                <c:pt idx="18">
                  <c:v>0</c:v>
                </c:pt>
                <c:pt idx="19">
                  <c:v>0</c:v>
                </c:pt>
                <c:pt idx="20">
                  <c:v>0</c:v>
                </c:pt>
                <c:pt idx="21">
                  <c:v>0</c:v>
                </c:pt>
              </c:numCache>
            </c:numRef>
          </c:val>
          <c:smooth val="0"/>
          <c:extLst>
            <c:ext xmlns:c15="http://schemas.microsoft.com/office/drawing/2012/chart" uri="{02D57815-91ED-43cb-92C2-25804820EDAC}">
              <c15:datalabelsRange>
                <c15:f>'Trziste rada'!$AB$39:$AB$64</c15:f>
                <c15:dlblRangeCache>
                  <c:ptCount val="26"/>
                  <c:pt idx="0">
                    <c:v>I</c:v>
                  </c:pt>
                  <c:pt idx="1">
                    <c:v>II</c:v>
                  </c:pt>
                  <c:pt idx="2">
                    <c:v>III</c:v>
                  </c:pt>
                  <c:pt idx="3">
                    <c:v>IV</c:v>
                  </c:pt>
                  <c:pt idx="8">
                    <c:v> </c:v>
                  </c:pt>
                  <c:pt idx="9">
                    <c:v>I</c:v>
                  </c:pt>
                  <c:pt idx="10">
                    <c:v>II</c:v>
                  </c:pt>
                  <c:pt idx="11">
                    <c:v>III</c:v>
                  </c:pt>
                  <c:pt idx="12">
                    <c:v>IV</c:v>
                  </c:pt>
                  <c:pt idx="17">
                    <c:v> </c:v>
                  </c:pt>
                  <c:pt idx="18">
                    <c:v>I</c:v>
                  </c:pt>
                  <c:pt idx="19">
                    <c:v>II</c:v>
                  </c:pt>
                  <c:pt idx="20">
                    <c:v>III</c:v>
                  </c:pt>
                  <c:pt idx="21">
                    <c:v>IV</c:v>
                  </c:pt>
                </c15:dlblRangeCache>
              </c15:datalabelsRange>
            </c:ext>
            <c:ext xmlns:c16="http://schemas.microsoft.com/office/drawing/2014/chart" uri="{C3380CC4-5D6E-409C-BE32-E72D297353CC}">
              <c16:uniqueId val="{00000024-555E-42A2-AB6B-EA44704290B7}"/>
            </c:ext>
          </c:extLst>
        </c:ser>
        <c:ser>
          <c:idx val="3"/>
          <c:order val="3"/>
          <c:spPr>
            <a:ln w="28575" cap="rnd">
              <a:noFill/>
              <a:round/>
            </a:ln>
            <a:effectLst/>
          </c:spPr>
          <c:marker>
            <c:symbol val="none"/>
          </c:marker>
          <c:dLbls>
            <c:dLbl>
              <c:idx val="0"/>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5-555E-42A2-AB6B-EA44704290B7}"/>
                </c:ext>
              </c:extLst>
            </c:dLbl>
            <c:dLbl>
              <c:idx val="1"/>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6-555E-42A2-AB6B-EA44704290B7}"/>
                </c:ext>
              </c:extLst>
            </c:dLbl>
            <c:dLbl>
              <c:idx val="2"/>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7-555E-42A2-AB6B-EA44704290B7}"/>
                </c:ext>
              </c:extLst>
            </c:dLbl>
            <c:dLbl>
              <c:idx val="3"/>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8-555E-42A2-AB6B-EA44704290B7}"/>
                </c:ext>
              </c:extLst>
            </c:dLbl>
            <c:dLbl>
              <c:idx val="4"/>
              <c:tx>
                <c:rich>
                  <a:bodyPr/>
                  <a:lstStyle/>
                  <a:p>
                    <a:fld id="{5274D351-770C-49F1-9936-DDCB04A636B2}"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9-555E-42A2-AB6B-EA44704290B7}"/>
                </c:ext>
              </c:extLst>
            </c:dLbl>
            <c:dLbl>
              <c:idx val="5"/>
              <c:tx>
                <c:rich>
                  <a:bodyPr/>
                  <a:lstStyle/>
                  <a:p>
                    <a:fld id="{BFBCE870-FDC3-4512-834A-68810CB81FA5}"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A-555E-42A2-AB6B-EA44704290B7}"/>
                </c:ext>
              </c:extLst>
            </c:dLbl>
            <c:dLbl>
              <c:idx val="6"/>
              <c:tx>
                <c:rich>
                  <a:bodyPr/>
                  <a:lstStyle/>
                  <a:p>
                    <a:fld id="{8325C3F1-BDCB-4CF6-ACF2-CB9B246927A2}"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555E-42A2-AB6B-EA44704290B7}"/>
                </c:ext>
              </c:extLst>
            </c:dLbl>
            <c:dLbl>
              <c:idx val="7"/>
              <c:tx>
                <c:rich>
                  <a:bodyPr/>
                  <a:lstStyle/>
                  <a:p>
                    <a:fld id="{BE6866E8-72AE-4786-A2BB-52798DDFE7BE}"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C-555E-42A2-AB6B-EA44704290B7}"/>
                </c:ext>
              </c:extLst>
            </c:dLbl>
            <c:dLbl>
              <c:idx val="8"/>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D-555E-42A2-AB6B-EA44704290B7}"/>
                </c:ext>
              </c:extLst>
            </c:dLbl>
            <c:dLbl>
              <c:idx val="9"/>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E-555E-42A2-AB6B-EA44704290B7}"/>
                </c:ext>
              </c:extLst>
            </c:dLbl>
            <c:dLbl>
              <c:idx val="10"/>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F-555E-42A2-AB6B-EA44704290B7}"/>
                </c:ext>
              </c:extLst>
            </c:dLbl>
            <c:dLbl>
              <c:idx val="11"/>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0-555E-42A2-AB6B-EA44704290B7}"/>
                </c:ext>
              </c:extLst>
            </c:dLbl>
            <c:dLbl>
              <c:idx val="12"/>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1-555E-42A2-AB6B-EA44704290B7}"/>
                </c:ext>
              </c:extLst>
            </c:dLbl>
            <c:dLbl>
              <c:idx val="13"/>
              <c:tx>
                <c:rich>
                  <a:bodyPr/>
                  <a:lstStyle/>
                  <a:p>
                    <a:fld id="{8BB9A146-B966-4C01-9B6B-03DC98EF06EE}"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2-555E-42A2-AB6B-EA44704290B7}"/>
                </c:ext>
              </c:extLst>
            </c:dLbl>
            <c:dLbl>
              <c:idx val="14"/>
              <c:tx>
                <c:rich>
                  <a:bodyPr/>
                  <a:lstStyle/>
                  <a:p>
                    <a:fld id="{473B729A-F489-4226-B68B-5F8ED70844B4}"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3-555E-42A2-AB6B-EA44704290B7}"/>
                </c:ext>
              </c:extLst>
            </c:dLbl>
            <c:dLbl>
              <c:idx val="15"/>
              <c:tx>
                <c:rich>
                  <a:bodyPr/>
                  <a:lstStyle/>
                  <a:p>
                    <a:fld id="{8E82C8E5-0E6C-438A-9BCB-A7C7C951EB45}"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4-555E-42A2-AB6B-EA44704290B7}"/>
                </c:ext>
              </c:extLst>
            </c:dLbl>
            <c:dLbl>
              <c:idx val="16"/>
              <c:tx>
                <c:rich>
                  <a:bodyPr/>
                  <a:lstStyle/>
                  <a:p>
                    <a:fld id="{7AB9E275-9337-45BC-8447-0B9CCF99E94D}"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5-555E-42A2-AB6B-EA44704290B7}"/>
                </c:ext>
              </c:extLst>
            </c:dLbl>
            <c:dLbl>
              <c:idx val="17"/>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6-555E-42A2-AB6B-EA44704290B7}"/>
                </c:ext>
              </c:extLst>
            </c:dLbl>
            <c:dLbl>
              <c:idx val="18"/>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7-555E-42A2-AB6B-EA44704290B7}"/>
                </c:ext>
              </c:extLst>
            </c:dLbl>
            <c:dLbl>
              <c:idx val="19"/>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8-555E-42A2-AB6B-EA44704290B7}"/>
                </c:ext>
              </c:extLst>
            </c:dLbl>
            <c:dLbl>
              <c:idx val="20"/>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9-555E-42A2-AB6B-EA44704290B7}"/>
                </c:ext>
              </c:extLst>
            </c:dLbl>
            <c:dLbl>
              <c:idx val="21"/>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A-555E-42A2-AB6B-EA44704290B7}"/>
                </c:ext>
              </c:extLst>
            </c:dLbl>
            <c:dLbl>
              <c:idx val="22"/>
              <c:tx>
                <c:rich>
                  <a:bodyPr/>
                  <a:lstStyle/>
                  <a:p>
                    <a:fld id="{9B84DF1A-94A4-4609-AB31-25BD9CB1E3BD}"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B-555E-42A2-AB6B-EA44704290B7}"/>
                </c:ext>
              </c:extLst>
            </c:dLbl>
            <c:dLbl>
              <c:idx val="23"/>
              <c:tx>
                <c:rich>
                  <a:bodyPr/>
                  <a:lstStyle/>
                  <a:p>
                    <a:fld id="{46ED2ECF-769E-4896-87FB-72C2AB90C97C}"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C-555E-42A2-AB6B-EA44704290B7}"/>
                </c:ext>
              </c:extLst>
            </c:dLbl>
            <c:dLbl>
              <c:idx val="24"/>
              <c:tx>
                <c:rich>
                  <a:bodyPr/>
                  <a:lstStyle/>
                  <a:p>
                    <a:fld id="{6F33DE03-6B26-4103-832E-C32515557CA9}"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D-555E-42A2-AB6B-EA44704290B7}"/>
                </c:ext>
              </c:extLst>
            </c:dLbl>
            <c:dLbl>
              <c:idx val="25"/>
              <c:tx>
                <c:rich>
                  <a:bodyPr/>
                  <a:lstStyle/>
                  <a:p>
                    <a:fld id="{3F57C86F-CAE5-4B10-A074-F23DAFB759B0}" type="CELLRANGE">
                      <a:rPr lang="sr-Latn-RS"/>
                      <a:pPr/>
                      <a:t>[CELLRANGE]</a:t>
                    </a:fld>
                    <a:endParaRPr lang="sr-Latn-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E-555E-42A2-AB6B-EA44704290B7}"/>
                </c:ext>
              </c:extLst>
            </c:dLbl>
            <c:spPr>
              <a:noFill/>
              <a:ln>
                <a:noFill/>
              </a:ln>
              <a:effectLst/>
            </c:spPr>
            <c:txPr>
              <a:bodyPr rot="0" spcFirstLastPara="1" vertOverflow="ellipsis" vert="horz" wrap="square" lIns="38100" tIns="0" rIns="38100" bIns="0" anchor="t" anchorCtr="0">
                <a:spAutoFit/>
              </a:bodyPr>
              <a:lstStyle/>
              <a:p>
                <a:pPr>
                  <a:defRPr sz="750" b="1" i="0" u="none" strike="noStrike" kern="1200" baseline="0">
                    <a:solidFill>
                      <a:srgbClr val="FF0000"/>
                    </a:solidFill>
                    <a:latin typeface="+mn-lt"/>
                    <a:ea typeface="+mn-ea"/>
                    <a:cs typeface="+mn-cs"/>
                  </a:defRPr>
                </a:pPr>
                <a:endParaRPr lang="sr-Latn-RS"/>
              </a:p>
            </c:txPr>
            <c:dLblPos val="b"/>
            <c:showLegendKey val="0"/>
            <c:showVal val="0"/>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DataLabelsRange val="1"/>
                <c15:showLeaderLines val="0"/>
              </c:ext>
            </c:extLst>
          </c:dLbls>
          <c:cat>
            <c:multiLvlStrRef>
              <c:f>'Trziste rada'!$T$39:$U$64</c:f>
              <c:multiLvlStrCache>
                <c:ptCount val="26"/>
                <c:lvl>
                  <c:pt idx="0">
                    <c:v>I</c:v>
                  </c:pt>
                  <c:pt idx="1">
                    <c:v>II</c:v>
                  </c:pt>
                  <c:pt idx="2">
                    <c:v>III</c:v>
                  </c:pt>
                  <c:pt idx="3">
                    <c:v>IV</c:v>
                  </c:pt>
                  <c:pt idx="4">
                    <c:v>I</c:v>
                  </c:pt>
                  <c:pt idx="5">
                    <c:v>II</c:v>
                  </c:pt>
                  <c:pt idx="6">
                    <c:v>III</c:v>
                  </c:pt>
                  <c:pt idx="7">
                    <c:v>IV</c:v>
                  </c:pt>
                  <c:pt idx="8">
                    <c:v> </c:v>
                  </c:pt>
                  <c:pt idx="9">
                    <c:v>I</c:v>
                  </c:pt>
                  <c:pt idx="10">
                    <c:v>II</c:v>
                  </c:pt>
                  <c:pt idx="11">
                    <c:v>III</c:v>
                  </c:pt>
                  <c:pt idx="12">
                    <c:v>IV</c:v>
                  </c:pt>
                  <c:pt idx="13">
                    <c:v>I</c:v>
                  </c:pt>
                  <c:pt idx="14">
                    <c:v>II</c:v>
                  </c:pt>
                  <c:pt idx="15">
                    <c:v>III</c:v>
                  </c:pt>
                  <c:pt idx="16">
                    <c:v>IV</c:v>
                  </c:pt>
                  <c:pt idx="17">
                    <c:v> </c:v>
                  </c:pt>
                  <c:pt idx="18">
                    <c:v>I</c:v>
                  </c:pt>
                  <c:pt idx="19">
                    <c:v>II</c:v>
                  </c:pt>
                  <c:pt idx="20">
                    <c:v>III</c:v>
                  </c:pt>
                  <c:pt idx="21">
                    <c:v>IV</c:v>
                  </c:pt>
                  <c:pt idx="22">
                    <c:v>I</c:v>
                  </c:pt>
                  <c:pt idx="23">
                    <c:v>II</c:v>
                  </c:pt>
                  <c:pt idx="24">
                    <c:v>III</c:v>
                  </c:pt>
                  <c:pt idx="25">
                    <c:v>IV</c:v>
                  </c:pt>
                </c:lvl>
                <c:lvl>
                  <c:pt idx="0">
                    <c:v>2020</c:v>
                  </c:pt>
                  <c:pt idx="4">
                    <c:v>2021</c:v>
                  </c:pt>
                  <c:pt idx="8">
                    <c:v> </c:v>
                  </c:pt>
                  <c:pt idx="9">
                    <c:v>2020</c:v>
                  </c:pt>
                  <c:pt idx="13">
                    <c:v>2021</c:v>
                  </c:pt>
                  <c:pt idx="17">
                    <c:v> </c:v>
                  </c:pt>
                  <c:pt idx="18">
                    <c:v>2020</c:v>
                  </c:pt>
                  <c:pt idx="22">
                    <c:v>2021</c:v>
                  </c:pt>
                </c:lvl>
              </c:multiLvlStrCache>
            </c:multiLvlStrRef>
          </c:cat>
          <c:val>
            <c:numRef>
              <c:f>'Trziste rada'!$Y$39:$Y$64</c:f>
              <c:numCache>
                <c:formatCode>General</c:formatCode>
                <c:ptCount val="26"/>
                <c:pt idx="4">
                  <c:v>0</c:v>
                </c:pt>
                <c:pt idx="5">
                  <c:v>0</c:v>
                </c:pt>
                <c:pt idx="6">
                  <c:v>0</c:v>
                </c:pt>
                <c:pt idx="7">
                  <c:v>0</c:v>
                </c:pt>
                <c:pt idx="13">
                  <c:v>0</c:v>
                </c:pt>
                <c:pt idx="14">
                  <c:v>0</c:v>
                </c:pt>
                <c:pt idx="15">
                  <c:v>0</c:v>
                </c:pt>
                <c:pt idx="16">
                  <c:v>0</c:v>
                </c:pt>
                <c:pt idx="22">
                  <c:v>0</c:v>
                </c:pt>
                <c:pt idx="23">
                  <c:v>0</c:v>
                </c:pt>
                <c:pt idx="24">
                  <c:v>0</c:v>
                </c:pt>
                <c:pt idx="25">
                  <c:v>0</c:v>
                </c:pt>
              </c:numCache>
            </c:numRef>
          </c:val>
          <c:smooth val="0"/>
          <c:extLst>
            <c:ext xmlns:c15="http://schemas.microsoft.com/office/drawing/2012/chart" uri="{02D57815-91ED-43cb-92C2-25804820EDAC}">
              <c15:datalabelsRange>
                <c15:f>'Trziste rada'!$AC$39:$AC$64</c15:f>
                <c15:dlblRangeCache>
                  <c:ptCount val="26"/>
                  <c:pt idx="4">
                    <c:v>I</c:v>
                  </c:pt>
                  <c:pt idx="5">
                    <c:v>II</c:v>
                  </c:pt>
                  <c:pt idx="6">
                    <c:v>III</c:v>
                  </c:pt>
                  <c:pt idx="7">
                    <c:v>IV</c:v>
                  </c:pt>
                  <c:pt idx="13">
                    <c:v>I</c:v>
                  </c:pt>
                  <c:pt idx="14">
                    <c:v>II</c:v>
                  </c:pt>
                  <c:pt idx="15">
                    <c:v>III</c:v>
                  </c:pt>
                  <c:pt idx="16">
                    <c:v>IV</c:v>
                  </c:pt>
                  <c:pt idx="22">
                    <c:v>I</c:v>
                  </c:pt>
                  <c:pt idx="23">
                    <c:v>II</c:v>
                  </c:pt>
                  <c:pt idx="24">
                    <c:v>III</c:v>
                  </c:pt>
                  <c:pt idx="25">
                    <c:v>IV</c:v>
                  </c:pt>
                </c15:dlblRangeCache>
              </c15:datalabelsRange>
            </c:ext>
            <c:ext xmlns:c16="http://schemas.microsoft.com/office/drawing/2014/chart" uri="{C3380CC4-5D6E-409C-BE32-E72D297353CC}">
              <c16:uniqueId val="{0000003F-555E-42A2-AB6B-EA44704290B7}"/>
            </c:ext>
          </c:extLst>
        </c:ser>
        <c:ser>
          <c:idx val="4"/>
          <c:order val="4"/>
          <c:spPr>
            <a:ln w="28575" cap="rnd">
              <a:noFill/>
              <a:round/>
            </a:ln>
            <a:effectLst/>
          </c:spPr>
          <c:marker>
            <c:symbol val="none"/>
          </c:marker>
          <c:dLbls>
            <c:dLbl>
              <c:idx val="0"/>
              <c:layout>
                <c:manualLayout>
                  <c:x val="-1.5985710119568387E-2"/>
                  <c:y val="0.15750500000000012"/>
                </c:manualLayout>
              </c:layout>
              <c:tx>
                <c:rich>
                  <a:bodyPr/>
                  <a:lstStyle/>
                  <a:p>
                    <a:fld id="{73798098-C963-4B38-982A-64DCA39C2C36}" type="CELLRANGE">
                      <a:rPr lang="en-U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40-555E-42A2-AB6B-EA44704290B7}"/>
                </c:ext>
              </c:extLst>
            </c:dLbl>
            <c:dLbl>
              <c:idx val="1"/>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1-555E-42A2-AB6B-EA44704290B7}"/>
                </c:ext>
              </c:extLst>
            </c:dLbl>
            <c:dLbl>
              <c:idx val="2"/>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2-555E-42A2-AB6B-EA44704290B7}"/>
                </c:ext>
              </c:extLst>
            </c:dLbl>
            <c:dLbl>
              <c:idx val="3"/>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3-555E-42A2-AB6B-EA44704290B7}"/>
                </c:ext>
              </c:extLst>
            </c:dLbl>
            <c:dLbl>
              <c:idx val="4"/>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4-555E-42A2-AB6B-EA44704290B7}"/>
                </c:ext>
              </c:extLst>
            </c:dLbl>
            <c:dLbl>
              <c:idx val="5"/>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5-555E-42A2-AB6B-EA44704290B7}"/>
                </c:ext>
              </c:extLst>
            </c:dLbl>
            <c:dLbl>
              <c:idx val="6"/>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6-555E-42A2-AB6B-EA44704290B7}"/>
                </c:ext>
              </c:extLst>
            </c:dLbl>
            <c:dLbl>
              <c:idx val="7"/>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7-555E-42A2-AB6B-EA44704290B7}"/>
                </c:ext>
              </c:extLst>
            </c:dLbl>
            <c:dLbl>
              <c:idx val="8"/>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8-555E-42A2-AB6B-EA44704290B7}"/>
                </c:ext>
              </c:extLst>
            </c:dLbl>
            <c:dLbl>
              <c:idx val="9"/>
              <c:layout>
                <c:manualLayout>
                  <c:x val="-1.3452901720618341E-2"/>
                  <c:y val="0.155195"/>
                </c:manualLayout>
              </c:layout>
              <c:tx>
                <c:rich>
                  <a:bodyPr/>
                  <a:lstStyle/>
                  <a:p>
                    <a:fld id="{77DA615F-B944-4609-B91F-0E9ACB6FAAAB}" type="CELLRANGE">
                      <a:rPr lang="en-U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49-555E-42A2-AB6B-EA44704290B7}"/>
                </c:ext>
              </c:extLst>
            </c:dLbl>
            <c:dLbl>
              <c:idx val="10"/>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A-555E-42A2-AB6B-EA44704290B7}"/>
                </c:ext>
              </c:extLst>
            </c:dLbl>
            <c:dLbl>
              <c:idx val="11"/>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B-555E-42A2-AB6B-EA44704290B7}"/>
                </c:ext>
              </c:extLst>
            </c:dLbl>
            <c:dLbl>
              <c:idx val="12"/>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C-555E-42A2-AB6B-EA44704290B7}"/>
                </c:ext>
              </c:extLst>
            </c:dLbl>
            <c:dLbl>
              <c:idx val="13"/>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D-555E-42A2-AB6B-EA44704290B7}"/>
                </c:ext>
              </c:extLst>
            </c:dLbl>
            <c:dLbl>
              <c:idx val="14"/>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E-555E-42A2-AB6B-EA44704290B7}"/>
                </c:ext>
              </c:extLst>
            </c:dLbl>
            <c:dLbl>
              <c:idx val="15"/>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F-555E-42A2-AB6B-EA44704290B7}"/>
                </c:ext>
              </c:extLst>
            </c:dLbl>
            <c:dLbl>
              <c:idx val="16"/>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50-555E-42A2-AB6B-EA44704290B7}"/>
                </c:ext>
              </c:extLst>
            </c:dLbl>
            <c:dLbl>
              <c:idx val="17"/>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51-555E-42A2-AB6B-EA44704290B7}"/>
                </c:ext>
              </c:extLst>
            </c:dLbl>
            <c:dLbl>
              <c:idx val="18"/>
              <c:layout>
                <c:manualLayout>
                  <c:x val="-1.0920093321668125E-2"/>
                  <c:y val="0.155195"/>
                </c:manualLayout>
              </c:layout>
              <c:tx>
                <c:rich>
                  <a:bodyPr/>
                  <a:lstStyle/>
                  <a:p>
                    <a:fld id="{D015F1E7-9C1A-4F99-B549-DA2A16970E28}" type="CELLRANGE">
                      <a:rPr lang="en-U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52-555E-42A2-AB6B-EA44704290B7}"/>
                </c:ext>
              </c:extLst>
            </c:dLbl>
            <c:dLbl>
              <c:idx val="19"/>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53-555E-42A2-AB6B-EA44704290B7}"/>
                </c:ext>
              </c:extLst>
            </c:dLbl>
            <c:dLbl>
              <c:idx val="20"/>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54-555E-42A2-AB6B-EA44704290B7}"/>
                </c:ext>
              </c:extLst>
            </c:dLbl>
            <c:dLbl>
              <c:idx val="21"/>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55-555E-42A2-AB6B-EA44704290B7}"/>
                </c:ext>
              </c:extLst>
            </c:dLbl>
            <c:dLbl>
              <c:idx val="22"/>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56-555E-42A2-AB6B-EA44704290B7}"/>
                </c:ext>
              </c:extLst>
            </c:dLbl>
            <c:dLbl>
              <c:idx val="23"/>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57-555E-42A2-AB6B-EA44704290B7}"/>
                </c:ext>
              </c:extLst>
            </c:dLbl>
            <c:dLbl>
              <c:idx val="24"/>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58-555E-42A2-AB6B-EA44704290B7}"/>
                </c:ext>
              </c:extLst>
            </c:dLbl>
            <c:dLbl>
              <c:idx val="25"/>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59-555E-42A2-AB6B-EA44704290B7}"/>
                </c:ext>
              </c:extLst>
            </c:dLbl>
            <c:spPr>
              <a:noFill/>
              <a:ln>
                <a:noFill/>
              </a:ln>
              <a:effectLst/>
            </c:spPr>
            <c:txPr>
              <a:bodyPr rot="0" spcFirstLastPara="1" vertOverflow="ellipsis" vert="horz" wrap="square" lIns="38100" tIns="19050" rIns="38100" bIns="19050" anchor="ctr" anchorCtr="1">
                <a:spAutoFit/>
              </a:bodyPr>
              <a:lstStyle/>
              <a:p>
                <a:pPr>
                  <a:defRPr sz="759" b="1" i="0" u="none" strike="noStrike" kern="1200" baseline="0">
                    <a:solidFill>
                      <a:srgbClr val="29489A"/>
                    </a:solidFill>
                    <a:latin typeface="+mn-lt"/>
                    <a:ea typeface="+mn-ea"/>
                    <a:cs typeface="+mn-cs"/>
                  </a:defRPr>
                </a:pPr>
                <a:endParaRPr lang="sr-Latn-R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multiLvlStrRef>
              <c:f>'Trziste rada'!$T$39:$U$64</c:f>
              <c:multiLvlStrCache>
                <c:ptCount val="26"/>
                <c:lvl>
                  <c:pt idx="0">
                    <c:v>I</c:v>
                  </c:pt>
                  <c:pt idx="1">
                    <c:v>II</c:v>
                  </c:pt>
                  <c:pt idx="2">
                    <c:v>III</c:v>
                  </c:pt>
                  <c:pt idx="3">
                    <c:v>IV</c:v>
                  </c:pt>
                  <c:pt idx="4">
                    <c:v>I</c:v>
                  </c:pt>
                  <c:pt idx="5">
                    <c:v>II</c:v>
                  </c:pt>
                  <c:pt idx="6">
                    <c:v>III</c:v>
                  </c:pt>
                  <c:pt idx="7">
                    <c:v>IV</c:v>
                  </c:pt>
                  <c:pt idx="8">
                    <c:v> </c:v>
                  </c:pt>
                  <c:pt idx="9">
                    <c:v>I</c:v>
                  </c:pt>
                  <c:pt idx="10">
                    <c:v>II</c:v>
                  </c:pt>
                  <c:pt idx="11">
                    <c:v>III</c:v>
                  </c:pt>
                  <c:pt idx="12">
                    <c:v>IV</c:v>
                  </c:pt>
                  <c:pt idx="13">
                    <c:v>I</c:v>
                  </c:pt>
                  <c:pt idx="14">
                    <c:v>II</c:v>
                  </c:pt>
                  <c:pt idx="15">
                    <c:v>III</c:v>
                  </c:pt>
                  <c:pt idx="16">
                    <c:v>IV</c:v>
                  </c:pt>
                  <c:pt idx="17">
                    <c:v> </c:v>
                  </c:pt>
                  <c:pt idx="18">
                    <c:v>I</c:v>
                  </c:pt>
                  <c:pt idx="19">
                    <c:v>II</c:v>
                  </c:pt>
                  <c:pt idx="20">
                    <c:v>III</c:v>
                  </c:pt>
                  <c:pt idx="21">
                    <c:v>IV</c:v>
                  </c:pt>
                  <c:pt idx="22">
                    <c:v>I</c:v>
                  </c:pt>
                  <c:pt idx="23">
                    <c:v>II</c:v>
                  </c:pt>
                  <c:pt idx="24">
                    <c:v>III</c:v>
                  </c:pt>
                  <c:pt idx="25">
                    <c:v>IV</c:v>
                  </c:pt>
                </c:lvl>
                <c:lvl>
                  <c:pt idx="0">
                    <c:v>2020</c:v>
                  </c:pt>
                  <c:pt idx="4">
                    <c:v>2021</c:v>
                  </c:pt>
                  <c:pt idx="8">
                    <c:v> </c:v>
                  </c:pt>
                  <c:pt idx="9">
                    <c:v>2020</c:v>
                  </c:pt>
                  <c:pt idx="13">
                    <c:v>2021</c:v>
                  </c:pt>
                  <c:pt idx="17">
                    <c:v> </c:v>
                  </c:pt>
                  <c:pt idx="18">
                    <c:v>2020</c:v>
                  </c:pt>
                  <c:pt idx="22">
                    <c:v>2021</c:v>
                  </c:pt>
                </c:lvl>
              </c:multiLvlStrCache>
            </c:multiLvlStrRef>
          </c:cat>
          <c:val>
            <c:numRef>
              <c:f>'Trziste rada'!$Z$39:$Z$64</c:f>
              <c:numCache>
                <c:formatCode>General</c:formatCode>
                <c:ptCount val="26"/>
                <c:pt idx="0">
                  <c:v>0</c:v>
                </c:pt>
                <c:pt idx="9">
                  <c:v>0</c:v>
                </c:pt>
                <c:pt idx="18">
                  <c:v>0</c:v>
                </c:pt>
              </c:numCache>
            </c:numRef>
          </c:val>
          <c:smooth val="0"/>
          <c:extLst>
            <c:ext xmlns:c15="http://schemas.microsoft.com/office/drawing/2012/chart" uri="{02D57815-91ED-43cb-92C2-25804820EDAC}">
              <c15:datalabelsRange>
                <c15:f>'Trziste rada'!$AD$39:$AD$64</c15:f>
                <c15:dlblRangeCache>
                  <c:ptCount val="26"/>
                  <c:pt idx="0">
                    <c:v>2020</c:v>
                  </c:pt>
                  <c:pt idx="9">
                    <c:v>2020</c:v>
                  </c:pt>
                  <c:pt idx="18">
                    <c:v>2020</c:v>
                  </c:pt>
                </c15:dlblRangeCache>
              </c15:datalabelsRange>
            </c:ext>
            <c:ext xmlns:c16="http://schemas.microsoft.com/office/drawing/2014/chart" uri="{C3380CC4-5D6E-409C-BE32-E72D297353CC}">
              <c16:uniqueId val="{0000005A-555E-42A2-AB6B-EA44704290B7}"/>
            </c:ext>
          </c:extLst>
        </c:ser>
        <c:ser>
          <c:idx val="5"/>
          <c:order val="5"/>
          <c:spPr>
            <a:ln w="28575" cap="rnd">
              <a:solidFill>
                <a:schemeClr val="accent6"/>
              </a:solidFill>
              <a:round/>
            </a:ln>
            <a:effectLst/>
          </c:spPr>
          <c:marker>
            <c:symbol val="none"/>
          </c:marker>
          <c:dLbls>
            <c:dLbl>
              <c:idx val="0"/>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5B-555E-42A2-AB6B-EA44704290B7}"/>
                </c:ext>
              </c:extLst>
            </c:dLbl>
            <c:dLbl>
              <c:idx val="1"/>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5C-555E-42A2-AB6B-EA44704290B7}"/>
                </c:ext>
              </c:extLst>
            </c:dLbl>
            <c:dLbl>
              <c:idx val="2"/>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5D-555E-42A2-AB6B-EA44704290B7}"/>
                </c:ext>
              </c:extLst>
            </c:dLbl>
            <c:dLbl>
              <c:idx val="3"/>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5E-555E-42A2-AB6B-EA44704290B7}"/>
                </c:ext>
              </c:extLst>
            </c:dLbl>
            <c:dLbl>
              <c:idx val="4"/>
              <c:layout>
                <c:manualLayout>
                  <c:x val="-1.5985710119568387E-2"/>
                  <c:y val="0.155195"/>
                </c:manualLayout>
              </c:layout>
              <c:tx>
                <c:rich>
                  <a:bodyPr/>
                  <a:lstStyle/>
                  <a:p>
                    <a:fld id="{E41AB526-C74C-43FF-AE42-31351763BE87}" type="CELLRANGE">
                      <a:rPr lang="en-US"/>
                      <a:pPr/>
                      <a:t>[CELLRANGE]</a:t>
                    </a:fld>
                    <a:endParaRPr lang="sr-Latn-RS"/>
                  </a:p>
                </c:rich>
              </c:tx>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5F-555E-42A2-AB6B-EA44704290B7}"/>
                </c:ext>
              </c:extLst>
            </c:dLbl>
            <c:dLbl>
              <c:idx val="5"/>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60-555E-42A2-AB6B-EA44704290B7}"/>
                </c:ext>
              </c:extLst>
            </c:dLbl>
            <c:dLbl>
              <c:idx val="6"/>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61-555E-42A2-AB6B-EA44704290B7}"/>
                </c:ext>
              </c:extLst>
            </c:dLbl>
            <c:dLbl>
              <c:idx val="7"/>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62-555E-42A2-AB6B-EA44704290B7}"/>
                </c:ext>
              </c:extLst>
            </c:dLbl>
            <c:dLbl>
              <c:idx val="8"/>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63-555E-42A2-AB6B-EA44704290B7}"/>
                </c:ext>
              </c:extLst>
            </c:dLbl>
            <c:dLbl>
              <c:idx val="9"/>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64-555E-42A2-AB6B-EA44704290B7}"/>
                </c:ext>
              </c:extLst>
            </c:dLbl>
            <c:dLbl>
              <c:idx val="10"/>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65-555E-42A2-AB6B-EA44704290B7}"/>
                </c:ext>
              </c:extLst>
            </c:dLbl>
            <c:dLbl>
              <c:idx val="11"/>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66-555E-42A2-AB6B-EA44704290B7}"/>
                </c:ext>
              </c:extLst>
            </c:dLbl>
            <c:dLbl>
              <c:idx val="12"/>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67-555E-42A2-AB6B-EA44704290B7}"/>
                </c:ext>
              </c:extLst>
            </c:dLbl>
            <c:dLbl>
              <c:idx val="13"/>
              <c:layout>
                <c:manualLayout>
                  <c:x val="-1.3469048076307534E-2"/>
                  <c:y val="0.13752961295282323"/>
                </c:manualLayout>
              </c:layout>
              <c:tx>
                <c:rich>
                  <a:bodyPr/>
                  <a:lstStyle/>
                  <a:p>
                    <a:fld id="{3AD9ABE7-61A4-4B2E-8B3A-23F796027388}" type="CELLRANGE">
                      <a:rPr lang="en-U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68-555E-42A2-AB6B-EA44704290B7}"/>
                </c:ext>
              </c:extLst>
            </c:dLbl>
            <c:dLbl>
              <c:idx val="14"/>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69-555E-42A2-AB6B-EA44704290B7}"/>
                </c:ext>
              </c:extLst>
            </c:dLbl>
            <c:dLbl>
              <c:idx val="15"/>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6A-555E-42A2-AB6B-EA44704290B7}"/>
                </c:ext>
              </c:extLst>
            </c:dLbl>
            <c:dLbl>
              <c:idx val="16"/>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6B-555E-42A2-AB6B-EA44704290B7}"/>
                </c:ext>
              </c:extLst>
            </c:dLbl>
            <c:dLbl>
              <c:idx val="17"/>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6C-555E-42A2-AB6B-EA44704290B7}"/>
                </c:ext>
              </c:extLst>
            </c:dLbl>
            <c:dLbl>
              <c:idx val="18"/>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6D-555E-42A2-AB6B-EA44704290B7}"/>
                </c:ext>
              </c:extLst>
            </c:dLbl>
            <c:dLbl>
              <c:idx val="19"/>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6E-555E-42A2-AB6B-EA44704290B7}"/>
                </c:ext>
              </c:extLst>
            </c:dLbl>
            <c:dLbl>
              <c:idx val="20"/>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6F-555E-42A2-AB6B-EA44704290B7}"/>
                </c:ext>
              </c:extLst>
            </c:dLbl>
            <c:dLbl>
              <c:idx val="21"/>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70-555E-42A2-AB6B-EA44704290B7}"/>
                </c:ext>
              </c:extLst>
            </c:dLbl>
            <c:dLbl>
              <c:idx val="22"/>
              <c:layout>
                <c:manualLayout>
                  <c:x val="-1.3469048076307534E-2"/>
                  <c:y val="0.13752961295282323"/>
                </c:manualLayout>
              </c:layout>
              <c:tx>
                <c:rich>
                  <a:bodyPr/>
                  <a:lstStyle/>
                  <a:p>
                    <a:fld id="{9378F723-4A8C-43C4-90E0-A8044A208534}" type="CELLRANGE">
                      <a:rPr lang="en-U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71-555E-42A2-AB6B-EA44704290B7}"/>
                </c:ext>
              </c:extLst>
            </c:dLbl>
            <c:dLbl>
              <c:idx val="23"/>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72-555E-42A2-AB6B-EA44704290B7}"/>
                </c:ext>
              </c:extLst>
            </c:dLbl>
            <c:dLbl>
              <c:idx val="24"/>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73-555E-42A2-AB6B-EA44704290B7}"/>
                </c:ext>
              </c:extLst>
            </c:dLbl>
            <c:dLbl>
              <c:idx val="25"/>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74-555E-42A2-AB6B-EA44704290B7}"/>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mn-cs"/>
                  </a:defRPr>
                </a:pPr>
                <a:endParaRPr lang="sr-Latn-R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multiLvlStrRef>
              <c:f>'Trziste rada'!$T$39:$U$64</c:f>
              <c:multiLvlStrCache>
                <c:ptCount val="26"/>
                <c:lvl>
                  <c:pt idx="0">
                    <c:v>I</c:v>
                  </c:pt>
                  <c:pt idx="1">
                    <c:v>II</c:v>
                  </c:pt>
                  <c:pt idx="2">
                    <c:v>III</c:v>
                  </c:pt>
                  <c:pt idx="3">
                    <c:v>IV</c:v>
                  </c:pt>
                  <c:pt idx="4">
                    <c:v>I</c:v>
                  </c:pt>
                  <c:pt idx="5">
                    <c:v>II</c:v>
                  </c:pt>
                  <c:pt idx="6">
                    <c:v>III</c:v>
                  </c:pt>
                  <c:pt idx="7">
                    <c:v>IV</c:v>
                  </c:pt>
                  <c:pt idx="8">
                    <c:v> </c:v>
                  </c:pt>
                  <c:pt idx="9">
                    <c:v>I</c:v>
                  </c:pt>
                  <c:pt idx="10">
                    <c:v>II</c:v>
                  </c:pt>
                  <c:pt idx="11">
                    <c:v>III</c:v>
                  </c:pt>
                  <c:pt idx="12">
                    <c:v>IV</c:v>
                  </c:pt>
                  <c:pt idx="13">
                    <c:v>I</c:v>
                  </c:pt>
                  <c:pt idx="14">
                    <c:v>II</c:v>
                  </c:pt>
                  <c:pt idx="15">
                    <c:v>III</c:v>
                  </c:pt>
                  <c:pt idx="16">
                    <c:v>IV</c:v>
                  </c:pt>
                  <c:pt idx="17">
                    <c:v> </c:v>
                  </c:pt>
                  <c:pt idx="18">
                    <c:v>I</c:v>
                  </c:pt>
                  <c:pt idx="19">
                    <c:v>II</c:v>
                  </c:pt>
                  <c:pt idx="20">
                    <c:v>III</c:v>
                  </c:pt>
                  <c:pt idx="21">
                    <c:v>IV</c:v>
                  </c:pt>
                  <c:pt idx="22">
                    <c:v>I</c:v>
                  </c:pt>
                  <c:pt idx="23">
                    <c:v>II</c:v>
                  </c:pt>
                  <c:pt idx="24">
                    <c:v>III</c:v>
                  </c:pt>
                  <c:pt idx="25">
                    <c:v>IV</c:v>
                  </c:pt>
                </c:lvl>
                <c:lvl>
                  <c:pt idx="0">
                    <c:v>2020</c:v>
                  </c:pt>
                  <c:pt idx="4">
                    <c:v>2021</c:v>
                  </c:pt>
                  <c:pt idx="8">
                    <c:v> </c:v>
                  </c:pt>
                  <c:pt idx="9">
                    <c:v>2020</c:v>
                  </c:pt>
                  <c:pt idx="13">
                    <c:v>2021</c:v>
                  </c:pt>
                  <c:pt idx="17">
                    <c:v> </c:v>
                  </c:pt>
                  <c:pt idx="18">
                    <c:v>2020</c:v>
                  </c:pt>
                  <c:pt idx="22">
                    <c:v>2021</c:v>
                  </c:pt>
                </c:lvl>
              </c:multiLvlStrCache>
            </c:multiLvlStrRef>
          </c:cat>
          <c:val>
            <c:numRef>
              <c:f>'Trziste rada'!$AA$39:$AA$64</c:f>
              <c:numCache>
                <c:formatCode>General</c:formatCode>
                <c:ptCount val="26"/>
                <c:pt idx="4">
                  <c:v>0</c:v>
                </c:pt>
                <c:pt idx="13">
                  <c:v>0</c:v>
                </c:pt>
                <c:pt idx="22">
                  <c:v>0</c:v>
                </c:pt>
              </c:numCache>
            </c:numRef>
          </c:val>
          <c:smooth val="0"/>
          <c:extLst>
            <c:ext xmlns:c15="http://schemas.microsoft.com/office/drawing/2012/chart" uri="{02D57815-91ED-43cb-92C2-25804820EDAC}">
              <c15:datalabelsRange>
                <c15:f>'Trziste rada'!$AE$39:$AE$64</c15:f>
                <c15:dlblRangeCache>
                  <c:ptCount val="26"/>
                  <c:pt idx="4">
                    <c:v>2021</c:v>
                  </c:pt>
                  <c:pt idx="13">
                    <c:v>2021</c:v>
                  </c:pt>
                  <c:pt idx="22">
                    <c:v>2021</c:v>
                  </c:pt>
                </c15:dlblRangeCache>
              </c15:datalabelsRange>
            </c:ext>
            <c:ext xmlns:c16="http://schemas.microsoft.com/office/drawing/2014/chart" uri="{C3380CC4-5D6E-409C-BE32-E72D297353CC}">
              <c16:uniqueId val="{00000075-555E-42A2-AB6B-EA44704290B7}"/>
            </c:ext>
          </c:extLst>
        </c:ser>
        <c:dLbls>
          <c:showLegendKey val="0"/>
          <c:showVal val="0"/>
          <c:showCatName val="0"/>
          <c:showSerName val="0"/>
          <c:showPercent val="0"/>
          <c:showBubbleSize val="0"/>
        </c:dLbls>
        <c:marker val="1"/>
        <c:smooth val="0"/>
        <c:axId val="961497464"/>
        <c:axId val="961498448"/>
      </c:lineChart>
      <c:catAx>
        <c:axId val="961497464"/>
        <c:scaling>
          <c:orientation val="minMax"/>
        </c:scaling>
        <c:delete val="0"/>
        <c:axPos val="b"/>
        <c:numFmt formatCode="General" sourceLinked="1"/>
        <c:majorTickMark val="none"/>
        <c:minorTickMark val="none"/>
        <c:tickLblPos val="none"/>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961498448"/>
        <c:crosses val="autoZero"/>
        <c:auto val="1"/>
        <c:lblAlgn val="ctr"/>
        <c:lblOffset val="100"/>
        <c:noMultiLvlLbl val="0"/>
      </c:catAx>
      <c:valAx>
        <c:axId val="961498448"/>
        <c:scaling>
          <c:orientation val="minMax"/>
        </c:scaling>
        <c:delete val="0"/>
        <c:axPos val="l"/>
        <c:numFmt formatCode="0%" sourceLinked="0"/>
        <c:majorTickMark val="none"/>
        <c:minorTickMark val="none"/>
        <c:tickLblPos val="none"/>
        <c:spPr>
          <a:noFill/>
          <a:ln>
            <a:noFill/>
          </a:ln>
          <a:effectLst/>
        </c:spPr>
        <c:txPr>
          <a:bodyPr rot="-6000000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sr-Latn-RS"/>
          </a:p>
        </c:txPr>
        <c:crossAx val="961497464"/>
        <c:crosses val="autoZero"/>
        <c:crossBetween val="between"/>
      </c:valAx>
      <c:valAx>
        <c:axId val="1025106808"/>
        <c:scaling>
          <c:orientation val="minMax"/>
        </c:scaling>
        <c:delete val="0"/>
        <c:axPos val="r"/>
        <c:numFmt formatCode="0%" sourceLinked="0"/>
        <c:majorTickMark val="out"/>
        <c:minorTickMark val="none"/>
        <c:tickLblPos val="none"/>
        <c:spPr>
          <a:noFill/>
          <a:ln>
            <a:noFill/>
          </a:ln>
          <a:effectLst/>
        </c:spPr>
        <c:txPr>
          <a:bodyPr rot="-6000000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sr-Latn-RS"/>
          </a:p>
        </c:txPr>
        <c:crossAx val="1025104512"/>
        <c:crosses val="max"/>
        <c:crossBetween val="between"/>
      </c:valAx>
      <c:catAx>
        <c:axId val="1025104512"/>
        <c:scaling>
          <c:orientation val="minMax"/>
        </c:scaling>
        <c:delete val="1"/>
        <c:axPos val="b"/>
        <c:numFmt formatCode="General" sourceLinked="1"/>
        <c:majorTickMark val="out"/>
        <c:minorTickMark val="none"/>
        <c:tickLblPos val="nextTo"/>
        <c:crossAx val="1025106808"/>
        <c:crosses val="autoZero"/>
        <c:auto val="1"/>
        <c:lblAlgn val="ctr"/>
        <c:lblOffset val="100"/>
        <c:noMultiLvlLbl val="0"/>
      </c:cat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sr-Latn-RS"/>
    </a:p>
  </c:txPr>
  <c:externalData r:id="rId2">
    <c:autoUpdate val="0"/>
  </c:externalData>
  <c:userShapes r:id="rId3"/>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0491452991453"/>
          <c:y val="3.9230096237970254E-2"/>
          <c:w val="0.83185352666049006"/>
          <c:h val="0.6289622222222222"/>
        </c:manualLayout>
      </c:layout>
      <c:lineChart>
        <c:grouping val="standard"/>
        <c:varyColors val="0"/>
        <c:ser>
          <c:idx val="0"/>
          <c:order val="0"/>
          <c:tx>
            <c:strRef>
              <c:f>Inflacija!$U$3</c:f>
              <c:strCache>
                <c:ptCount val="1"/>
                <c:pt idx="0">
                  <c:v>Референтна каматна стопа</c:v>
                </c:pt>
              </c:strCache>
            </c:strRef>
          </c:tx>
          <c:spPr>
            <a:ln w="22225" cap="rnd">
              <a:solidFill>
                <a:srgbClr val="51BBE7"/>
              </a:solidFill>
              <a:round/>
            </a:ln>
            <a:effectLst/>
          </c:spPr>
          <c:marker>
            <c:symbol val="none"/>
          </c:marker>
          <c:cat>
            <c:numRef>
              <c:f>Inflacija!$Q$40:$Q$151</c:f>
              <c:numCache>
                <c:formatCode>yyyy</c:formatCode>
                <c:ptCount val="112"/>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c:v>44197</c:v>
                </c:pt>
                <c:pt idx="97">
                  <c:v>44228</c:v>
                </c:pt>
                <c:pt idx="98">
                  <c:v>44256</c:v>
                </c:pt>
                <c:pt idx="99">
                  <c:v>44287</c:v>
                </c:pt>
                <c:pt idx="100">
                  <c:v>44317</c:v>
                </c:pt>
                <c:pt idx="101">
                  <c:v>44348</c:v>
                </c:pt>
                <c:pt idx="102">
                  <c:v>44378</c:v>
                </c:pt>
                <c:pt idx="103">
                  <c:v>44409</c:v>
                </c:pt>
                <c:pt idx="104">
                  <c:v>44440</c:v>
                </c:pt>
                <c:pt idx="105">
                  <c:v>44470</c:v>
                </c:pt>
                <c:pt idx="106">
                  <c:v>44501</c:v>
                </c:pt>
                <c:pt idx="107">
                  <c:v>44531</c:v>
                </c:pt>
                <c:pt idx="108" formatCode="yy">
                  <c:v>44562</c:v>
                </c:pt>
                <c:pt idx="109" formatCode="yy">
                  <c:v>44593</c:v>
                </c:pt>
                <c:pt idx="110" formatCode="yy">
                  <c:v>44621</c:v>
                </c:pt>
                <c:pt idx="111" formatCode="yy">
                  <c:v>44652</c:v>
                </c:pt>
              </c:numCache>
            </c:numRef>
          </c:cat>
          <c:val>
            <c:numRef>
              <c:f>Inflacija!$U$40:$U$151</c:f>
              <c:numCache>
                <c:formatCode>0.00</c:formatCode>
                <c:ptCount val="112"/>
                <c:pt idx="0">
                  <c:v>11.5</c:v>
                </c:pt>
                <c:pt idx="1">
                  <c:v>11.75</c:v>
                </c:pt>
                <c:pt idx="2">
                  <c:v>11.75</c:v>
                </c:pt>
                <c:pt idx="3">
                  <c:v>11.75</c:v>
                </c:pt>
                <c:pt idx="4">
                  <c:v>11.25</c:v>
                </c:pt>
                <c:pt idx="5">
                  <c:v>11</c:v>
                </c:pt>
                <c:pt idx="6">
                  <c:v>11</c:v>
                </c:pt>
                <c:pt idx="7">
                  <c:v>11</c:v>
                </c:pt>
                <c:pt idx="8">
                  <c:v>11</c:v>
                </c:pt>
                <c:pt idx="9">
                  <c:v>10.5</c:v>
                </c:pt>
                <c:pt idx="10">
                  <c:v>10</c:v>
                </c:pt>
                <c:pt idx="11">
                  <c:v>9.5</c:v>
                </c:pt>
                <c:pt idx="12">
                  <c:v>9.5</c:v>
                </c:pt>
                <c:pt idx="13">
                  <c:v>9.5</c:v>
                </c:pt>
                <c:pt idx="14">
                  <c:v>9.5</c:v>
                </c:pt>
                <c:pt idx="15">
                  <c:v>9.5</c:v>
                </c:pt>
                <c:pt idx="16">
                  <c:v>9</c:v>
                </c:pt>
                <c:pt idx="17">
                  <c:v>8.5</c:v>
                </c:pt>
                <c:pt idx="18">
                  <c:v>8.5</c:v>
                </c:pt>
                <c:pt idx="19">
                  <c:v>8.5</c:v>
                </c:pt>
                <c:pt idx="20">
                  <c:v>8.5</c:v>
                </c:pt>
                <c:pt idx="21">
                  <c:v>8.5</c:v>
                </c:pt>
                <c:pt idx="22">
                  <c:v>8</c:v>
                </c:pt>
                <c:pt idx="23">
                  <c:v>8</c:v>
                </c:pt>
                <c:pt idx="24">
                  <c:v>8</c:v>
                </c:pt>
                <c:pt idx="25">
                  <c:v>8</c:v>
                </c:pt>
                <c:pt idx="26">
                  <c:v>7.5</c:v>
                </c:pt>
                <c:pt idx="27">
                  <c:v>7</c:v>
                </c:pt>
                <c:pt idx="28">
                  <c:v>6.5</c:v>
                </c:pt>
                <c:pt idx="29">
                  <c:v>6</c:v>
                </c:pt>
                <c:pt idx="30">
                  <c:v>6</c:v>
                </c:pt>
                <c:pt idx="31">
                  <c:v>5.5</c:v>
                </c:pt>
                <c:pt idx="32">
                  <c:v>5</c:v>
                </c:pt>
                <c:pt idx="33">
                  <c:v>4.5</c:v>
                </c:pt>
                <c:pt idx="34">
                  <c:v>4.5</c:v>
                </c:pt>
                <c:pt idx="35">
                  <c:v>4.5</c:v>
                </c:pt>
                <c:pt idx="36">
                  <c:v>4.5</c:v>
                </c:pt>
                <c:pt idx="37">
                  <c:v>4.25</c:v>
                </c:pt>
                <c:pt idx="38">
                  <c:v>4.25</c:v>
                </c:pt>
                <c:pt idx="39">
                  <c:v>4.25</c:v>
                </c:pt>
                <c:pt idx="40">
                  <c:v>4.25</c:v>
                </c:pt>
                <c:pt idx="41">
                  <c:v>4.25</c:v>
                </c:pt>
                <c:pt idx="42">
                  <c:v>4</c:v>
                </c:pt>
                <c:pt idx="43">
                  <c:v>4</c:v>
                </c:pt>
                <c:pt idx="44">
                  <c:v>4</c:v>
                </c:pt>
                <c:pt idx="45">
                  <c:v>4</c:v>
                </c:pt>
                <c:pt idx="46">
                  <c:v>4</c:v>
                </c:pt>
                <c:pt idx="47">
                  <c:v>4</c:v>
                </c:pt>
                <c:pt idx="48">
                  <c:v>4</c:v>
                </c:pt>
                <c:pt idx="49">
                  <c:v>4</c:v>
                </c:pt>
                <c:pt idx="50">
                  <c:v>4</c:v>
                </c:pt>
                <c:pt idx="51">
                  <c:v>4</c:v>
                </c:pt>
                <c:pt idx="52">
                  <c:v>4</c:v>
                </c:pt>
                <c:pt idx="53">
                  <c:v>4</c:v>
                </c:pt>
                <c:pt idx="54">
                  <c:v>4</c:v>
                </c:pt>
                <c:pt idx="55">
                  <c:v>4</c:v>
                </c:pt>
                <c:pt idx="56">
                  <c:v>3.75</c:v>
                </c:pt>
                <c:pt idx="57">
                  <c:v>3.5</c:v>
                </c:pt>
                <c:pt idx="58">
                  <c:v>3.5</c:v>
                </c:pt>
                <c:pt idx="59">
                  <c:v>3.5</c:v>
                </c:pt>
                <c:pt idx="60">
                  <c:v>3.5</c:v>
                </c:pt>
                <c:pt idx="61">
                  <c:v>3.5</c:v>
                </c:pt>
                <c:pt idx="62">
                  <c:v>3.25</c:v>
                </c:pt>
                <c:pt idx="63">
                  <c:v>3</c:v>
                </c:pt>
                <c:pt idx="64">
                  <c:v>3</c:v>
                </c:pt>
                <c:pt idx="65">
                  <c:v>3</c:v>
                </c:pt>
                <c:pt idx="66">
                  <c:v>3</c:v>
                </c:pt>
                <c:pt idx="67">
                  <c:v>3</c:v>
                </c:pt>
                <c:pt idx="68">
                  <c:v>3</c:v>
                </c:pt>
                <c:pt idx="69">
                  <c:v>3</c:v>
                </c:pt>
                <c:pt idx="70">
                  <c:v>3</c:v>
                </c:pt>
                <c:pt idx="71">
                  <c:v>3</c:v>
                </c:pt>
                <c:pt idx="72">
                  <c:v>3</c:v>
                </c:pt>
                <c:pt idx="73">
                  <c:v>3</c:v>
                </c:pt>
                <c:pt idx="74">
                  <c:v>3</c:v>
                </c:pt>
                <c:pt idx="75">
                  <c:v>3</c:v>
                </c:pt>
                <c:pt idx="76">
                  <c:v>3</c:v>
                </c:pt>
                <c:pt idx="77">
                  <c:v>3</c:v>
                </c:pt>
                <c:pt idx="78">
                  <c:v>2.75</c:v>
                </c:pt>
                <c:pt idx="79">
                  <c:v>2.5</c:v>
                </c:pt>
                <c:pt idx="80">
                  <c:v>2.5</c:v>
                </c:pt>
                <c:pt idx="81">
                  <c:v>2.5</c:v>
                </c:pt>
                <c:pt idx="82">
                  <c:v>2.25</c:v>
                </c:pt>
                <c:pt idx="83">
                  <c:v>2.25</c:v>
                </c:pt>
                <c:pt idx="84">
                  <c:v>2.25</c:v>
                </c:pt>
                <c:pt idx="85">
                  <c:v>2.25</c:v>
                </c:pt>
                <c:pt idx="86">
                  <c:v>1.75</c:v>
                </c:pt>
                <c:pt idx="87">
                  <c:v>1.5</c:v>
                </c:pt>
                <c:pt idx="88">
                  <c:v>1.5</c:v>
                </c:pt>
                <c:pt idx="89">
                  <c:v>1.25</c:v>
                </c:pt>
                <c:pt idx="90">
                  <c:v>1.25</c:v>
                </c:pt>
                <c:pt idx="91">
                  <c:v>1.25</c:v>
                </c:pt>
                <c:pt idx="92">
                  <c:v>1.25</c:v>
                </c:pt>
                <c:pt idx="93" formatCode="General">
                  <c:v>1.25</c:v>
                </c:pt>
                <c:pt idx="94" formatCode="General">
                  <c:v>1.25</c:v>
                </c:pt>
                <c:pt idx="95">
                  <c:v>1</c:v>
                </c:pt>
                <c:pt idx="96">
                  <c:v>1</c:v>
                </c:pt>
                <c:pt idx="97">
                  <c:v>1</c:v>
                </c:pt>
                <c:pt idx="98">
                  <c:v>1</c:v>
                </c:pt>
                <c:pt idx="99">
                  <c:v>1</c:v>
                </c:pt>
                <c:pt idx="100">
                  <c:v>1</c:v>
                </c:pt>
                <c:pt idx="101">
                  <c:v>1</c:v>
                </c:pt>
                <c:pt idx="102">
                  <c:v>1</c:v>
                </c:pt>
                <c:pt idx="103">
                  <c:v>1</c:v>
                </c:pt>
                <c:pt idx="104">
                  <c:v>1</c:v>
                </c:pt>
                <c:pt idx="105">
                  <c:v>1</c:v>
                </c:pt>
                <c:pt idx="106">
                  <c:v>1</c:v>
                </c:pt>
                <c:pt idx="107">
                  <c:v>1</c:v>
                </c:pt>
                <c:pt idx="108">
                  <c:v>1</c:v>
                </c:pt>
                <c:pt idx="109">
                  <c:v>1</c:v>
                </c:pt>
                <c:pt idx="110">
                  <c:v>1</c:v>
                </c:pt>
                <c:pt idx="111">
                  <c:v>1.5</c:v>
                </c:pt>
              </c:numCache>
            </c:numRef>
          </c:val>
          <c:smooth val="0"/>
          <c:extLst>
            <c:ext xmlns:c16="http://schemas.microsoft.com/office/drawing/2014/chart" uri="{C3380CC4-5D6E-409C-BE32-E72D297353CC}">
              <c16:uniqueId val="{00000000-F4DB-4193-ACFF-4A040CD7016D}"/>
            </c:ext>
          </c:extLst>
        </c:ser>
        <c:ser>
          <c:idx val="1"/>
          <c:order val="1"/>
          <c:tx>
            <c:strRef>
              <c:f>Inflacija!$V$3</c:f>
              <c:strCache>
                <c:ptCount val="1"/>
                <c:pt idx="0">
                  <c:v>Потрошачке цене</c:v>
                </c:pt>
              </c:strCache>
            </c:strRef>
          </c:tx>
          <c:spPr>
            <a:ln w="22225" cap="rnd">
              <a:solidFill>
                <a:srgbClr val="7F3F98"/>
              </a:solidFill>
              <a:round/>
            </a:ln>
            <a:effectLst/>
          </c:spPr>
          <c:marker>
            <c:symbol val="none"/>
          </c:marker>
          <c:cat>
            <c:numRef>
              <c:f>Inflacija!$Q$40:$Q$151</c:f>
              <c:numCache>
                <c:formatCode>yyyy</c:formatCode>
                <c:ptCount val="112"/>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c:v>44197</c:v>
                </c:pt>
                <c:pt idx="97">
                  <c:v>44228</c:v>
                </c:pt>
                <c:pt idx="98">
                  <c:v>44256</c:v>
                </c:pt>
                <c:pt idx="99">
                  <c:v>44287</c:v>
                </c:pt>
                <c:pt idx="100">
                  <c:v>44317</c:v>
                </c:pt>
                <c:pt idx="101">
                  <c:v>44348</c:v>
                </c:pt>
                <c:pt idx="102">
                  <c:v>44378</c:v>
                </c:pt>
                <c:pt idx="103">
                  <c:v>44409</c:v>
                </c:pt>
                <c:pt idx="104">
                  <c:v>44440</c:v>
                </c:pt>
                <c:pt idx="105">
                  <c:v>44470</c:v>
                </c:pt>
                <c:pt idx="106">
                  <c:v>44501</c:v>
                </c:pt>
                <c:pt idx="107">
                  <c:v>44531</c:v>
                </c:pt>
                <c:pt idx="108" formatCode="yy">
                  <c:v>44562</c:v>
                </c:pt>
                <c:pt idx="109" formatCode="yy">
                  <c:v>44593</c:v>
                </c:pt>
                <c:pt idx="110" formatCode="yy">
                  <c:v>44621</c:v>
                </c:pt>
                <c:pt idx="111" formatCode="yy">
                  <c:v>44652</c:v>
                </c:pt>
              </c:numCache>
            </c:numRef>
          </c:cat>
          <c:val>
            <c:numRef>
              <c:f>Inflacija!$V$40:$V$151</c:f>
              <c:numCache>
                <c:formatCode>0.0</c:formatCode>
                <c:ptCount val="112"/>
                <c:pt idx="0">
                  <c:v>12.753293315144077</c:v>
                </c:pt>
                <c:pt idx="1">
                  <c:v>12.412739988820135</c:v>
                </c:pt>
                <c:pt idx="2">
                  <c:v>11.175774206136737</c:v>
                </c:pt>
                <c:pt idx="3">
                  <c:v>11.4</c:v>
                </c:pt>
                <c:pt idx="4">
                  <c:v>9.9</c:v>
                </c:pt>
                <c:pt idx="5">
                  <c:v>9.8000000000000007</c:v>
                </c:pt>
                <c:pt idx="6">
                  <c:v>8.6</c:v>
                </c:pt>
                <c:pt idx="7" formatCode="General">
                  <c:v>7.3</c:v>
                </c:pt>
                <c:pt idx="8">
                  <c:v>4.8545411542100254</c:v>
                </c:pt>
                <c:pt idx="9">
                  <c:v>2.1686608375517835</c:v>
                </c:pt>
                <c:pt idx="10">
                  <c:v>1.5706806282722425</c:v>
                </c:pt>
                <c:pt idx="11">
                  <c:v>2.2241478913922492</c:v>
                </c:pt>
                <c:pt idx="12" formatCode="General">
                  <c:v>3.1</c:v>
                </c:pt>
                <c:pt idx="13" formatCode="General">
                  <c:v>2.6</c:v>
                </c:pt>
                <c:pt idx="14" formatCode="General">
                  <c:v>2.2999999999999998</c:v>
                </c:pt>
                <c:pt idx="15" formatCode="General">
                  <c:v>2.1</c:v>
                </c:pt>
                <c:pt idx="16">
                  <c:v>2.1</c:v>
                </c:pt>
                <c:pt idx="17" formatCode="General">
                  <c:v>1.3</c:v>
                </c:pt>
                <c:pt idx="18" formatCode="General">
                  <c:v>2.1</c:v>
                </c:pt>
                <c:pt idx="19" formatCode="General">
                  <c:v>1.5</c:v>
                </c:pt>
                <c:pt idx="20" formatCode="General">
                  <c:v>2.1</c:v>
                </c:pt>
                <c:pt idx="21" formatCode="General">
                  <c:v>1.8</c:v>
                </c:pt>
                <c:pt idx="22" formatCode="General">
                  <c:v>2.4</c:v>
                </c:pt>
                <c:pt idx="23" formatCode="General">
                  <c:v>1.7</c:v>
                </c:pt>
                <c:pt idx="24" formatCode="General">
                  <c:v>0.1</c:v>
                </c:pt>
                <c:pt idx="25" formatCode="General">
                  <c:v>0.8</c:v>
                </c:pt>
                <c:pt idx="26" formatCode="General">
                  <c:v>1.9</c:v>
                </c:pt>
                <c:pt idx="27" formatCode="General">
                  <c:v>1.8</c:v>
                </c:pt>
                <c:pt idx="28">
                  <c:v>1.5</c:v>
                </c:pt>
                <c:pt idx="29">
                  <c:v>1.9</c:v>
                </c:pt>
                <c:pt idx="30">
                  <c:v>1</c:v>
                </c:pt>
                <c:pt idx="31" formatCode="General">
                  <c:v>2.1</c:v>
                </c:pt>
                <c:pt idx="32" formatCode="General">
                  <c:v>1.4</c:v>
                </c:pt>
                <c:pt idx="33" formatCode="General">
                  <c:v>1.4</c:v>
                </c:pt>
                <c:pt idx="34" formatCode="General">
                  <c:v>1.3</c:v>
                </c:pt>
                <c:pt idx="35" formatCode="General">
                  <c:v>1.5</c:v>
                </c:pt>
                <c:pt idx="36" formatCode="General">
                  <c:v>2.4</c:v>
                </c:pt>
                <c:pt idx="37" formatCode="General">
                  <c:v>1.5</c:v>
                </c:pt>
                <c:pt idx="38" formatCode="General">
                  <c:v>0.6</c:v>
                </c:pt>
                <c:pt idx="39" formatCode="General">
                  <c:v>0.4</c:v>
                </c:pt>
                <c:pt idx="40">
                  <c:v>0.7</c:v>
                </c:pt>
                <c:pt idx="41">
                  <c:v>0.3</c:v>
                </c:pt>
                <c:pt idx="42">
                  <c:v>1.2</c:v>
                </c:pt>
                <c:pt idx="43" formatCode="General">
                  <c:v>1.2</c:v>
                </c:pt>
                <c:pt idx="44" formatCode="General">
                  <c:v>0.6</c:v>
                </c:pt>
                <c:pt idx="45" formatCode="General">
                  <c:v>1.5</c:v>
                </c:pt>
                <c:pt idx="46" formatCode="General">
                  <c:v>1.5</c:v>
                </c:pt>
                <c:pt idx="47" formatCode="General">
                  <c:v>1.6</c:v>
                </c:pt>
                <c:pt idx="48" formatCode="General">
                  <c:v>2.4</c:v>
                </c:pt>
                <c:pt idx="49" formatCode="General">
                  <c:v>3.2</c:v>
                </c:pt>
                <c:pt idx="50" formatCode="General">
                  <c:v>3.6</c:v>
                </c:pt>
                <c:pt idx="51">
                  <c:v>4</c:v>
                </c:pt>
                <c:pt idx="52">
                  <c:v>3.5</c:v>
                </c:pt>
                <c:pt idx="53">
                  <c:v>3.6</c:v>
                </c:pt>
                <c:pt idx="54">
                  <c:v>3.2</c:v>
                </c:pt>
                <c:pt idx="55" formatCode="General">
                  <c:v>2.5</c:v>
                </c:pt>
                <c:pt idx="56" formatCode="General">
                  <c:v>3.2</c:v>
                </c:pt>
                <c:pt idx="57" formatCode="General">
                  <c:v>2.8</c:v>
                </c:pt>
                <c:pt idx="58" formatCode="General">
                  <c:v>2.8</c:v>
                </c:pt>
                <c:pt idx="59">
                  <c:v>3</c:v>
                </c:pt>
                <c:pt idx="60">
                  <c:v>1.9</c:v>
                </c:pt>
                <c:pt idx="61" formatCode="General">
                  <c:v>1.5</c:v>
                </c:pt>
                <c:pt idx="62" formatCode="General">
                  <c:v>1.4</c:v>
                </c:pt>
                <c:pt idx="63">
                  <c:v>1.1000000000000001</c:v>
                </c:pt>
                <c:pt idx="64" formatCode="General">
                  <c:v>2.1</c:v>
                </c:pt>
                <c:pt idx="65" formatCode="General">
                  <c:v>2.2999999999999998</c:v>
                </c:pt>
                <c:pt idx="66" formatCode="General">
                  <c:v>2.4</c:v>
                </c:pt>
                <c:pt idx="67" formatCode="General">
                  <c:v>2.6</c:v>
                </c:pt>
                <c:pt idx="68" formatCode="General">
                  <c:v>2.1</c:v>
                </c:pt>
                <c:pt idx="69" formatCode="General">
                  <c:v>2.2000000000000002</c:v>
                </c:pt>
                <c:pt idx="70" formatCode="General">
                  <c:v>1.9</c:v>
                </c:pt>
                <c:pt idx="71">
                  <c:v>2</c:v>
                </c:pt>
                <c:pt idx="72">
                  <c:v>2.1</c:v>
                </c:pt>
                <c:pt idx="73">
                  <c:v>2.4</c:v>
                </c:pt>
                <c:pt idx="74" formatCode="General">
                  <c:v>2.8</c:v>
                </c:pt>
                <c:pt idx="75" formatCode="General">
                  <c:v>3.1</c:v>
                </c:pt>
                <c:pt idx="76" formatCode="General">
                  <c:v>2.2000000000000002</c:v>
                </c:pt>
                <c:pt idx="77" formatCode="General">
                  <c:v>1.5</c:v>
                </c:pt>
                <c:pt idx="78" formatCode="General">
                  <c:v>1.6</c:v>
                </c:pt>
                <c:pt idx="79" formatCode="General">
                  <c:v>1.3</c:v>
                </c:pt>
                <c:pt idx="80" formatCode="General">
                  <c:v>1.1000000000000001</c:v>
                </c:pt>
                <c:pt idx="81">
                  <c:v>1</c:v>
                </c:pt>
                <c:pt idx="82">
                  <c:v>1.5</c:v>
                </c:pt>
                <c:pt idx="83">
                  <c:v>1.9</c:v>
                </c:pt>
                <c:pt idx="84">
                  <c:v>2</c:v>
                </c:pt>
                <c:pt idx="85">
                  <c:v>1.9</c:v>
                </c:pt>
                <c:pt idx="86">
                  <c:v>1.3</c:v>
                </c:pt>
                <c:pt idx="87">
                  <c:v>0.6</c:v>
                </c:pt>
                <c:pt idx="88">
                  <c:v>0.7</c:v>
                </c:pt>
                <c:pt idx="89">
                  <c:v>1.6</c:v>
                </c:pt>
                <c:pt idx="90">
                  <c:v>2</c:v>
                </c:pt>
                <c:pt idx="91">
                  <c:v>1.9</c:v>
                </c:pt>
                <c:pt idx="92">
                  <c:v>1.8</c:v>
                </c:pt>
                <c:pt idx="93">
                  <c:v>1.8</c:v>
                </c:pt>
                <c:pt idx="94">
                  <c:v>1.7</c:v>
                </c:pt>
                <c:pt idx="95">
                  <c:v>1.3</c:v>
                </c:pt>
                <c:pt idx="96">
                  <c:v>1.1000000000000001</c:v>
                </c:pt>
                <c:pt idx="97">
                  <c:v>1.2</c:v>
                </c:pt>
                <c:pt idx="98">
                  <c:v>1.8</c:v>
                </c:pt>
                <c:pt idx="99">
                  <c:v>2.8</c:v>
                </c:pt>
                <c:pt idx="100">
                  <c:v>3.6</c:v>
                </c:pt>
                <c:pt idx="101">
                  <c:v>3.3</c:v>
                </c:pt>
                <c:pt idx="102">
                  <c:v>3.3</c:v>
                </c:pt>
                <c:pt idx="103">
                  <c:v>4.3</c:v>
                </c:pt>
                <c:pt idx="104">
                  <c:v>5.7</c:v>
                </c:pt>
                <c:pt idx="105" formatCode="General">
                  <c:v>6.6</c:v>
                </c:pt>
                <c:pt idx="106" formatCode="General">
                  <c:v>7.5</c:v>
                </c:pt>
                <c:pt idx="107" formatCode="General">
                  <c:v>7.9</c:v>
                </c:pt>
                <c:pt idx="108" formatCode="General">
                  <c:v>8.1999999999999993</c:v>
                </c:pt>
                <c:pt idx="109" formatCode="General">
                  <c:v>8.8000000000000007</c:v>
                </c:pt>
                <c:pt idx="110" formatCode="General">
                  <c:v>9.1</c:v>
                </c:pt>
                <c:pt idx="111" formatCode="General">
                  <c:v>9.6</c:v>
                </c:pt>
              </c:numCache>
            </c:numRef>
          </c:val>
          <c:smooth val="0"/>
          <c:extLst>
            <c:ext xmlns:c16="http://schemas.microsoft.com/office/drawing/2014/chart" uri="{C3380CC4-5D6E-409C-BE32-E72D297353CC}">
              <c16:uniqueId val="{00000001-F4DB-4193-ACFF-4A040CD7016D}"/>
            </c:ext>
          </c:extLst>
        </c:ser>
        <c:ser>
          <c:idx val="2"/>
          <c:order val="2"/>
          <c:tx>
            <c:strRef>
              <c:f>Inflacija!$W$3</c:f>
              <c:strCache>
                <c:ptCount val="1"/>
                <c:pt idx="0">
                  <c:v>Циљана инфлација</c:v>
                </c:pt>
              </c:strCache>
            </c:strRef>
          </c:tx>
          <c:spPr>
            <a:ln w="22225" cap="rnd">
              <a:solidFill>
                <a:srgbClr val="FF0000"/>
              </a:solidFill>
              <a:round/>
            </a:ln>
            <a:effectLst/>
          </c:spPr>
          <c:marker>
            <c:symbol val="none"/>
          </c:marker>
          <c:cat>
            <c:numRef>
              <c:f>Inflacija!$Q$40:$Q$151</c:f>
              <c:numCache>
                <c:formatCode>yyyy</c:formatCode>
                <c:ptCount val="112"/>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c:v>44197</c:v>
                </c:pt>
                <c:pt idx="97">
                  <c:v>44228</c:v>
                </c:pt>
                <c:pt idx="98">
                  <c:v>44256</c:v>
                </c:pt>
                <c:pt idx="99">
                  <c:v>44287</c:v>
                </c:pt>
                <c:pt idx="100">
                  <c:v>44317</c:v>
                </c:pt>
                <c:pt idx="101">
                  <c:v>44348</c:v>
                </c:pt>
                <c:pt idx="102">
                  <c:v>44378</c:v>
                </c:pt>
                <c:pt idx="103">
                  <c:v>44409</c:v>
                </c:pt>
                <c:pt idx="104">
                  <c:v>44440</c:v>
                </c:pt>
                <c:pt idx="105">
                  <c:v>44470</c:v>
                </c:pt>
                <c:pt idx="106">
                  <c:v>44501</c:v>
                </c:pt>
                <c:pt idx="107">
                  <c:v>44531</c:v>
                </c:pt>
                <c:pt idx="108" formatCode="yy">
                  <c:v>44562</c:v>
                </c:pt>
                <c:pt idx="109" formatCode="yy">
                  <c:v>44593</c:v>
                </c:pt>
                <c:pt idx="110" formatCode="yy">
                  <c:v>44621</c:v>
                </c:pt>
                <c:pt idx="111" formatCode="yy">
                  <c:v>44652</c:v>
                </c:pt>
              </c:numCache>
            </c:numRef>
          </c:cat>
          <c:val>
            <c:numRef>
              <c:f>Inflacija!$W$40:$W$151</c:f>
              <c:numCache>
                <c:formatCode>0.0</c:formatCode>
                <c:ptCount val="112"/>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pt idx="15">
                  <c:v>4</c:v>
                </c:pt>
                <c:pt idx="16">
                  <c:v>4</c:v>
                </c:pt>
                <c:pt idx="17">
                  <c:v>4</c:v>
                </c:pt>
                <c:pt idx="18">
                  <c:v>4</c:v>
                </c:pt>
                <c:pt idx="19">
                  <c:v>4</c:v>
                </c:pt>
                <c:pt idx="20">
                  <c:v>4</c:v>
                </c:pt>
                <c:pt idx="21">
                  <c:v>4</c:v>
                </c:pt>
                <c:pt idx="22">
                  <c:v>4</c:v>
                </c:pt>
                <c:pt idx="23">
                  <c:v>4</c:v>
                </c:pt>
                <c:pt idx="24">
                  <c:v>4</c:v>
                </c:pt>
                <c:pt idx="25">
                  <c:v>4</c:v>
                </c:pt>
                <c:pt idx="26">
                  <c:v>4</c:v>
                </c:pt>
                <c:pt idx="27">
                  <c:v>4</c:v>
                </c:pt>
                <c:pt idx="28">
                  <c:v>4</c:v>
                </c:pt>
                <c:pt idx="29">
                  <c:v>4</c:v>
                </c:pt>
                <c:pt idx="30">
                  <c:v>4</c:v>
                </c:pt>
                <c:pt idx="31">
                  <c:v>4</c:v>
                </c:pt>
                <c:pt idx="32">
                  <c:v>4</c:v>
                </c:pt>
                <c:pt idx="33">
                  <c:v>4</c:v>
                </c:pt>
                <c:pt idx="34">
                  <c:v>4</c:v>
                </c:pt>
                <c:pt idx="35">
                  <c:v>4</c:v>
                </c:pt>
                <c:pt idx="36">
                  <c:v>4</c:v>
                </c:pt>
                <c:pt idx="37">
                  <c:v>4</c:v>
                </c:pt>
                <c:pt idx="38">
                  <c:v>4</c:v>
                </c:pt>
                <c:pt idx="39">
                  <c:v>4</c:v>
                </c:pt>
                <c:pt idx="40">
                  <c:v>4</c:v>
                </c:pt>
                <c:pt idx="41">
                  <c:v>4</c:v>
                </c:pt>
                <c:pt idx="42">
                  <c:v>4</c:v>
                </c:pt>
                <c:pt idx="43">
                  <c:v>4</c:v>
                </c:pt>
                <c:pt idx="44">
                  <c:v>4</c:v>
                </c:pt>
                <c:pt idx="45">
                  <c:v>4</c:v>
                </c:pt>
                <c:pt idx="46">
                  <c:v>4</c:v>
                </c:pt>
                <c:pt idx="47">
                  <c:v>4</c:v>
                </c:pt>
                <c:pt idx="48">
                  <c:v>3</c:v>
                </c:pt>
                <c:pt idx="49">
                  <c:v>3</c:v>
                </c:pt>
                <c:pt idx="50">
                  <c:v>3</c:v>
                </c:pt>
                <c:pt idx="51">
                  <c:v>3</c:v>
                </c:pt>
                <c:pt idx="52">
                  <c:v>3</c:v>
                </c:pt>
                <c:pt idx="53">
                  <c:v>3</c:v>
                </c:pt>
                <c:pt idx="54">
                  <c:v>3</c:v>
                </c:pt>
                <c:pt idx="55">
                  <c:v>3</c:v>
                </c:pt>
                <c:pt idx="56">
                  <c:v>3</c:v>
                </c:pt>
                <c:pt idx="57">
                  <c:v>3</c:v>
                </c:pt>
                <c:pt idx="58">
                  <c:v>3</c:v>
                </c:pt>
                <c:pt idx="59">
                  <c:v>3</c:v>
                </c:pt>
                <c:pt idx="60">
                  <c:v>3</c:v>
                </c:pt>
                <c:pt idx="61">
                  <c:v>3</c:v>
                </c:pt>
                <c:pt idx="62">
                  <c:v>3</c:v>
                </c:pt>
                <c:pt idx="63">
                  <c:v>3</c:v>
                </c:pt>
                <c:pt idx="64">
                  <c:v>3</c:v>
                </c:pt>
                <c:pt idx="65">
                  <c:v>3</c:v>
                </c:pt>
                <c:pt idx="66">
                  <c:v>3</c:v>
                </c:pt>
                <c:pt idx="67">
                  <c:v>3</c:v>
                </c:pt>
                <c:pt idx="68">
                  <c:v>3</c:v>
                </c:pt>
                <c:pt idx="69">
                  <c:v>3</c:v>
                </c:pt>
                <c:pt idx="70">
                  <c:v>3</c:v>
                </c:pt>
                <c:pt idx="71">
                  <c:v>3</c:v>
                </c:pt>
                <c:pt idx="72">
                  <c:v>3</c:v>
                </c:pt>
                <c:pt idx="73">
                  <c:v>3</c:v>
                </c:pt>
                <c:pt idx="74">
                  <c:v>3</c:v>
                </c:pt>
                <c:pt idx="75">
                  <c:v>3</c:v>
                </c:pt>
                <c:pt idx="76">
                  <c:v>3</c:v>
                </c:pt>
                <c:pt idx="77">
                  <c:v>3</c:v>
                </c:pt>
                <c:pt idx="78">
                  <c:v>3</c:v>
                </c:pt>
                <c:pt idx="79">
                  <c:v>3</c:v>
                </c:pt>
                <c:pt idx="80">
                  <c:v>3</c:v>
                </c:pt>
                <c:pt idx="81">
                  <c:v>3</c:v>
                </c:pt>
                <c:pt idx="82">
                  <c:v>3</c:v>
                </c:pt>
                <c:pt idx="83">
                  <c:v>3</c:v>
                </c:pt>
                <c:pt idx="84">
                  <c:v>3</c:v>
                </c:pt>
                <c:pt idx="85">
                  <c:v>3</c:v>
                </c:pt>
                <c:pt idx="86">
                  <c:v>3</c:v>
                </c:pt>
                <c:pt idx="87">
                  <c:v>3</c:v>
                </c:pt>
                <c:pt idx="88">
                  <c:v>3</c:v>
                </c:pt>
                <c:pt idx="89">
                  <c:v>3</c:v>
                </c:pt>
                <c:pt idx="90">
                  <c:v>3</c:v>
                </c:pt>
                <c:pt idx="91">
                  <c:v>3</c:v>
                </c:pt>
                <c:pt idx="92">
                  <c:v>3</c:v>
                </c:pt>
                <c:pt idx="93">
                  <c:v>3</c:v>
                </c:pt>
                <c:pt idx="94">
                  <c:v>3</c:v>
                </c:pt>
                <c:pt idx="95">
                  <c:v>3</c:v>
                </c:pt>
                <c:pt idx="96">
                  <c:v>3</c:v>
                </c:pt>
                <c:pt idx="97">
                  <c:v>3</c:v>
                </c:pt>
                <c:pt idx="98">
                  <c:v>3</c:v>
                </c:pt>
                <c:pt idx="99">
                  <c:v>3</c:v>
                </c:pt>
                <c:pt idx="100">
                  <c:v>3</c:v>
                </c:pt>
                <c:pt idx="101">
                  <c:v>3</c:v>
                </c:pt>
                <c:pt idx="102">
                  <c:v>3</c:v>
                </c:pt>
                <c:pt idx="103">
                  <c:v>3</c:v>
                </c:pt>
                <c:pt idx="104">
                  <c:v>3</c:v>
                </c:pt>
                <c:pt idx="105">
                  <c:v>3</c:v>
                </c:pt>
                <c:pt idx="106">
                  <c:v>3</c:v>
                </c:pt>
                <c:pt idx="107">
                  <c:v>3</c:v>
                </c:pt>
                <c:pt idx="108">
                  <c:v>3</c:v>
                </c:pt>
                <c:pt idx="109">
                  <c:v>3</c:v>
                </c:pt>
                <c:pt idx="110">
                  <c:v>3</c:v>
                </c:pt>
                <c:pt idx="111">
                  <c:v>3</c:v>
                </c:pt>
              </c:numCache>
            </c:numRef>
          </c:val>
          <c:smooth val="0"/>
          <c:extLst>
            <c:ext xmlns:c16="http://schemas.microsoft.com/office/drawing/2014/chart" uri="{C3380CC4-5D6E-409C-BE32-E72D297353CC}">
              <c16:uniqueId val="{00000002-F4DB-4193-ACFF-4A040CD7016D}"/>
            </c:ext>
          </c:extLst>
        </c:ser>
        <c:ser>
          <c:idx val="3"/>
          <c:order val="3"/>
          <c:tx>
            <c:strRef>
              <c:f>Inflacija!$X$3</c:f>
              <c:strCache>
                <c:ptCount val="1"/>
                <c:pt idx="0">
                  <c:v>Коридор инфлације</c:v>
                </c:pt>
              </c:strCache>
            </c:strRef>
          </c:tx>
          <c:spPr>
            <a:ln w="12700" cap="rnd">
              <a:solidFill>
                <a:srgbClr val="898989"/>
              </a:solidFill>
              <a:prstDash val="sysDash"/>
              <a:round/>
            </a:ln>
            <a:effectLst/>
          </c:spPr>
          <c:marker>
            <c:symbol val="none"/>
          </c:marker>
          <c:cat>
            <c:numRef>
              <c:f>Inflacija!$Q$40:$Q$151</c:f>
              <c:numCache>
                <c:formatCode>yyyy</c:formatCode>
                <c:ptCount val="112"/>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c:v>44197</c:v>
                </c:pt>
                <c:pt idx="97">
                  <c:v>44228</c:v>
                </c:pt>
                <c:pt idx="98">
                  <c:v>44256</c:v>
                </c:pt>
                <c:pt idx="99">
                  <c:v>44287</c:v>
                </c:pt>
                <c:pt idx="100">
                  <c:v>44317</c:v>
                </c:pt>
                <c:pt idx="101">
                  <c:v>44348</c:v>
                </c:pt>
                <c:pt idx="102">
                  <c:v>44378</c:v>
                </c:pt>
                <c:pt idx="103">
                  <c:v>44409</c:v>
                </c:pt>
                <c:pt idx="104">
                  <c:v>44440</c:v>
                </c:pt>
                <c:pt idx="105">
                  <c:v>44470</c:v>
                </c:pt>
                <c:pt idx="106">
                  <c:v>44501</c:v>
                </c:pt>
                <c:pt idx="107">
                  <c:v>44531</c:v>
                </c:pt>
                <c:pt idx="108" formatCode="yy">
                  <c:v>44562</c:v>
                </c:pt>
                <c:pt idx="109" formatCode="yy">
                  <c:v>44593</c:v>
                </c:pt>
                <c:pt idx="110" formatCode="yy">
                  <c:v>44621</c:v>
                </c:pt>
                <c:pt idx="111" formatCode="yy">
                  <c:v>44652</c:v>
                </c:pt>
              </c:numCache>
            </c:numRef>
          </c:cat>
          <c:val>
            <c:numRef>
              <c:f>Inflacija!$X$40:$X$151</c:f>
              <c:numCache>
                <c:formatCode>0.0</c:formatCode>
                <c:ptCount val="112"/>
                <c:pt idx="0">
                  <c:v>5.5</c:v>
                </c:pt>
                <c:pt idx="1">
                  <c:v>5.5</c:v>
                </c:pt>
                <c:pt idx="2">
                  <c:v>5.5</c:v>
                </c:pt>
                <c:pt idx="3">
                  <c:v>5.5</c:v>
                </c:pt>
                <c:pt idx="4">
                  <c:v>5.5</c:v>
                </c:pt>
                <c:pt idx="5">
                  <c:v>5.5</c:v>
                </c:pt>
                <c:pt idx="6">
                  <c:v>5.5</c:v>
                </c:pt>
                <c:pt idx="7">
                  <c:v>5.5</c:v>
                </c:pt>
                <c:pt idx="8">
                  <c:v>5.5</c:v>
                </c:pt>
                <c:pt idx="9">
                  <c:v>5.5</c:v>
                </c:pt>
                <c:pt idx="10">
                  <c:v>5.5</c:v>
                </c:pt>
                <c:pt idx="11">
                  <c:v>5.5</c:v>
                </c:pt>
                <c:pt idx="12">
                  <c:v>5.5</c:v>
                </c:pt>
                <c:pt idx="13">
                  <c:v>5.5</c:v>
                </c:pt>
                <c:pt idx="14">
                  <c:v>5.5</c:v>
                </c:pt>
                <c:pt idx="15">
                  <c:v>5.5</c:v>
                </c:pt>
                <c:pt idx="16">
                  <c:v>5.5</c:v>
                </c:pt>
                <c:pt idx="17">
                  <c:v>5.5</c:v>
                </c:pt>
                <c:pt idx="18">
                  <c:v>5.5</c:v>
                </c:pt>
                <c:pt idx="19">
                  <c:v>5.5</c:v>
                </c:pt>
                <c:pt idx="20">
                  <c:v>5.5</c:v>
                </c:pt>
                <c:pt idx="21">
                  <c:v>5.5</c:v>
                </c:pt>
                <c:pt idx="22">
                  <c:v>5.5</c:v>
                </c:pt>
                <c:pt idx="23">
                  <c:v>5.5</c:v>
                </c:pt>
                <c:pt idx="24">
                  <c:v>5.5</c:v>
                </c:pt>
                <c:pt idx="25">
                  <c:v>5.5</c:v>
                </c:pt>
                <c:pt idx="26">
                  <c:v>5.5</c:v>
                </c:pt>
                <c:pt idx="27">
                  <c:v>5.5</c:v>
                </c:pt>
                <c:pt idx="28">
                  <c:v>5.5</c:v>
                </c:pt>
                <c:pt idx="29">
                  <c:v>5.5</c:v>
                </c:pt>
                <c:pt idx="30">
                  <c:v>5.5</c:v>
                </c:pt>
                <c:pt idx="31">
                  <c:v>5.5</c:v>
                </c:pt>
                <c:pt idx="32">
                  <c:v>5.5</c:v>
                </c:pt>
                <c:pt idx="33">
                  <c:v>5.5</c:v>
                </c:pt>
                <c:pt idx="34">
                  <c:v>5.5</c:v>
                </c:pt>
                <c:pt idx="35">
                  <c:v>5.5</c:v>
                </c:pt>
                <c:pt idx="36">
                  <c:v>5.5</c:v>
                </c:pt>
                <c:pt idx="37" formatCode="General">
                  <c:v>5.5</c:v>
                </c:pt>
                <c:pt idx="38" formatCode="General">
                  <c:v>5.5</c:v>
                </c:pt>
                <c:pt idx="39" formatCode="General">
                  <c:v>5.5</c:v>
                </c:pt>
                <c:pt idx="40" formatCode="General">
                  <c:v>5.5</c:v>
                </c:pt>
                <c:pt idx="41" formatCode="General">
                  <c:v>5.5</c:v>
                </c:pt>
                <c:pt idx="42" formatCode="General">
                  <c:v>5.5</c:v>
                </c:pt>
                <c:pt idx="43" formatCode="General">
                  <c:v>5.5</c:v>
                </c:pt>
                <c:pt idx="44" formatCode="General">
                  <c:v>5.5</c:v>
                </c:pt>
                <c:pt idx="45" formatCode="General">
                  <c:v>5.5</c:v>
                </c:pt>
                <c:pt idx="46" formatCode="General">
                  <c:v>5.5</c:v>
                </c:pt>
                <c:pt idx="47" formatCode="General">
                  <c:v>5.5</c:v>
                </c:pt>
                <c:pt idx="48">
                  <c:v>4.5</c:v>
                </c:pt>
                <c:pt idx="49">
                  <c:v>4.5</c:v>
                </c:pt>
                <c:pt idx="50">
                  <c:v>4.5</c:v>
                </c:pt>
                <c:pt idx="51">
                  <c:v>4.5</c:v>
                </c:pt>
                <c:pt idx="52">
                  <c:v>4.5</c:v>
                </c:pt>
                <c:pt idx="53">
                  <c:v>4.5</c:v>
                </c:pt>
                <c:pt idx="54">
                  <c:v>4.5</c:v>
                </c:pt>
                <c:pt idx="55">
                  <c:v>4.5</c:v>
                </c:pt>
                <c:pt idx="56">
                  <c:v>4.5</c:v>
                </c:pt>
                <c:pt idx="57">
                  <c:v>4.5</c:v>
                </c:pt>
                <c:pt idx="58">
                  <c:v>4.5</c:v>
                </c:pt>
                <c:pt idx="59">
                  <c:v>4.5</c:v>
                </c:pt>
                <c:pt idx="60">
                  <c:v>4.5</c:v>
                </c:pt>
                <c:pt idx="61">
                  <c:v>4.5</c:v>
                </c:pt>
                <c:pt idx="62">
                  <c:v>4.5</c:v>
                </c:pt>
                <c:pt idx="63">
                  <c:v>4.5</c:v>
                </c:pt>
                <c:pt idx="64">
                  <c:v>4.5</c:v>
                </c:pt>
                <c:pt idx="65" formatCode="General">
                  <c:v>4.5</c:v>
                </c:pt>
                <c:pt idx="66" formatCode="General">
                  <c:v>4.5</c:v>
                </c:pt>
                <c:pt idx="67" formatCode="General">
                  <c:v>4.5</c:v>
                </c:pt>
                <c:pt idx="68">
                  <c:v>4.5</c:v>
                </c:pt>
                <c:pt idx="69">
                  <c:v>4.5</c:v>
                </c:pt>
                <c:pt idx="70">
                  <c:v>4.5</c:v>
                </c:pt>
                <c:pt idx="71">
                  <c:v>4.5</c:v>
                </c:pt>
                <c:pt idx="72">
                  <c:v>4.5</c:v>
                </c:pt>
                <c:pt idx="73">
                  <c:v>4.5</c:v>
                </c:pt>
                <c:pt idx="74">
                  <c:v>4.5</c:v>
                </c:pt>
                <c:pt idx="75">
                  <c:v>4.5</c:v>
                </c:pt>
                <c:pt idx="76">
                  <c:v>4.5</c:v>
                </c:pt>
                <c:pt idx="77">
                  <c:v>4.5</c:v>
                </c:pt>
                <c:pt idx="78">
                  <c:v>4.5</c:v>
                </c:pt>
                <c:pt idx="79">
                  <c:v>4.5</c:v>
                </c:pt>
                <c:pt idx="80">
                  <c:v>4.5</c:v>
                </c:pt>
                <c:pt idx="81">
                  <c:v>4.5</c:v>
                </c:pt>
                <c:pt idx="82">
                  <c:v>4.5</c:v>
                </c:pt>
                <c:pt idx="83">
                  <c:v>4.5</c:v>
                </c:pt>
                <c:pt idx="84">
                  <c:v>4.5</c:v>
                </c:pt>
                <c:pt idx="85">
                  <c:v>4.5</c:v>
                </c:pt>
                <c:pt idx="86">
                  <c:v>4.5</c:v>
                </c:pt>
                <c:pt idx="87">
                  <c:v>4.5</c:v>
                </c:pt>
                <c:pt idx="88">
                  <c:v>4.5</c:v>
                </c:pt>
                <c:pt idx="89">
                  <c:v>4.5</c:v>
                </c:pt>
                <c:pt idx="90">
                  <c:v>4.5</c:v>
                </c:pt>
                <c:pt idx="91">
                  <c:v>4.5</c:v>
                </c:pt>
                <c:pt idx="92">
                  <c:v>4.5</c:v>
                </c:pt>
                <c:pt idx="93">
                  <c:v>4.5</c:v>
                </c:pt>
                <c:pt idx="94">
                  <c:v>4.5</c:v>
                </c:pt>
                <c:pt idx="95">
                  <c:v>4.5</c:v>
                </c:pt>
                <c:pt idx="96">
                  <c:v>4.5</c:v>
                </c:pt>
                <c:pt idx="97">
                  <c:v>4.5</c:v>
                </c:pt>
                <c:pt idx="98">
                  <c:v>4.5</c:v>
                </c:pt>
                <c:pt idx="99">
                  <c:v>4.5</c:v>
                </c:pt>
                <c:pt idx="100">
                  <c:v>4.5</c:v>
                </c:pt>
                <c:pt idx="101">
                  <c:v>4.5</c:v>
                </c:pt>
                <c:pt idx="102">
                  <c:v>4.5</c:v>
                </c:pt>
                <c:pt idx="103">
                  <c:v>4.5</c:v>
                </c:pt>
                <c:pt idx="104">
                  <c:v>4.5</c:v>
                </c:pt>
                <c:pt idx="105" formatCode="General">
                  <c:v>4.5</c:v>
                </c:pt>
                <c:pt idx="106" formatCode="General">
                  <c:v>4.5</c:v>
                </c:pt>
                <c:pt idx="107" formatCode="General">
                  <c:v>4.5</c:v>
                </c:pt>
                <c:pt idx="108" formatCode="General">
                  <c:v>4.5</c:v>
                </c:pt>
                <c:pt idx="109" formatCode="General">
                  <c:v>4.5</c:v>
                </c:pt>
                <c:pt idx="110" formatCode="General">
                  <c:v>4.5</c:v>
                </c:pt>
                <c:pt idx="111" formatCode="General">
                  <c:v>4.5</c:v>
                </c:pt>
              </c:numCache>
            </c:numRef>
          </c:val>
          <c:smooth val="0"/>
          <c:extLst>
            <c:ext xmlns:c16="http://schemas.microsoft.com/office/drawing/2014/chart" uri="{C3380CC4-5D6E-409C-BE32-E72D297353CC}">
              <c16:uniqueId val="{00000003-F4DB-4193-ACFF-4A040CD7016D}"/>
            </c:ext>
          </c:extLst>
        </c:ser>
        <c:ser>
          <c:idx val="4"/>
          <c:order val="4"/>
          <c:tx>
            <c:strRef>
              <c:f>Inflacija!$Y$3</c:f>
              <c:strCache>
                <c:ptCount val="1"/>
              </c:strCache>
            </c:strRef>
          </c:tx>
          <c:spPr>
            <a:ln w="12700" cap="rnd">
              <a:solidFill>
                <a:srgbClr val="898989"/>
              </a:solidFill>
              <a:prstDash val="sysDash"/>
              <a:round/>
            </a:ln>
            <a:effectLst/>
          </c:spPr>
          <c:marker>
            <c:symbol val="none"/>
          </c:marker>
          <c:cat>
            <c:numRef>
              <c:f>Inflacija!$Q$40:$Q$151</c:f>
              <c:numCache>
                <c:formatCode>yyyy</c:formatCode>
                <c:ptCount val="112"/>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c:v>44197</c:v>
                </c:pt>
                <c:pt idx="97">
                  <c:v>44228</c:v>
                </c:pt>
                <c:pt idx="98">
                  <c:v>44256</c:v>
                </c:pt>
                <c:pt idx="99">
                  <c:v>44287</c:v>
                </c:pt>
                <c:pt idx="100">
                  <c:v>44317</c:v>
                </c:pt>
                <c:pt idx="101">
                  <c:v>44348</c:v>
                </c:pt>
                <c:pt idx="102">
                  <c:v>44378</c:v>
                </c:pt>
                <c:pt idx="103">
                  <c:v>44409</c:v>
                </c:pt>
                <c:pt idx="104">
                  <c:v>44440</c:v>
                </c:pt>
                <c:pt idx="105">
                  <c:v>44470</c:v>
                </c:pt>
                <c:pt idx="106">
                  <c:v>44501</c:v>
                </c:pt>
                <c:pt idx="107">
                  <c:v>44531</c:v>
                </c:pt>
                <c:pt idx="108" formatCode="yy">
                  <c:v>44562</c:v>
                </c:pt>
                <c:pt idx="109" formatCode="yy">
                  <c:v>44593</c:v>
                </c:pt>
                <c:pt idx="110" formatCode="yy">
                  <c:v>44621</c:v>
                </c:pt>
                <c:pt idx="111" formatCode="yy">
                  <c:v>44652</c:v>
                </c:pt>
              </c:numCache>
            </c:numRef>
          </c:cat>
          <c:val>
            <c:numRef>
              <c:f>Inflacija!$Y$40:$Y$151</c:f>
              <c:numCache>
                <c:formatCode>0.0</c:formatCode>
                <c:ptCount val="112"/>
                <c:pt idx="0">
                  <c:v>2.5</c:v>
                </c:pt>
                <c:pt idx="1">
                  <c:v>2.5</c:v>
                </c:pt>
                <c:pt idx="2">
                  <c:v>2.5</c:v>
                </c:pt>
                <c:pt idx="3">
                  <c:v>2.5</c:v>
                </c:pt>
                <c:pt idx="4">
                  <c:v>2.5</c:v>
                </c:pt>
                <c:pt idx="5">
                  <c:v>2.5</c:v>
                </c:pt>
                <c:pt idx="6">
                  <c:v>2.5</c:v>
                </c:pt>
                <c:pt idx="7">
                  <c:v>2.5</c:v>
                </c:pt>
                <c:pt idx="8">
                  <c:v>2.5</c:v>
                </c:pt>
                <c:pt idx="9">
                  <c:v>2.5</c:v>
                </c:pt>
                <c:pt idx="10">
                  <c:v>2.5</c:v>
                </c:pt>
                <c:pt idx="11">
                  <c:v>2.5</c:v>
                </c:pt>
                <c:pt idx="12">
                  <c:v>2.5</c:v>
                </c:pt>
                <c:pt idx="13">
                  <c:v>2.5</c:v>
                </c:pt>
                <c:pt idx="14">
                  <c:v>2.5</c:v>
                </c:pt>
                <c:pt idx="15">
                  <c:v>2.5</c:v>
                </c:pt>
                <c:pt idx="16">
                  <c:v>2.5</c:v>
                </c:pt>
                <c:pt idx="17">
                  <c:v>2.5</c:v>
                </c:pt>
                <c:pt idx="18">
                  <c:v>2.5</c:v>
                </c:pt>
                <c:pt idx="19">
                  <c:v>2.5</c:v>
                </c:pt>
                <c:pt idx="20">
                  <c:v>2.5</c:v>
                </c:pt>
                <c:pt idx="21">
                  <c:v>2.5</c:v>
                </c:pt>
                <c:pt idx="22">
                  <c:v>2.5</c:v>
                </c:pt>
                <c:pt idx="23">
                  <c:v>2.5</c:v>
                </c:pt>
                <c:pt idx="24">
                  <c:v>2.5</c:v>
                </c:pt>
                <c:pt idx="25">
                  <c:v>2.5</c:v>
                </c:pt>
                <c:pt idx="26">
                  <c:v>2.5</c:v>
                </c:pt>
                <c:pt idx="27">
                  <c:v>2.5</c:v>
                </c:pt>
                <c:pt idx="28">
                  <c:v>2.5</c:v>
                </c:pt>
                <c:pt idx="29">
                  <c:v>2.5</c:v>
                </c:pt>
                <c:pt idx="30">
                  <c:v>2.5</c:v>
                </c:pt>
                <c:pt idx="31">
                  <c:v>2.5</c:v>
                </c:pt>
                <c:pt idx="32">
                  <c:v>2.5</c:v>
                </c:pt>
                <c:pt idx="33">
                  <c:v>2.5</c:v>
                </c:pt>
                <c:pt idx="34">
                  <c:v>2.5</c:v>
                </c:pt>
                <c:pt idx="35">
                  <c:v>2.5</c:v>
                </c:pt>
                <c:pt idx="36">
                  <c:v>2.5</c:v>
                </c:pt>
                <c:pt idx="37" formatCode="General">
                  <c:v>2.5</c:v>
                </c:pt>
                <c:pt idx="38" formatCode="General">
                  <c:v>2.5</c:v>
                </c:pt>
                <c:pt idx="39" formatCode="General">
                  <c:v>2.5</c:v>
                </c:pt>
                <c:pt idx="40" formatCode="General">
                  <c:v>2.5</c:v>
                </c:pt>
                <c:pt idx="41" formatCode="General">
                  <c:v>2.5</c:v>
                </c:pt>
                <c:pt idx="42" formatCode="General">
                  <c:v>2.5</c:v>
                </c:pt>
                <c:pt idx="43" formatCode="General">
                  <c:v>2.5</c:v>
                </c:pt>
                <c:pt idx="44" formatCode="General">
                  <c:v>2.5</c:v>
                </c:pt>
                <c:pt idx="45" formatCode="General">
                  <c:v>2.5</c:v>
                </c:pt>
                <c:pt idx="46" formatCode="General">
                  <c:v>2.5</c:v>
                </c:pt>
                <c:pt idx="47" formatCode="General">
                  <c:v>2.5</c:v>
                </c:pt>
                <c:pt idx="48">
                  <c:v>1.5</c:v>
                </c:pt>
                <c:pt idx="49">
                  <c:v>1.5</c:v>
                </c:pt>
                <c:pt idx="50">
                  <c:v>1.5</c:v>
                </c:pt>
                <c:pt idx="51">
                  <c:v>1.5</c:v>
                </c:pt>
                <c:pt idx="52">
                  <c:v>1.5</c:v>
                </c:pt>
                <c:pt idx="53">
                  <c:v>1.5</c:v>
                </c:pt>
                <c:pt idx="54">
                  <c:v>1.5</c:v>
                </c:pt>
                <c:pt idx="55">
                  <c:v>1.5</c:v>
                </c:pt>
                <c:pt idx="56">
                  <c:v>1.5</c:v>
                </c:pt>
                <c:pt idx="57">
                  <c:v>1.5</c:v>
                </c:pt>
                <c:pt idx="58">
                  <c:v>1.5</c:v>
                </c:pt>
                <c:pt idx="59">
                  <c:v>1.5</c:v>
                </c:pt>
                <c:pt idx="60">
                  <c:v>1.5</c:v>
                </c:pt>
                <c:pt idx="61">
                  <c:v>1.5</c:v>
                </c:pt>
                <c:pt idx="62">
                  <c:v>1.5</c:v>
                </c:pt>
                <c:pt idx="63">
                  <c:v>1.5</c:v>
                </c:pt>
                <c:pt idx="64">
                  <c:v>1.5</c:v>
                </c:pt>
                <c:pt idx="65" formatCode="General">
                  <c:v>1.5</c:v>
                </c:pt>
                <c:pt idx="66" formatCode="General">
                  <c:v>1.5</c:v>
                </c:pt>
                <c:pt idx="67" formatCode="General">
                  <c:v>1.5</c:v>
                </c:pt>
                <c:pt idx="68">
                  <c:v>1.5</c:v>
                </c:pt>
                <c:pt idx="69">
                  <c:v>1.5</c:v>
                </c:pt>
                <c:pt idx="70">
                  <c:v>1.5</c:v>
                </c:pt>
                <c:pt idx="71">
                  <c:v>1.5</c:v>
                </c:pt>
                <c:pt idx="72">
                  <c:v>1.5</c:v>
                </c:pt>
                <c:pt idx="73">
                  <c:v>1.5</c:v>
                </c:pt>
                <c:pt idx="74">
                  <c:v>1.5</c:v>
                </c:pt>
                <c:pt idx="75">
                  <c:v>1.5</c:v>
                </c:pt>
                <c:pt idx="76">
                  <c:v>1.5</c:v>
                </c:pt>
                <c:pt idx="77">
                  <c:v>1.5</c:v>
                </c:pt>
                <c:pt idx="78">
                  <c:v>1.5</c:v>
                </c:pt>
                <c:pt idx="79">
                  <c:v>1.5</c:v>
                </c:pt>
                <c:pt idx="80">
                  <c:v>1.5</c:v>
                </c:pt>
                <c:pt idx="81">
                  <c:v>1.5</c:v>
                </c:pt>
                <c:pt idx="82">
                  <c:v>1.5</c:v>
                </c:pt>
                <c:pt idx="83">
                  <c:v>1.5</c:v>
                </c:pt>
                <c:pt idx="84">
                  <c:v>1.5</c:v>
                </c:pt>
                <c:pt idx="85">
                  <c:v>1.5</c:v>
                </c:pt>
                <c:pt idx="86">
                  <c:v>1.5</c:v>
                </c:pt>
                <c:pt idx="87">
                  <c:v>1.5</c:v>
                </c:pt>
                <c:pt idx="88">
                  <c:v>1.5</c:v>
                </c:pt>
                <c:pt idx="89">
                  <c:v>1.5</c:v>
                </c:pt>
                <c:pt idx="90">
                  <c:v>1.5</c:v>
                </c:pt>
                <c:pt idx="91">
                  <c:v>1.5</c:v>
                </c:pt>
                <c:pt idx="92">
                  <c:v>1.5</c:v>
                </c:pt>
                <c:pt idx="93">
                  <c:v>1.5</c:v>
                </c:pt>
                <c:pt idx="94">
                  <c:v>1.5</c:v>
                </c:pt>
                <c:pt idx="95">
                  <c:v>1.5</c:v>
                </c:pt>
                <c:pt idx="96">
                  <c:v>1.5</c:v>
                </c:pt>
                <c:pt idx="97">
                  <c:v>1.5</c:v>
                </c:pt>
                <c:pt idx="98">
                  <c:v>1.5</c:v>
                </c:pt>
                <c:pt idx="99">
                  <c:v>1.5</c:v>
                </c:pt>
                <c:pt idx="100">
                  <c:v>1.5</c:v>
                </c:pt>
                <c:pt idx="101">
                  <c:v>1.5</c:v>
                </c:pt>
                <c:pt idx="102">
                  <c:v>1.5</c:v>
                </c:pt>
                <c:pt idx="103">
                  <c:v>1.5</c:v>
                </c:pt>
                <c:pt idx="104">
                  <c:v>1.5</c:v>
                </c:pt>
                <c:pt idx="105" formatCode="General">
                  <c:v>1.5</c:v>
                </c:pt>
                <c:pt idx="106" formatCode="General">
                  <c:v>1.5</c:v>
                </c:pt>
                <c:pt idx="107" formatCode="General">
                  <c:v>1.5</c:v>
                </c:pt>
                <c:pt idx="108" formatCode="General">
                  <c:v>1.5</c:v>
                </c:pt>
                <c:pt idx="109" formatCode="General">
                  <c:v>1.5</c:v>
                </c:pt>
                <c:pt idx="110" formatCode="General">
                  <c:v>1.5</c:v>
                </c:pt>
                <c:pt idx="111" formatCode="General">
                  <c:v>1.5</c:v>
                </c:pt>
              </c:numCache>
            </c:numRef>
          </c:val>
          <c:smooth val="0"/>
          <c:extLst>
            <c:ext xmlns:c16="http://schemas.microsoft.com/office/drawing/2014/chart" uri="{C3380CC4-5D6E-409C-BE32-E72D297353CC}">
              <c16:uniqueId val="{00000004-F4DB-4193-ACFF-4A040CD7016D}"/>
            </c:ext>
          </c:extLst>
        </c:ser>
        <c:ser>
          <c:idx val="5"/>
          <c:order val="5"/>
          <c:tx>
            <c:strRef>
              <c:f>Inflacija!$Z$3</c:f>
              <c:strCache>
                <c:ptCount val="1"/>
              </c:strCache>
            </c:strRef>
          </c:tx>
          <c:spPr>
            <a:ln w="28575" cap="rnd">
              <a:noFill/>
              <a:round/>
            </a:ln>
            <a:effectLst/>
          </c:spPr>
          <c:marker>
            <c:symbol val="square"/>
            <c:size val="2"/>
            <c:spPr>
              <a:solidFill>
                <a:schemeClr val="bg1"/>
              </a:solidFill>
              <a:ln w="9525">
                <a:noFill/>
              </a:ln>
              <a:effectLst/>
            </c:spPr>
          </c:marker>
          <c:dLbls>
            <c:dLbl>
              <c:idx val="0"/>
              <c:layout>
                <c:manualLayout>
                  <c:x val="-2.170047737570141E-2"/>
                  <c:y val="3.591339740739474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4DB-4193-ACFF-4A040CD7016D}"/>
                </c:ext>
              </c:extLst>
            </c:dLbl>
            <c:dLbl>
              <c:idx val="12"/>
              <c:layout>
                <c:manualLayout>
                  <c:x val="-2.1713261371275286E-2"/>
                  <c:y val="3.591339740739474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4DB-4193-ACFF-4A040CD7016D}"/>
                </c:ext>
              </c:extLst>
            </c:dLbl>
            <c:dLbl>
              <c:idx val="24"/>
              <c:layout>
                <c:manualLayout>
                  <c:x val="-2.0699064389079484E-2"/>
                  <c:y val="3.591339740739474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4DB-4193-ACFF-4A040CD7016D}"/>
                </c:ext>
              </c:extLst>
            </c:dLbl>
            <c:dLbl>
              <c:idx val="36"/>
              <c:layout>
                <c:manualLayout>
                  <c:x val="-2.1690534268032802E-2"/>
                  <c:y val="3.591339740739474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4DB-4193-ACFF-4A040CD7016D}"/>
                </c:ext>
              </c:extLst>
            </c:dLbl>
            <c:dLbl>
              <c:idx val="48"/>
              <c:layout>
                <c:manualLayout>
                  <c:x val="-2.068166395065946E-2"/>
                  <c:y val="3.591339740739474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4DB-4193-ACFF-4A040CD7016D}"/>
                </c:ext>
              </c:extLst>
            </c:dLbl>
            <c:dLbl>
              <c:idx val="60"/>
              <c:layout>
                <c:manualLayout>
                  <c:x val="-2.1690534268032802E-2"/>
                  <c:y val="3.591339740739474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4DB-4193-ACFF-4A040CD7016D}"/>
                </c:ext>
              </c:extLst>
            </c:dLbl>
            <c:dLbl>
              <c:idx val="72"/>
              <c:layout>
                <c:manualLayout>
                  <c:x val="-1.9029687633721565E-2"/>
                  <c:y val="3.579620927221682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4DB-4193-ACFF-4A040CD7016D}"/>
                </c:ext>
              </c:extLst>
            </c:dLbl>
            <c:dLbl>
              <c:idx val="84"/>
              <c:layout>
                <c:manualLayout>
                  <c:x val="-2.2446565561833522E-2"/>
                  <c:y val="3.552931189257716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4DB-4193-ACFF-4A040CD7016D}"/>
                </c:ext>
              </c:extLst>
            </c:dLbl>
            <c:dLbl>
              <c:idx val="96"/>
              <c:layout>
                <c:manualLayout>
                  <c:x val="-2.162803473411614E-2"/>
                  <c:y val="3.6208330226072172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4DB-4193-ACFF-4A040CD7016D}"/>
                </c:ext>
              </c:extLst>
            </c:dLbl>
            <c:dLbl>
              <c:idx val="108"/>
              <c:layout>
                <c:manualLayout>
                  <c:x val="-2.0760853701020151E-2"/>
                  <c:y val="3.615730572702341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E-F4DB-4193-ACFF-4A040CD7016D}"/>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Inflacija!$Q$40:$Q$151</c:f>
              <c:numCache>
                <c:formatCode>yyyy</c:formatCode>
                <c:ptCount val="112"/>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c:v>44197</c:v>
                </c:pt>
                <c:pt idx="97">
                  <c:v>44228</c:v>
                </c:pt>
                <c:pt idx="98">
                  <c:v>44256</c:v>
                </c:pt>
                <c:pt idx="99">
                  <c:v>44287</c:v>
                </c:pt>
                <c:pt idx="100">
                  <c:v>44317</c:v>
                </c:pt>
                <c:pt idx="101">
                  <c:v>44348</c:v>
                </c:pt>
                <c:pt idx="102">
                  <c:v>44378</c:v>
                </c:pt>
                <c:pt idx="103">
                  <c:v>44409</c:v>
                </c:pt>
                <c:pt idx="104">
                  <c:v>44440</c:v>
                </c:pt>
                <c:pt idx="105">
                  <c:v>44470</c:v>
                </c:pt>
                <c:pt idx="106">
                  <c:v>44501</c:v>
                </c:pt>
                <c:pt idx="107">
                  <c:v>44531</c:v>
                </c:pt>
                <c:pt idx="108" formatCode="yy">
                  <c:v>44562</c:v>
                </c:pt>
                <c:pt idx="109" formatCode="yy">
                  <c:v>44593</c:v>
                </c:pt>
                <c:pt idx="110" formatCode="yy">
                  <c:v>44621</c:v>
                </c:pt>
                <c:pt idx="111" formatCode="yy">
                  <c:v>44652</c:v>
                </c:pt>
              </c:numCache>
            </c:numRef>
          </c:cat>
          <c:val>
            <c:numRef>
              <c:f>Inflacija!$Z$40:$Z$151</c:f>
              <c:numCache>
                <c:formatCode>General</c:formatCode>
                <c:ptCount val="112"/>
                <c:pt idx="0">
                  <c:v>0</c:v>
                </c:pt>
                <c:pt idx="12">
                  <c:v>0</c:v>
                </c:pt>
                <c:pt idx="24">
                  <c:v>0</c:v>
                </c:pt>
                <c:pt idx="36">
                  <c:v>0</c:v>
                </c:pt>
                <c:pt idx="48">
                  <c:v>0</c:v>
                </c:pt>
                <c:pt idx="60">
                  <c:v>0</c:v>
                </c:pt>
                <c:pt idx="72">
                  <c:v>0</c:v>
                </c:pt>
                <c:pt idx="84">
                  <c:v>0</c:v>
                </c:pt>
                <c:pt idx="96">
                  <c:v>0</c:v>
                </c:pt>
                <c:pt idx="108">
                  <c:v>0</c:v>
                </c:pt>
              </c:numCache>
            </c:numRef>
          </c:val>
          <c:smooth val="0"/>
          <c:extLst>
            <c:ext xmlns:c16="http://schemas.microsoft.com/office/drawing/2014/chart" uri="{C3380CC4-5D6E-409C-BE32-E72D297353CC}">
              <c16:uniqueId val="{0000000F-F4DB-4193-ACFF-4A040CD7016D}"/>
            </c:ext>
          </c:extLst>
        </c:ser>
        <c:dLbls>
          <c:showLegendKey val="0"/>
          <c:showVal val="0"/>
          <c:showCatName val="0"/>
          <c:showSerName val="0"/>
          <c:showPercent val="0"/>
          <c:showBubbleSize val="0"/>
        </c:dLbls>
        <c:smooth val="0"/>
        <c:axId val="2067917072"/>
        <c:axId val="2067937744"/>
      </c:lineChart>
      <c:catAx>
        <c:axId val="2067917072"/>
        <c:scaling>
          <c:orientation val="minMax"/>
        </c:scaling>
        <c:delete val="0"/>
        <c:axPos val="b"/>
        <c:numFmt formatCode="yyyy" sourceLinked="0"/>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67937744"/>
        <c:crosses val="autoZero"/>
        <c:auto val="0"/>
        <c:lblAlgn val="ctr"/>
        <c:lblOffset val="100"/>
        <c:tickLblSkip val="12"/>
        <c:tickMarkSkip val="1"/>
        <c:noMultiLvlLbl val="1"/>
      </c:catAx>
      <c:valAx>
        <c:axId val="2067937744"/>
        <c:scaling>
          <c:orientation val="minMax"/>
        </c:scaling>
        <c:delete val="0"/>
        <c:axPos val="l"/>
        <c:title>
          <c:tx>
            <c:rich>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r>
                  <a:rPr lang="sr-Latn-RS"/>
                  <a:t>%</a:t>
                </a:r>
                <a:endParaRPr lang="en-GB"/>
              </a:p>
            </c:rich>
          </c:tx>
          <c:layout>
            <c:manualLayout>
              <c:xMode val="edge"/>
              <c:yMode val="edge"/>
              <c:x val="8.3333333333333332E-3"/>
              <c:y val="0.34151501895596381"/>
            </c:manualLayout>
          </c:layout>
          <c:overlay val="0"/>
          <c:spPr>
            <a:noFill/>
            <a:ln>
              <a:noFill/>
            </a:ln>
            <a:effectLst/>
          </c:spPr>
          <c:txPr>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67917072"/>
        <c:crosses val="autoZero"/>
        <c:crossBetween val="midCat"/>
        <c:majorUnit val="2"/>
      </c:valAx>
      <c:spPr>
        <a:noFill/>
        <a:ln>
          <a:noFill/>
        </a:ln>
        <a:effectLst/>
      </c:spPr>
    </c:plotArea>
    <c:legend>
      <c:legendPos val="b"/>
      <c:legendEntry>
        <c:idx val="4"/>
        <c:delete val="1"/>
      </c:legendEntry>
      <c:legendEntry>
        <c:idx val="5"/>
        <c:delete val="1"/>
      </c:legendEntry>
      <c:layout>
        <c:manualLayout>
          <c:xMode val="edge"/>
          <c:yMode val="edge"/>
          <c:x val="5.2445156695156696E-2"/>
          <c:y val="0.75916055555555551"/>
          <c:w val="0.89270036496097616"/>
          <c:h val="0.23753777777777776"/>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1932779235928838E-2"/>
          <c:y val="6.0693845363411505E-2"/>
          <c:w val="0.80891221930592005"/>
          <c:h val="0.61917723107069889"/>
        </c:manualLayout>
      </c:layout>
      <c:barChart>
        <c:barDir val="col"/>
        <c:grouping val="stacked"/>
        <c:varyColors val="0"/>
        <c:ser>
          <c:idx val="0"/>
          <c:order val="0"/>
          <c:tx>
            <c:strRef>
              <c:f>NPL!$S$4</c:f>
              <c:strCache>
                <c:ptCount val="1"/>
                <c:pt idx="0">
                  <c:v>Привреда</c:v>
                </c:pt>
              </c:strCache>
            </c:strRef>
          </c:tx>
          <c:spPr>
            <a:solidFill>
              <a:srgbClr val="10103C"/>
            </a:solidFill>
            <a:ln>
              <a:noFill/>
            </a:ln>
            <a:effectLst/>
          </c:spPr>
          <c:invertIfNegative val="0"/>
          <c:cat>
            <c:strRef>
              <c:f>NPL!$Q$5:$Q$14</c:f>
              <c:strCache>
                <c:ptCount val="10"/>
                <c:pt idx="0">
                  <c:v>2013</c:v>
                </c:pt>
                <c:pt idx="1">
                  <c:v>2014</c:v>
                </c:pt>
                <c:pt idx="2">
                  <c:v>2015</c:v>
                </c:pt>
                <c:pt idx="3">
                  <c:v>2016</c:v>
                </c:pt>
                <c:pt idx="4">
                  <c:v>2017</c:v>
                </c:pt>
                <c:pt idx="5">
                  <c:v>2018</c:v>
                </c:pt>
                <c:pt idx="6">
                  <c:v>2019</c:v>
                </c:pt>
                <c:pt idx="7">
                  <c:v>2020</c:v>
                </c:pt>
                <c:pt idx="8">
                  <c:v>2021</c:v>
                </c:pt>
                <c:pt idx="9">
                  <c:v>II 2022</c:v>
                </c:pt>
              </c:strCache>
            </c:strRef>
          </c:cat>
          <c:val>
            <c:numRef>
              <c:f>NPL!$S$5:$S$14</c:f>
              <c:numCache>
                <c:formatCode>#,##0</c:formatCode>
                <c:ptCount val="10"/>
                <c:pt idx="0">
                  <c:v>238.4</c:v>
                </c:pt>
                <c:pt idx="1">
                  <c:v>248.4</c:v>
                </c:pt>
                <c:pt idx="2" formatCode="0">
                  <c:v>216.8</c:v>
                </c:pt>
                <c:pt idx="3" formatCode="0">
                  <c:v>172.8</c:v>
                </c:pt>
                <c:pt idx="4" formatCode="0">
                  <c:v>107.6</c:v>
                </c:pt>
                <c:pt idx="5" formatCode="0">
                  <c:v>56.849434000000002</c:v>
                </c:pt>
                <c:pt idx="6" formatCode="0">
                  <c:v>38.949154999999998</c:v>
                </c:pt>
                <c:pt idx="7" formatCode="0">
                  <c:v>41.826799999999999</c:v>
                </c:pt>
                <c:pt idx="8" formatCode="0">
                  <c:v>42.470480999999999</c:v>
                </c:pt>
              </c:numCache>
            </c:numRef>
          </c:val>
          <c:extLst>
            <c:ext xmlns:c16="http://schemas.microsoft.com/office/drawing/2014/chart" uri="{C3380CC4-5D6E-409C-BE32-E72D297353CC}">
              <c16:uniqueId val="{00000000-C1EB-4930-97D4-D8C7C8732C9E}"/>
            </c:ext>
          </c:extLst>
        </c:ser>
        <c:ser>
          <c:idx val="1"/>
          <c:order val="1"/>
          <c:tx>
            <c:strRef>
              <c:f>NPL!$T$4</c:f>
              <c:strCache>
                <c:ptCount val="1"/>
                <c:pt idx="0">
                  <c:v>Становништво</c:v>
                </c:pt>
              </c:strCache>
            </c:strRef>
          </c:tx>
          <c:spPr>
            <a:solidFill>
              <a:srgbClr val="2183C4"/>
            </a:solidFill>
            <a:ln>
              <a:noFill/>
            </a:ln>
            <a:effectLst/>
          </c:spPr>
          <c:invertIfNegative val="0"/>
          <c:cat>
            <c:strRef>
              <c:f>NPL!$Q$5:$Q$14</c:f>
              <c:strCache>
                <c:ptCount val="10"/>
                <c:pt idx="0">
                  <c:v>2013</c:v>
                </c:pt>
                <c:pt idx="1">
                  <c:v>2014</c:v>
                </c:pt>
                <c:pt idx="2">
                  <c:v>2015</c:v>
                </c:pt>
                <c:pt idx="3">
                  <c:v>2016</c:v>
                </c:pt>
                <c:pt idx="4">
                  <c:v>2017</c:v>
                </c:pt>
                <c:pt idx="5">
                  <c:v>2018</c:v>
                </c:pt>
                <c:pt idx="6">
                  <c:v>2019</c:v>
                </c:pt>
                <c:pt idx="7">
                  <c:v>2020</c:v>
                </c:pt>
                <c:pt idx="8">
                  <c:v>2021</c:v>
                </c:pt>
                <c:pt idx="9">
                  <c:v>II 2022</c:v>
                </c:pt>
              </c:strCache>
            </c:strRef>
          </c:cat>
          <c:val>
            <c:numRef>
              <c:f>NPL!$T$5:$T$14</c:f>
              <c:numCache>
                <c:formatCode>#,##0</c:formatCode>
                <c:ptCount val="10"/>
                <c:pt idx="0">
                  <c:v>56.7</c:v>
                </c:pt>
                <c:pt idx="1">
                  <c:v>66.400000000000006</c:v>
                </c:pt>
                <c:pt idx="2" formatCode="0">
                  <c:v>73.400000000000006</c:v>
                </c:pt>
                <c:pt idx="3" formatCode="0">
                  <c:v>69.2</c:v>
                </c:pt>
                <c:pt idx="4" formatCode="0">
                  <c:v>45.4</c:v>
                </c:pt>
                <c:pt idx="5" formatCode="0">
                  <c:v>39.608241</c:v>
                </c:pt>
                <c:pt idx="6" formatCode="0">
                  <c:v>39.016837000000002</c:v>
                </c:pt>
                <c:pt idx="7" formatCode="0">
                  <c:v>40.746828000000001</c:v>
                </c:pt>
                <c:pt idx="8" formatCode="0">
                  <c:v>49.355854000000001</c:v>
                </c:pt>
              </c:numCache>
            </c:numRef>
          </c:val>
          <c:extLst>
            <c:ext xmlns:c16="http://schemas.microsoft.com/office/drawing/2014/chart" uri="{C3380CC4-5D6E-409C-BE32-E72D297353CC}">
              <c16:uniqueId val="{00000001-C1EB-4930-97D4-D8C7C8732C9E}"/>
            </c:ext>
          </c:extLst>
        </c:ser>
        <c:ser>
          <c:idx val="2"/>
          <c:order val="2"/>
          <c:tx>
            <c:strRef>
              <c:f>NPL!$U$4</c:f>
              <c:strCache>
                <c:ptCount val="1"/>
                <c:pt idx="0">
                  <c:v>Остали</c:v>
                </c:pt>
              </c:strCache>
            </c:strRef>
          </c:tx>
          <c:spPr>
            <a:solidFill>
              <a:srgbClr val="51BBE7"/>
            </a:solidFill>
            <a:ln>
              <a:noFill/>
            </a:ln>
            <a:effectLst/>
          </c:spPr>
          <c:invertIfNegative val="0"/>
          <c:cat>
            <c:strRef>
              <c:f>NPL!$Q$5:$Q$14</c:f>
              <c:strCache>
                <c:ptCount val="10"/>
                <c:pt idx="0">
                  <c:v>2013</c:v>
                </c:pt>
                <c:pt idx="1">
                  <c:v>2014</c:v>
                </c:pt>
                <c:pt idx="2">
                  <c:v>2015</c:v>
                </c:pt>
                <c:pt idx="3">
                  <c:v>2016</c:v>
                </c:pt>
                <c:pt idx="4">
                  <c:v>2017</c:v>
                </c:pt>
                <c:pt idx="5">
                  <c:v>2018</c:v>
                </c:pt>
                <c:pt idx="6">
                  <c:v>2019</c:v>
                </c:pt>
                <c:pt idx="7">
                  <c:v>2020</c:v>
                </c:pt>
                <c:pt idx="8">
                  <c:v>2021</c:v>
                </c:pt>
                <c:pt idx="9">
                  <c:v>II 2022</c:v>
                </c:pt>
              </c:strCache>
            </c:strRef>
          </c:cat>
          <c:val>
            <c:numRef>
              <c:f>NPL!$U$5:$U$14</c:f>
              <c:numCache>
                <c:formatCode>#,##0</c:formatCode>
                <c:ptCount val="10"/>
                <c:pt idx="0">
                  <c:v>100.2</c:v>
                </c:pt>
                <c:pt idx="1">
                  <c:v>106.4</c:v>
                </c:pt>
                <c:pt idx="2" formatCode="0">
                  <c:v>134.4</c:v>
                </c:pt>
                <c:pt idx="3" formatCode="0">
                  <c:v>103.8</c:v>
                </c:pt>
                <c:pt idx="4" formatCode="0">
                  <c:v>51.9</c:v>
                </c:pt>
                <c:pt idx="5" formatCode="0">
                  <c:v>34.192292000000002</c:v>
                </c:pt>
                <c:pt idx="6" formatCode="0">
                  <c:v>23.450085000000001</c:v>
                </c:pt>
                <c:pt idx="7" formatCode="0">
                  <c:v>19.835072</c:v>
                </c:pt>
                <c:pt idx="8" formatCode="0">
                  <c:v>14.720295999999999</c:v>
                </c:pt>
              </c:numCache>
            </c:numRef>
          </c:val>
          <c:extLst>
            <c:ext xmlns:c16="http://schemas.microsoft.com/office/drawing/2014/chart" uri="{C3380CC4-5D6E-409C-BE32-E72D297353CC}">
              <c16:uniqueId val="{00000002-C1EB-4930-97D4-D8C7C8732C9E}"/>
            </c:ext>
          </c:extLst>
        </c:ser>
        <c:dLbls>
          <c:showLegendKey val="0"/>
          <c:showVal val="0"/>
          <c:showCatName val="0"/>
          <c:showSerName val="0"/>
          <c:showPercent val="0"/>
          <c:showBubbleSize val="0"/>
        </c:dLbls>
        <c:gapWidth val="40"/>
        <c:overlap val="100"/>
        <c:axId val="1839178672"/>
        <c:axId val="1839199888"/>
      </c:barChart>
      <c:lineChart>
        <c:grouping val="standard"/>
        <c:varyColors val="0"/>
        <c:ser>
          <c:idx val="3"/>
          <c:order val="3"/>
          <c:tx>
            <c:strRef>
              <c:f>NPL!$V$4</c:f>
              <c:strCache>
                <c:ptCount val="1"/>
                <c:pt idx="0">
                  <c:v>NPL % (бруто)</c:v>
                </c:pt>
              </c:strCache>
            </c:strRef>
          </c:tx>
          <c:spPr>
            <a:ln w="25400" cap="rnd">
              <a:solidFill>
                <a:srgbClr val="FF0000"/>
              </a:solidFill>
              <a:round/>
            </a:ln>
            <a:effectLst/>
          </c:spPr>
          <c:marker>
            <c:symbol val="none"/>
          </c:marker>
          <c:dLbls>
            <c:dLbl>
              <c:idx val="0"/>
              <c:layout>
                <c:manualLayout>
                  <c:x val="-8.9259259259259274E-2"/>
                  <c:y val="-7.03529566391454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1EB-4930-97D4-D8C7C8732C9E}"/>
                </c:ext>
              </c:extLst>
            </c:dLbl>
            <c:dLbl>
              <c:idx val="2"/>
              <c:layout>
                <c:manualLayout>
                  <c:x val="-7.0740740740740743E-2"/>
                  <c:y val="-8.55274634676735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1EB-4930-97D4-D8C7C8732C9E}"/>
                </c:ext>
              </c:extLst>
            </c:dLbl>
            <c:spPr>
              <a:noFill/>
              <a:ln>
                <a:noFill/>
              </a:ln>
              <a:effectLst/>
            </c:spPr>
            <c:txPr>
              <a:bodyPr rot="0" spcFirstLastPara="1" vertOverflow="ellipsis" vert="horz" wrap="square" anchor="ctr" anchorCtr="1"/>
              <a:lstStyle/>
              <a:p>
                <a:pPr>
                  <a:defRPr sz="700" b="1" i="0" u="none" strike="noStrike" kern="1200" baseline="0">
                    <a:solidFill>
                      <a:srgbClr val="FF0000"/>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NPL!$Q$5:$Q$14</c:f>
              <c:strCache>
                <c:ptCount val="10"/>
                <c:pt idx="0">
                  <c:v>2013</c:v>
                </c:pt>
                <c:pt idx="1">
                  <c:v>2014</c:v>
                </c:pt>
                <c:pt idx="2">
                  <c:v>2015</c:v>
                </c:pt>
                <c:pt idx="3">
                  <c:v>2016</c:v>
                </c:pt>
                <c:pt idx="4">
                  <c:v>2017</c:v>
                </c:pt>
                <c:pt idx="5">
                  <c:v>2018</c:v>
                </c:pt>
                <c:pt idx="6">
                  <c:v>2019</c:v>
                </c:pt>
                <c:pt idx="7">
                  <c:v>2020</c:v>
                </c:pt>
                <c:pt idx="8">
                  <c:v>2021</c:v>
                </c:pt>
                <c:pt idx="9">
                  <c:v>II 2022</c:v>
                </c:pt>
              </c:strCache>
            </c:strRef>
          </c:cat>
          <c:val>
            <c:numRef>
              <c:f>NPL!$V$5:$V$14</c:f>
              <c:numCache>
                <c:formatCode>0.0%</c:formatCode>
                <c:ptCount val="10"/>
                <c:pt idx="0">
                  <c:v>0.2137</c:v>
                </c:pt>
                <c:pt idx="1">
                  <c:v>0.21539999999999998</c:v>
                </c:pt>
                <c:pt idx="2">
                  <c:v>0.216</c:v>
                </c:pt>
                <c:pt idx="3">
                  <c:v>0.17030000000000001</c:v>
                </c:pt>
                <c:pt idx="4">
                  <c:v>9.8500000000000004E-2</c:v>
                </c:pt>
                <c:pt idx="5">
                  <c:v>5.7000000000000002E-2</c:v>
                </c:pt>
                <c:pt idx="6">
                  <c:v>4.1000000000000002E-2</c:v>
                </c:pt>
                <c:pt idx="7">
                  <c:v>3.6999999999999998E-2</c:v>
                </c:pt>
                <c:pt idx="8">
                  <c:v>3.5999999999999997E-2</c:v>
                </c:pt>
                <c:pt idx="9">
                  <c:v>3.5000000000000003E-2</c:v>
                </c:pt>
              </c:numCache>
            </c:numRef>
          </c:val>
          <c:smooth val="0"/>
          <c:extLst>
            <c:ext xmlns:c16="http://schemas.microsoft.com/office/drawing/2014/chart" uri="{C3380CC4-5D6E-409C-BE32-E72D297353CC}">
              <c16:uniqueId val="{00000003-C1EB-4930-97D4-D8C7C8732C9E}"/>
            </c:ext>
          </c:extLst>
        </c:ser>
        <c:dLbls>
          <c:showLegendKey val="0"/>
          <c:showVal val="0"/>
          <c:showCatName val="0"/>
          <c:showSerName val="0"/>
          <c:showPercent val="0"/>
          <c:showBubbleSize val="0"/>
        </c:dLbls>
        <c:marker val="1"/>
        <c:smooth val="0"/>
        <c:axId val="1839198256"/>
        <c:axId val="1839197712"/>
      </c:lineChart>
      <c:catAx>
        <c:axId val="1839178672"/>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199888"/>
        <c:crosses val="autoZero"/>
        <c:auto val="1"/>
        <c:lblAlgn val="ctr"/>
        <c:lblOffset val="100"/>
        <c:noMultiLvlLbl val="0"/>
      </c:catAx>
      <c:valAx>
        <c:axId val="1839199888"/>
        <c:scaling>
          <c:orientation val="minMax"/>
          <c:max val="450"/>
          <c:min val="0"/>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178672"/>
        <c:crosses val="autoZero"/>
        <c:crossBetween val="between"/>
        <c:majorUnit val="100"/>
      </c:valAx>
      <c:valAx>
        <c:axId val="1839197712"/>
        <c:scaling>
          <c:orientation val="minMax"/>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198256"/>
        <c:crosses val="max"/>
        <c:crossBetween val="between"/>
      </c:valAx>
      <c:catAx>
        <c:axId val="1839198256"/>
        <c:scaling>
          <c:orientation val="minMax"/>
        </c:scaling>
        <c:delete val="1"/>
        <c:axPos val="b"/>
        <c:numFmt formatCode="General" sourceLinked="1"/>
        <c:majorTickMark val="out"/>
        <c:minorTickMark val="none"/>
        <c:tickLblPos val="nextTo"/>
        <c:crossAx val="1839197712"/>
        <c:crosses val="autoZero"/>
        <c:auto val="1"/>
        <c:lblAlgn val="ctr"/>
        <c:lblOffset val="100"/>
        <c:noMultiLvlLbl val="0"/>
      </c:catAx>
      <c:spPr>
        <a:noFill/>
        <a:ln>
          <a:noFill/>
        </a:ln>
        <a:effectLst/>
      </c:spPr>
    </c:plotArea>
    <c:legend>
      <c:legendPos val="b"/>
      <c:layout>
        <c:manualLayout>
          <c:xMode val="edge"/>
          <c:yMode val="edge"/>
          <c:x val="0.14793963254593176"/>
          <c:y val="0.82833811230585419"/>
          <c:w val="0.76430592009332154"/>
          <c:h val="0.14890203106332139"/>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067586007101372E-2"/>
          <c:y val="5.6338028169014086E-2"/>
          <c:w val="0.79899510791436967"/>
          <c:h val="0.65544933643857894"/>
        </c:manualLayout>
      </c:layout>
      <c:barChart>
        <c:barDir val="col"/>
        <c:grouping val="clustered"/>
        <c:varyColors val="0"/>
        <c:ser>
          <c:idx val="1"/>
          <c:order val="1"/>
          <c:tx>
            <c:strRef>
              <c:f>'Devizni kurs'!$V$2</c:f>
              <c:strCache>
                <c:ptCount val="1"/>
                <c:pt idx="0">
                  <c:v>Интервенције НБС, нето продаја, мил. евра (десна скала)</c:v>
                </c:pt>
              </c:strCache>
            </c:strRef>
          </c:tx>
          <c:spPr>
            <a:solidFill>
              <a:srgbClr val="29489A"/>
            </a:solidFill>
            <a:ln>
              <a:noFill/>
            </a:ln>
            <a:effectLst/>
          </c:spPr>
          <c:invertIfNegative val="0"/>
          <c:cat>
            <c:numRef>
              <c:f>'Devizni kurs'!$Q$39:$Q$138</c:f>
              <c:numCache>
                <c:formatCode>yyyy</c:formatCode>
                <c:ptCount val="100"/>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pt idx="93">
                  <c:v>44470</c:v>
                </c:pt>
                <c:pt idx="94">
                  <c:v>44501</c:v>
                </c:pt>
                <c:pt idx="95">
                  <c:v>44531</c:v>
                </c:pt>
                <c:pt idx="96" formatCode="yy">
                  <c:v>44562</c:v>
                </c:pt>
                <c:pt idx="97" formatCode="yy">
                  <c:v>44593</c:v>
                </c:pt>
                <c:pt idx="98" formatCode="yy">
                  <c:v>44621</c:v>
                </c:pt>
                <c:pt idx="99" formatCode="yy">
                  <c:v>44652</c:v>
                </c:pt>
              </c:numCache>
            </c:numRef>
          </c:cat>
          <c:val>
            <c:numRef>
              <c:f>'Devizni kurs'!$V$39:$V$138</c:f>
              <c:numCache>
                <c:formatCode>General</c:formatCode>
                <c:ptCount val="100"/>
                <c:pt idx="0">
                  <c:v>330</c:v>
                </c:pt>
                <c:pt idx="1">
                  <c:v>280</c:v>
                </c:pt>
                <c:pt idx="2">
                  <c:v>190</c:v>
                </c:pt>
                <c:pt idx="3">
                  <c:v>-110</c:v>
                </c:pt>
                <c:pt idx="4">
                  <c:v>-20</c:v>
                </c:pt>
                <c:pt idx="5" formatCode="0">
                  <c:v>-40</c:v>
                </c:pt>
                <c:pt idx="6">
                  <c:v>30</c:v>
                </c:pt>
                <c:pt idx="7">
                  <c:v>60</c:v>
                </c:pt>
                <c:pt idx="8">
                  <c:v>135</c:v>
                </c:pt>
                <c:pt idx="9">
                  <c:v>140</c:v>
                </c:pt>
                <c:pt idx="10">
                  <c:v>250</c:v>
                </c:pt>
                <c:pt idx="11">
                  <c:v>375</c:v>
                </c:pt>
                <c:pt idx="12">
                  <c:v>90</c:v>
                </c:pt>
                <c:pt idx="13">
                  <c:v>-140</c:v>
                </c:pt>
                <c:pt idx="14">
                  <c:v>-120</c:v>
                </c:pt>
                <c:pt idx="15">
                  <c:v>-110</c:v>
                </c:pt>
                <c:pt idx="16">
                  <c:v>0</c:v>
                </c:pt>
                <c:pt idx="17">
                  <c:v>-10</c:v>
                </c:pt>
                <c:pt idx="18">
                  <c:v>-230</c:v>
                </c:pt>
                <c:pt idx="19">
                  <c:v>-130</c:v>
                </c:pt>
                <c:pt idx="20">
                  <c:v>-80</c:v>
                </c:pt>
                <c:pt idx="21">
                  <c:v>-60</c:v>
                </c:pt>
                <c:pt idx="22">
                  <c:v>0</c:v>
                </c:pt>
                <c:pt idx="23">
                  <c:v>270</c:v>
                </c:pt>
                <c:pt idx="24">
                  <c:v>290</c:v>
                </c:pt>
                <c:pt idx="25">
                  <c:v>100</c:v>
                </c:pt>
                <c:pt idx="26">
                  <c:v>175</c:v>
                </c:pt>
                <c:pt idx="27">
                  <c:v>140</c:v>
                </c:pt>
                <c:pt idx="28">
                  <c:v>65</c:v>
                </c:pt>
                <c:pt idx="29">
                  <c:v>50</c:v>
                </c:pt>
                <c:pt idx="30">
                  <c:v>-355</c:v>
                </c:pt>
                <c:pt idx="31">
                  <c:v>-90</c:v>
                </c:pt>
                <c:pt idx="32">
                  <c:v>-30</c:v>
                </c:pt>
                <c:pt idx="33">
                  <c:v>-135</c:v>
                </c:pt>
                <c:pt idx="34">
                  <c:v>-60</c:v>
                </c:pt>
                <c:pt idx="35">
                  <c:v>10</c:v>
                </c:pt>
                <c:pt idx="36">
                  <c:v>225</c:v>
                </c:pt>
                <c:pt idx="37">
                  <c:v>105</c:v>
                </c:pt>
                <c:pt idx="38">
                  <c:v>15</c:v>
                </c:pt>
                <c:pt idx="39">
                  <c:v>-40</c:v>
                </c:pt>
                <c:pt idx="40">
                  <c:v>-120</c:v>
                </c:pt>
                <c:pt idx="41">
                  <c:v>-345</c:v>
                </c:pt>
                <c:pt idx="42">
                  <c:v>-165</c:v>
                </c:pt>
                <c:pt idx="43">
                  <c:v>-290</c:v>
                </c:pt>
                <c:pt idx="44">
                  <c:v>-150</c:v>
                </c:pt>
                <c:pt idx="45">
                  <c:v>-15</c:v>
                </c:pt>
                <c:pt idx="46">
                  <c:v>-50</c:v>
                </c:pt>
                <c:pt idx="47">
                  <c:v>135</c:v>
                </c:pt>
                <c:pt idx="48">
                  <c:v>180</c:v>
                </c:pt>
                <c:pt idx="49">
                  <c:v>-180</c:v>
                </c:pt>
                <c:pt idx="50">
                  <c:v>-400</c:v>
                </c:pt>
                <c:pt idx="51">
                  <c:v>-205</c:v>
                </c:pt>
                <c:pt idx="52">
                  <c:v>-220</c:v>
                </c:pt>
                <c:pt idx="53">
                  <c:v>-365</c:v>
                </c:pt>
                <c:pt idx="54">
                  <c:v>-220</c:v>
                </c:pt>
                <c:pt idx="55">
                  <c:v>-190</c:v>
                </c:pt>
                <c:pt idx="56">
                  <c:v>5</c:v>
                </c:pt>
                <c:pt idx="57">
                  <c:v>30</c:v>
                </c:pt>
                <c:pt idx="58">
                  <c:v>-15</c:v>
                </c:pt>
                <c:pt idx="59">
                  <c:v>0</c:v>
                </c:pt>
                <c:pt idx="60">
                  <c:v>130</c:v>
                </c:pt>
                <c:pt idx="61">
                  <c:v>-30</c:v>
                </c:pt>
                <c:pt idx="62">
                  <c:v>-135</c:v>
                </c:pt>
                <c:pt idx="63">
                  <c:v>-75</c:v>
                </c:pt>
                <c:pt idx="64" formatCode="0">
                  <c:v>-110</c:v>
                </c:pt>
                <c:pt idx="65" formatCode="0">
                  <c:v>-735</c:v>
                </c:pt>
                <c:pt idx="66" formatCode="0">
                  <c:v>-645</c:v>
                </c:pt>
                <c:pt idx="67" formatCode="0">
                  <c:v>-105</c:v>
                </c:pt>
                <c:pt idx="68" formatCode="0">
                  <c:v>-410</c:v>
                </c:pt>
                <c:pt idx="69">
                  <c:v>-235</c:v>
                </c:pt>
                <c:pt idx="70">
                  <c:v>0</c:v>
                </c:pt>
                <c:pt idx="71">
                  <c:v>-355</c:v>
                </c:pt>
                <c:pt idx="72">
                  <c:v>-15</c:v>
                </c:pt>
                <c:pt idx="73">
                  <c:v>65</c:v>
                </c:pt>
                <c:pt idx="74">
                  <c:v>135</c:v>
                </c:pt>
                <c:pt idx="75">
                  <c:v>440</c:v>
                </c:pt>
                <c:pt idx="76">
                  <c:v>250</c:v>
                </c:pt>
                <c:pt idx="77">
                  <c:v>155</c:v>
                </c:pt>
                <c:pt idx="78">
                  <c:v>325</c:v>
                </c:pt>
                <c:pt idx="79">
                  <c:v>160</c:v>
                </c:pt>
                <c:pt idx="80">
                  <c:v>120</c:v>
                </c:pt>
                <c:pt idx="81">
                  <c:v>100</c:v>
                </c:pt>
                <c:pt idx="82">
                  <c:v>-115</c:v>
                </c:pt>
                <c:pt idx="83">
                  <c:v>-170</c:v>
                </c:pt>
                <c:pt idx="84">
                  <c:v>105</c:v>
                </c:pt>
                <c:pt idx="85">
                  <c:v>-55</c:v>
                </c:pt>
                <c:pt idx="86">
                  <c:v>0</c:v>
                </c:pt>
                <c:pt idx="87">
                  <c:v>0</c:v>
                </c:pt>
                <c:pt idx="88">
                  <c:v>-45</c:v>
                </c:pt>
                <c:pt idx="89">
                  <c:v>-325</c:v>
                </c:pt>
                <c:pt idx="90">
                  <c:v>-380</c:v>
                </c:pt>
                <c:pt idx="91">
                  <c:v>-265</c:v>
                </c:pt>
                <c:pt idx="92">
                  <c:v>-135</c:v>
                </c:pt>
                <c:pt idx="93">
                  <c:v>140</c:v>
                </c:pt>
                <c:pt idx="94">
                  <c:v>110</c:v>
                </c:pt>
                <c:pt idx="95">
                  <c:v>205</c:v>
                </c:pt>
                <c:pt idx="96">
                  <c:v>340</c:v>
                </c:pt>
                <c:pt idx="97">
                  <c:v>605</c:v>
                </c:pt>
                <c:pt idx="98">
                  <c:v>1170</c:v>
                </c:pt>
                <c:pt idx="99">
                  <c:v>155</c:v>
                </c:pt>
              </c:numCache>
            </c:numRef>
          </c:val>
          <c:extLst>
            <c:ext xmlns:c16="http://schemas.microsoft.com/office/drawing/2014/chart" uri="{C3380CC4-5D6E-409C-BE32-E72D297353CC}">
              <c16:uniqueId val="{00000000-4921-412A-87E0-743927D4D52D}"/>
            </c:ext>
          </c:extLst>
        </c:ser>
        <c:dLbls>
          <c:showLegendKey val="0"/>
          <c:showVal val="0"/>
          <c:showCatName val="0"/>
          <c:showSerName val="0"/>
          <c:showPercent val="0"/>
          <c:showBubbleSize val="0"/>
        </c:dLbls>
        <c:gapWidth val="30"/>
        <c:axId val="1839186832"/>
        <c:axId val="1839203696"/>
      </c:barChart>
      <c:lineChart>
        <c:grouping val="standard"/>
        <c:varyColors val="0"/>
        <c:ser>
          <c:idx val="0"/>
          <c:order val="0"/>
          <c:tx>
            <c:strRef>
              <c:f>'Devizni kurs'!$U$2</c:f>
              <c:strCache>
                <c:ptCount val="1"/>
                <c:pt idx="0">
                  <c:v>Просечан девизни курс ЕУР/РСД</c:v>
                </c:pt>
              </c:strCache>
            </c:strRef>
          </c:tx>
          <c:spPr>
            <a:ln w="22225" cap="rnd">
              <a:solidFill>
                <a:srgbClr val="FF0000"/>
              </a:solidFill>
              <a:round/>
            </a:ln>
            <a:effectLst/>
          </c:spPr>
          <c:marker>
            <c:symbol val="none"/>
          </c:marker>
          <c:cat>
            <c:numRef>
              <c:f>'Devizni kurs'!$Q$39:$Q$138</c:f>
              <c:numCache>
                <c:formatCode>yyyy</c:formatCode>
                <c:ptCount val="100"/>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pt idx="93">
                  <c:v>44470</c:v>
                </c:pt>
                <c:pt idx="94">
                  <c:v>44501</c:v>
                </c:pt>
                <c:pt idx="95">
                  <c:v>44531</c:v>
                </c:pt>
                <c:pt idx="96" formatCode="yy">
                  <c:v>44562</c:v>
                </c:pt>
                <c:pt idx="97" formatCode="yy">
                  <c:v>44593</c:v>
                </c:pt>
                <c:pt idx="98" formatCode="yy">
                  <c:v>44621</c:v>
                </c:pt>
                <c:pt idx="99" formatCode="yy">
                  <c:v>44652</c:v>
                </c:pt>
              </c:numCache>
            </c:numRef>
          </c:cat>
          <c:val>
            <c:numRef>
              <c:f>'Devizni kurs'!$U$39:$U$138</c:f>
              <c:numCache>
                <c:formatCode>0.00</c:formatCode>
                <c:ptCount val="100"/>
                <c:pt idx="0">
                  <c:v>115.50068000000002</c:v>
                </c:pt>
                <c:pt idx="1">
                  <c:v>115.89948421052632</c:v>
                </c:pt>
                <c:pt idx="2">
                  <c:v>115.84343333333334</c:v>
                </c:pt>
                <c:pt idx="3">
                  <c:v>115.5407</c:v>
                </c:pt>
                <c:pt idx="4">
                  <c:v>115.65779999999999</c:v>
                </c:pt>
                <c:pt idx="5">
                  <c:v>115.5341</c:v>
                </c:pt>
                <c:pt idx="6">
                  <c:v>116.22490000000001</c:v>
                </c:pt>
                <c:pt idx="7">
                  <c:v>117.3078</c:v>
                </c:pt>
                <c:pt idx="8">
                  <c:v>118.61799999999999</c:v>
                </c:pt>
                <c:pt idx="9">
                  <c:v>119.3497</c:v>
                </c:pt>
                <c:pt idx="10">
                  <c:v>119.9829</c:v>
                </c:pt>
                <c:pt idx="11">
                  <c:v>121.53</c:v>
                </c:pt>
                <c:pt idx="12">
                  <c:v>122.62</c:v>
                </c:pt>
                <c:pt idx="13">
                  <c:v>121.58</c:v>
                </c:pt>
                <c:pt idx="14">
                  <c:v>120.47</c:v>
                </c:pt>
                <c:pt idx="15">
                  <c:v>120.17</c:v>
                </c:pt>
                <c:pt idx="16">
                  <c:v>120.59</c:v>
                </c:pt>
                <c:pt idx="17">
                  <c:v>120.55517727272726</c:v>
                </c:pt>
                <c:pt idx="18">
                  <c:v>120.21342173913044</c:v>
                </c:pt>
                <c:pt idx="19">
                  <c:v>120.22183333333331</c:v>
                </c:pt>
                <c:pt idx="20">
                  <c:v>120.18703181818181</c:v>
                </c:pt>
                <c:pt idx="21">
                  <c:v>120.07991818181817</c:v>
                </c:pt>
                <c:pt idx="22">
                  <c:v>120.65054000000001</c:v>
                </c:pt>
                <c:pt idx="23">
                  <c:v>121.75174782608696</c:v>
                </c:pt>
                <c:pt idx="24">
                  <c:v>122.54524736842107</c:v>
                </c:pt>
                <c:pt idx="25">
                  <c:v>122.87654736842104</c:v>
                </c:pt>
                <c:pt idx="26">
                  <c:v>123.13206956521738</c:v>
                </c:pt>
                <c:pt idx="27">
                  <c:v>122.80799500000001</c:v>
                </c:pt>
                <c:pt idx="28">
                  <c:v>122.82450500000002</c:v>
                </c:pt>
                <c:pt idx="29">
                  <c:v>123.40000909090909</c:v>
                </c:pt>
                <c:pt idx="30">
                  <c:v>123.34886190476189</c:v>
                </c:pt>
                <c:pt idx="31">
                  <c:v>123.30531739130437</c:v>
                </c:pt>
                <c:pt idx="32">
                  <c:v>123.23121818181816</c:v>
                </c:pt>
                <c:pt idx="33">
                  <c:v>123.17817142857142</c:v>
                </c:pt>
                <c:pt idx="34">
                  <c:v>123.18741904761906</c:v>
                </c:pt>
                <c:pt idx="35">
                  <c:v>123.42</c:v>
                </c:pt>
                <c:pt idx="36">
                  <c:v>123.8</c:v>
                </c:pt>
                <c:pt idx="37">
                  <c:v>123.94</c:v>
                </c:pt>
                <c:pt idx="38">
                  <c:v>123.89</c:v>
                </c:pt>
                <c:pt idx="39">
                  <c:v>123.66</c:v>
                </c:pt>
                <c:pt idx="40">
                  <c:v>123.05</c:v>
                </c:pt>
                <c:pt idx="41">
                  <c:v>122.02</c:v>
                </c:pt>
                <c:pt idx="42">
                  <c:v>120.42</c:v>
                </c:pt>
                <c:pt idx="43">
                  <c:v>119.57</c:v>
                </c:pt>
                <c:pt idx="44">
                  <c:v>119.2957</c:v>
                </c:pt>
                <c:pt idx="45">
                  <c:v>119.2818</c:v>
                </c:pt>
                <c:pt idx="46">
                  <c:v>118.89884545454547</c:v>
                </c:pt>
                <c:pt idx="47">
                  <c:v>119.13943333333332</c:v>
                </c:pt>
                <c:pt idx="48">
                  <c:v>118.61770952380952</c:v>
                </c:pt>
                <c:pt idx="49">
                  <c:v>118.39149999999999</c:v>
                </c:pt>
                <c:pt idx="50">
                  <c:v>118.2688</c:v>
                </c:pt>
                <c:pt idx="51">
                  <c:v>118.19159999999999</c:v>
                </c:pt>
                <c:pt idx="52">
                  <c:v>118.18894761904762</c:v>
                </c:pt>
                <c:pt idx="53">
                  <c:v>118.13484285714287</c:v>
                </c:pt>
                <c:pt idx="54">
                  <c:v>118.04732272727273</c:v>
                </c:pt>
                <c:pt idx="55">
                  <c:v>118.10411304347828</c:v>
                </c:pt>
                <c:pt idx="56">
                  <c:v>118.278565</c:v>
                </c:pt>
                <c:pt idx="57">
                  <c:v>118.43672608695648</c:v>
                </c:pt>
                <c:pt idx="58">
                  <c:v>118.34287619047618</c:v>
                </c:pt>
                <c:pt idx="59">
                  <c:v>118.27724285714282</c:v>
                </c:pt>
                <c:pt idx="60">
                  <c:v>118.41</c:v>
                </c:pt>
                <c:pt idx="61">
                  <c:v>118.24</c:v>
                </c:pt>
                <c:pt idx="62">
                  <c:v>118.04</c:v>
                </c:pt>
                <c:pt idx="63">
                  <c:v>117.99</c:v>
                </c:pt>
                <c:pt idx="64">
                  <c:v>117.96469999999999</c:v>
                </c:pt>
                <c:pt idx="65">
                  <c:v>117.93766999999998</c:v>
                </c:pt>
                <c:pt idx="66">
                  <c:v>117.78449999999999</c:v>
                </c:pt>
                <c:pt idx="67">
                  <c:v>117.777</c:v>
                </c:pt>
                <c:pt idx="68">
                  <c:v>117.5958</c:v>
                </c:pt>
                <c:pt idx="69">
                  <c:v>117.5453</c:v>
                </c:pt>
                <c:pt idx="70">
                  <c:v>117.51315499999998</c:v>
                </c:pt>
                <c:pt idx="71">
                  <c:v>117.54</c:v>
                </c:pt>
                <c:pt idx="72">
                  <c:v>117.5643</c:v>
                </c:pt>
                <c:pt idx="73">
                  <c:v>117.57170000000001</c:v>
                </c:pt>
                <c:pt idx="74">
                  <c:v>117.5625</c:v>
                </c:pt>
                <c:pt idx="75">
                  <c:v>117.5694</c:v>
                </c:pt>
                <c:pt idx="76">
                  <c:v>117.5913</c:v>
                </c:pt>
                <c:pt idx="77">
                  <c:v>117.5852</c:v>
                </c:pt>
                <c:pt idx="78">
                  <c:v>117.58579130434782</c:v>
                </c:pt>
                <c:pt idx="79">
                  <c:v>117.58645238095237</c:v>
                </c:pt>
                <c:pt idx="80">
                  <c:v>117.58302727272726</c:v>
                </c:pt>
                <c:pt idx="81" formatCode="General">
                  <c:v>117.58</c:v>
                </c:pt>
                <c:pt idx="82">
                  <c:v>117.57380000000001</c:v>
                </c:pt>
                <c:pt idx="83">
                  <c:v>117.57769999999999</c:v>
                </c:pt>
                <c:pt idx="84">
                  <c:v>117.58203684210527</c:v>
                </c:pt>
                <c:pt idx="85">
                  <c:v>117.57634999999998</c:v>
                </c:pt>
                <c:pt idx="86">
                  <c:v>117.57657826086957</c:v>
                </c:pt>
                <c:pt idx="87">
                  <c:v>117.57283333333332</c:v>
                </c:pt>
                <c:pt idx="88">
                  <c:v>117.57888421052631</c:v>
                </c:pt>
                <c:pt idx="89">
                  <c:v>117.57026363636363</c:v>
                </c:pt>
                <c:pt idx="90">
                  <c:v>117.56288181818182</c:v>
                </c:pt>
                <c:pt idx="91">
                  <c:v>117.56745909090908</c:v>
                </c:pt>
                <c:pt idx="92">
                  <c:v>117.5668</c:v>
                </c:pt>
                <c:pt idx="93">
                  <c:v>117.56744285714285</c:v>
                </c:pt>
                <c:pt idx="94">
                  <c:v>117.58056666666668</c:v>
                </c:pt>
                <c:pt idx="95">
                  <c:v>117.58005217391303</c:v>
                </c:pt>
                <c:pt idx="96">
                  <c:v>117.58427894736842</c:v>
                </c:pt>
                <c:pt idx="97">
                  <c:v>117.59068333333335</c:v>
                </c:pt>
                <c:pt idx="98">
                  <c:v>117.67664782608693</c:v>
                </c:pt>
                <c:pt idx="99">
                  <c:v>117.72751578947369</c:v>
                </c:pt>
              </c:numCache>
            </c:numRef>
          </c:val>
          <c:smooth val="0"/>
          <c:extLst>
            <c:ext xmlns:c16="http://schemas.microsoft.com/office/drawing/2014/chart" uri="{C3380CC4-5D6E-409C-BE32-E72D297353CC}">
              <c16:uniqueId val="{00000001-4921-412A-87E0-743927D4D52D}"/>
            </c:ext>
          </c:extLst>
        </c:ser>
        <c:ser>
          <c:idx val="2"/>
          <c:order val="2"/>
          <c:tx>
            <c:strRef>
              <c:f>'Devizni kurs'!$W$2</c:f>
              <c:strCache>
                <c:ptCount val="1"/>
              </c:strCache>
            </c:strRef>
          </c:tx>
          <c:spPr>
            <a:ln w="28575" cap="rnd">
              <a:noFill/>
              <a:round/>
            </a:ln>
            <a:effectLst/>
          </c:spPr>
          <c:marker>
            <c:symbol val="square"/>
            <c:size val="2"/>
            <c:spPr>
              <a:solidFill>
                <a:schemeClr val="bg1"/>
              </a:solidFill>
              <a:ln w="9525">
                <a:noFill/>
              </a:ln>
              <a:effectLst/>
            </c:spPr>
          </c:marker>
          <c:dLbls>
            <c:dLbl>
              <c:idx val="0"/>
              <c:layout>
                <c:manualLayout>
                  <c:x val="-1.9343465382005237E-2"/>
                  <c:y val="3.838557045024561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921-412A-87E0-743927D4D52D}"/>
                </c:ext>
              </c:extLst>
            </c:dLbl>
            <c:dLbl>
              <c:idx val="12"/>
              <c:layout>
                <c:manualLayout>
                  <c:x val="-1.9364581907361119E-2"/>
                  <c:y val="3.838557045024561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921-412A-87E0-743927D4D52D}"/>
                </c:ext>
              </c:extLst>
            </c:dLbl>
            <c:dLbl>
              <c:idx val="24"/>
              <c:layout>
                <c:manualLayout>
                  <c:x val="-1.9360577049103975E-2"/>
                  <c:y val="3.838557045024561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921-412A-87E0-743927D4D52D}"/>
                </c:ext>
              </c:extLst>
            </c:dLbl>
            <c:dLbl>
              <c:idx val="36"/>
              <c:layout>
                <c:manualLayout>
                  <c:x val="-2.3982547555871456E-2"/>
                  <c:y val="3.838557045024561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921-412A-87E0-743927D4D52D}"/>
                </c:ext>
              </c:extLst>
            </c:dLbl>
            <c:dLbl>
              <c:idx val="48"/>
              <c:layout>
                <c:manualLayout>
                  <c:x val="-2.0142252565293752E-2"/>
                  <c:y val="3.838557045024561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921-412A-87E0-743927D4D52D}"/>
                </c:ext>
              </c:extLst>
            </c:dLbl>
            <c:dLbl>
              <c:idx val="60"/>
              <c:layout>
                <c:manualLayout>
                  <c:x val="-2.0803054177722501E-2"/>
                  <c:y val="3.838557045024561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921-412A-87E0-743927D4D52D}"/>
                </c:ext>
              </c:extLst>
            </c:dLbl>
            <c:dLbl>
              <c:idx val="72"/>
              <c:layout>
                <c:manualLayout>
                  <c:x val="-2.1343345964413642E-2"/>
                  <c:y val="3.790456167555141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921-412A-87E0-743927D4D52D}"/>
                </c:ext>
              </c:extLst>
            </c:dLbl>
            <c:dLbl>
              <c:idx val="84"/>
              <c:layout>
                <c:manualLayout>
                  <c:x val="-2.2236793433780117E-2"/>
                  <c:y val="3.752938672273084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921-412A-87E0-743927D4D52D}"/>
                </c:ext>
              </c:extLst>
            </c:dLbl>
            <c:dLbl>
              <c:idx val="96"/>
              <c:layout>
                <c:manualLayout>
                  <c:x val="-3.6111078748620143E-2"/>
                  <c:y val="3.7950343722092272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921-412A-87E0-743927D4D52D}"/>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'Devizni kurs'!$Q$39:$Q$138</c:f>
              <c:numCache>
                <c:formatCode>yyyy</c:formatCode>
                <c:ptCount val="100"/>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pt idx="93">
                  <c:v>44470</c:v>
                </c:pt>
                <c:pt idx="94">
                  <c:v>44501</c:v>
                </c:pt>
                <c:pt idx="95">
                  <c:v>44531</c:v>
                </c:pt>
                <c:pt idx="96" formatCode="yy">
                  <c:v>44562</c:v>
                </c:pt>
                <c:pt idx="97" formatCode="yy">
                  <c:v>44593</c:v>
                </c:pt>
                <c:pt idx="98" formatCode="yy">
                  <c:v>44621</c:v>
                </c:pt>
                <c:pt idx="99" formatCode="yy">
                  <c:v>44652</c:v>
                </c:pt>
              </c:numCache>
            </c:numRef>
          </c:cat>
          <c:val>
            <c:numRef>
              <c:f>'Devizni kurs'!$W$39:$W$138</c:f>
              <c:numCache>
                <c:formatCode>General</c:formatCode>
                <c:ptCount val="100"/>
                <c:pt idx="0">
                  <c:v>85</c:v>
                </c:pt>
                <c:pt idx="12">
                  <c:v>85</c:v>
                </c:pt>
                <c:pt idx="24">
                  <c:v>85</c:v>
                </c:pt>
                <c:pt idx="36">
                  <c:v>85</c:v>
                </c:pt>
                <c:pt idx="48">
                  <c:v>85</c:v>
                </c:pt>
                <c:pt idx="60">
                  <c:v>85</c:v>
                </c:pt>
                <c:pt idx="72">
                  <c:v>85</c:v>
                </c:pt>
                <c:pt idx="84">
                  <c:v>85</c:v>
                </c:pt>
                <c:pt idx="96">
                  <c:v>85</c:v>
                </c:pt>
              </c:numCache>
            </c:numRef>
          </c:val>
          <c:smooth val="0"/>
          <c:extLst>
            <c:ext xmlns:c16="http://schemas.microsoft.com/office/drawing/2014/chart" uri="{C3380CC4-5D6E-409C-BE32-E72D297353CC}">
              <c16:uniqueId val="{0000000B-4921-412A-87E0-743927D4D52D}"/>
            </c:ext>
          </c:extLst>
        </c:ser>
        <c:dLbls>
          <c:showLegendKey val="0"/>
          <c:showVal val="0"/>
          <c:showCatName val="0"/>
          <c:showSerName val="0"/>
          <c:showPercent val="0"/>
          <c:showBubbleSize val="0"/>
        </c:dLbls>
        <c:marker val="1"/>
        <c:smooth val="0"/>
        <c:axId val="1839186288"/>
        <c:axId val="1839187920"/>
      </c:lineChart>
      <c:catAx>
        <c:axId val="1839186288"/>
        <c:scaling>
          <c:orientation val="minMax"/>
        </c:scaling>
        <c:delete val="0"/>
        <c:axPos val="b"/>
        <c:numFmt formatCode="\I\ yyyy" sourceLinked="0"/>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187920"/>
        <c:crosses val="autoZero"/>
        <c:auto val="0"/>
        <c:lblAlgn val="ctr"/>
        <c:lblOffset val="100"/>
        <c:tickLblSkip val="12"/>
        <c:noMultiLvlLbl val="1"/>
      </c:catAx>
      <c:valAx>
        <c:axId val="1839187920"/>
        <c:scaling>
          <c:orientation val="minMax"/>
          <c:max val="140"/>
          <c:min val="85"/>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186288"/>
        <c:crosses val="autoZero"/>
        <c:crossBetween val="midCat"/>
        <c:majorUnit val="10"/>
      </c:valAx>
      <c:valAx>
        <c:axId val="1839203696"/>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186832"/>
        <c:crosses val="max"/>
        <c:crossBetween val="between"/>
        <c:majorUnit val="200"/>
      </c:valAx>
      <c:dateAx>
        <c:axId val="1839186832"/>
        <c:scaling>
          <c:orientation val="minMax"/>
        </c:scaling>
        <c:delete val="1"/>
        <c:axPos val="b"/>
        <c:numFmt formatCode="yyyy" sourceLinked="1"/>
        <c:majorTickMark val="out"/>
        <c:minorTickMark val="none"/>
        <c:tickLblPos val="nextTo"/>
        <c:crossAx val="1839203696"/>
        <c:crosses val="autoZero"/>
        <c:auto val="1"/>
        <c:lblOffset val="100"/>
        <c:baseTimeUnit val="months"/>
      </c:dateAx>
      <c:spPr>
        <a:noFill/>
        <a:ln>
          <a:noFill/>
        </a:ln>
        <a:effectLst/>
      </c:spPr>
    </c:plotArea>
    <c:legend>
      <c:legendPos val="b"/>
      <c:legendEntry>
        <c:idx val="2"/>
        <c:delete val="1"/>
      </c:legendEntry>
      <c:layout>
        <c:manualLayout>
          <c:xMode val="edge"/>
          <c:yMode val="edge"/>
          <c:x val="0"/>
          <c:y val="0.83348870056497193"/>
          <c:w val="0.99854002624671911"/>
          <c:h val="0.1541596045197740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488334791484402E-2"/>
          <c:y val="4.9388888888888892E-2"/>
          <c:w val="0.85158573928258963"/>
          <c:h val="0.68513222222222225"/>
        </c:manualLayout>
      </c:layout>
      <c:barChart>
        <c:barDir val="col"/>
        <c:grouping val="clustered"/>
        <c:varyColors val="0"/>
        <c:ser>
          <c:idx val="1"/>
          <c:order val="1"/>
          <c:tx>
            <c:strRef>
              <c:f>'Stednja i rezerve'!$V$2</c:f>
              <c:strCache>
                <c:ptCount val="1"/>
                <c:pt idx="0">
                  <c:v>Девизне резерве НБС </c:v>
                </c:pt>
              </c:strCache>
            </c:strRef>
          </c:tx>
          <c:spPr>
            <a:solidFill>
              <a:srgbClr val="9ED1E6"/>
            </a:solidFill>
            <a:ln>
              <a:noFill/>
            </a:ln>
            <a:effectLst/>
          </c:spPr>
          <c:invertIfNegative val="0"/>
          <c:cat>
            <c:numRef>
              <c:f>'Stednja i rezerve'!$Q$27:$Q$126</c:f>
              <c:numCache>
                <c:formatCode>yyyy</c:formatCode>
                <c:ptCount val="100"/>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pt idx="93">
                  <c:v>44470</c:v>
                </c:pt>
                <c:pt idx="94">
                  <c:v>44501</c:v>
                </c:pt>
                <c:pt idx="95">
                  <c:v>44531</c:v>
                </c:pt>
                <c:pt idx="96" formatCode="yy">
                  <c:v>44562</c:v>
                </c:pt>
                <c:pt idx="97" formatCode="yy">
                  <c:v>44593</c:v>
                </c:pt>
                <c:pt idx="98" formatCode="yy">
                  <c:v>44621</c:v>
                </c:pt>
                <c:pt idx="99" formatCode="yy">
                  <c:v>44652</c:v>
                </c:pt>
              </c:numCache>
            </c:numRef>
          </c:cat>
          <c:val>
            <c:numRef>
              <c:f>'Stednja i rezerve'!$V$27:$V$126</c:f>
              <c:numCache>
                <c:formatCode>0.000</c:formatCode>
                <c:ptCount val="100"/>
                <c:pt idx="0">
                  <c:v>11.125999999999999</c:v>
                </c:pt>
                <c:pt idx="1">
                  <c:v>10.832000000000001</c:v>
                </c:pt>
                <c:pt idx="2">
                  <c:v>10.428000000000001</c:v>
                </c:pt>
                <c:pt idx="3">
                  <c:v>10.448</c:v>
                </c:pt>
                <c:pt idx="4">
                  <c:v>10.37</c:v>
                </c:pt>
                <c:pt idx="5">
                  <c:v>10.125</c:v>
                </c:pt>
                <c:pt idx="6">
                  <c:v>10.122999999999999</c:v>
                </c:pt>
                <c:pt idx="7">
                  <c:v>10.949</c:v>
                </c:pt>
                <c:pt idx="8">
                  <c:v>10.878</c:v>
                </c:pt>
                <c:pt idx="9">
                  <c:v>10.714</c:v>
                </c:pt>
                <c:pt idx="10">
                  <c:v>10.271000000000001</c:v>
                </c:pt>
                <c:pt idx="11">
                  <c:v>9.907</c:v>
                </c:pt>
                <c:pt idx="12">
                  <c:v>10.048999999999999</c:v>
                </c:pt>
                <c:pt idx="13">
                  <c:v>10.313000000000001</c:v>
                </c:pt>
                <c:pt idx="14">
                  <c:v>10.515000000000001</c:v>
                </c:pt>
                <c:pt idx="15">
                  <c:v>10.534000000000001</c:v>
                </c:pt>
                <c:pt idx="16">
                  <c:v>10.545</c:v>
                </c:pt>
                <c:pt idx="17">
                  <c:v>10.292999999999999</c:v>
                </c:pt>
                <c:pt idx="18">
                  <c:v>10.631</c:v>
                </c:pt>
                <c:pt idx="19">
                  <c:v>10.61</c:v>
                </c:pt>
                <c:pt idx="20">
                  <c:v>10.510999999999999</c:v>
                </c:pt>
                <c:pt idx="21">
                  <c:v>10.673999999999999</c:v>
                </c:pt>
                <c:pt idx="22">
                  <c:v>10.746</c:v>
                </c:pt>
                <c:pt idx="23">
                  <c:v>10.378</c:v>
                </c:pt>
                <c:pt idx="24">
                  <c:v>10.1045</c:v>
                </c:pt>
                <c:pt idx="25">
                  <c:v>9.8507999999999996</c:v>
                </c:pt>
                <c:pt idx="26">
                  <c:v>9.5008999999999997</c:v>
                </c:pt>
                <c:pt idx="27">
                  <c:v>9.3379999999999992</c:v>
                </c:pt>
                <c:pt idx="28">
                  <c:v>9.2639999999999993</c:v>
                </c:pt>
                <c:pt idx="29">
                  <c:v>9.2910000000000004</c:v>
                </c:pt>
                <c:pt idx="30">
                  <c:v>9.6059999999999999</c:v>
                </c:pt>
                <c:pt idx="31">
                  <c:v>9.5839999999999996</c:v>
                </c:pt>
                <c:pt idx="32">
                  <c:v>9.5519999999999996</c:v>
                </c:pt>
                <c:pt idx="33">
                  <c:v>9.7070000000000007</c:v>
                </c:pt>
                <c:pt idx="34">
                  <c:v>9.8179999999999996</c:v>
                </c:pt>
                <c:pt idx="35">
                  <c:v>10.205</c:v>
                </c:pt>
                <c:pt idx="36">
                  <c:v>9.8539999999999992</c:v>
                </c:pt>
                <c:pt idx="37">
                  <c:v>9.7590000000000003</c:v>
                </c:pt>
                <c:pt idx="38">
                  <c:v>9.73</c:v>
                </c:pt>
                <c:pt idx="39">
                  <c:v>9.4090000000000007</c:v>
                </c:pt>
                <c:pt idx="40">
                  <c:v>9.4920000000000009</c:v>
                </c:pt>
                <c:pt idx="41">
                  <c:v>9.67</c:v>
                </c:pt>
                <c:pt idx="42">
                  <c:v>9.9480000000000004</c:v>
                </c:pt>
                <c:pt idx="43">
                  <c:v>10.278</c:v>
                </c:pt>
                <c:pt idx="44">
                  <c:v>10.635999999999999</c:v>
                </c:pt>
                <c:pt idx="45">
                  <c:v>10.76</c:v>
                </c:pt>
                <c:pt idx="46">
                  <c:v>10.105</c:v>
                </c:pt>
                <c:pt idx="47">
                  <c:v>9.9617000000000004</c:v>
                </c:pt>
                <c:pt idx="48">
                  <c:v>9.6477000000000004</c:v>
                </c:pt>
                <c:pt idx="49">
                  <c:v>9.7910000000000004</c:v>
                </c:pt>
                <c:pt idx="50">
                  <c:v>10.234999999999999</c:v>
                </c:pt>
                <c:pt idx="51">
                  <c:v>10.43</c:v>
                </c:pt>
                <c:pt idx="52">
                  <c:v>10.882999999999999</c:v>
                </c:pt>
                <c:pt idx="53">
                  <c:v>11.103999999999999</c:v>
                </c:pt>
                <c:pt idx="54">
                  <c:v>11.403</c:v>
                </c:pt>
                <c:pt idx="55">
                  <c:v>11.326000000000001</c:v>
                </c:pt>
                <c:pt idx="56">
                  <c:v>11.17249</c:v>
                </c:pt>
                <c:pt idx="57">
                  <c:v>11.5504</c:v>
                </c:pt>
                <c:pt idx="58">
                  <c:v>11.627000000000001</c:v>
                </c:pt>
                <c:pt idx="59">
                  <c:v>11.262</c:v>
                </c:pt>
                <c:pt idx="60">
                  <c:v>11.346</c:v>
                </c:pt>
                <c:pt idx="61">
                  <c:v>11.398</c:v>
                </c:pt>
                <c:pt idx="62">
                  <c:v>11.44</c:v>
                </c:pt>
                <c:pt idx="63">
                  <c:v>11.336</c:v>
                </c:pt>
                <c:pt idx="64">
                  <c:v>11.656000000000001</c:v>
                </c:pt>
                <c:pt idx="65">
                  <c:v>12.146000000000001</c:v>
                </c:pt>
                <c:pt idx="66">
                  <c:v>12.757999999999999</c:v>
                </c:pt>
                <c:pt idx="67">
                  <c:v>13.1</c:v>
                </c:pt>
                <c:pt idx="68">
                  <c:v>13.295</c:v>
                </c:pt>
                <c:pt idx="69">
                  <c:v>13.499000000000001</c:v>
                </c:pt>
                <c:pt idx="70">
                  <c:v>13.464700000000001</c:v>
                </c:pt>
                <c:pt idx="71">
                  <c:v>13.378500000000001</c:v>
                </c:pt>
                <c:pt idx="72">
                  <c:v>13.694000000000001</c:v>
                </c:pt>
                <c:pt idx="73">
                  <c:v>13.459</c:v>
                </c:pt>
                <c:pt idx="74">
                  <c:v>13.115</c:v>
                </c:pt>
                <c:pt idx="75">
                  <c:v>12.792999999999999</c:v>
                </c:pt>
                <c:pt idx="76">
                  <c:v>14.345000000000001</c:v>
                </c:pt>
                <c:pt idx="77">
                  <c:v>13.956</c:v>
                </c:pt>
                <c:pt idx="78">
                  <c:v>13.521000000000001</c:v>
                </c:pt>
                <c:pt idx="79">
                  <c:v>13.369</c:v>
                </c:pt>
                <c:pt idx="80">
                  <c:v>13.03</c:v>
                </c:pt>
                <c:pt idx="81">
                  <c:v>13.05</c:v>
                </c:pt>
                <c:pt idx="82" formatCode="General">
                  <c:v>12.843999999999999</c:v>
                </c:pt>
                <c:pt idx="83" formatCode="General">
                  <c:v>13.492000000000001</c:v>
                </c:pt>
                <c:pt idx="84">
                  <c:v>13.602928</c:v>
                </c:pt>
                <c:pt idx="85">
                  <c:v>13.4227504</c:v>
                </c:pt>
                <c:pt idx="86">
                  <c:v>14.275499999999999</c:v>
                </c:pt>
                <c:pt idx="87">
                  <c:v>13.997441199999999</c:v>
                </c:pt>
                <c:pt idx="88">
                  <c:v>14.181562900000001</c:v>
                </c:pt>
                <c:pt idx="89">
                  <c:v>14.091799999999999</c:v>
                </c:pt>
                <c:pt idx="90">
                  <c:v>14.5802736</c:v>
                </c:pt>
                <c:pt idx="91">
                  <c:v>15.585386699999999</c:v>
                </c:pt>
                <c:pt idx="92">
                  <c:v>16.802540499999999</c:v>
                </c:pt>
                <c:pt idx="93">
                  <c:v>16.277799999999999</c:v>
                </c:pt>
                <c:pt idx="94">
                  <c:v>16.453099999999999</c:v>
                </c:pt>
                <c:pt idx="95">
                  <c:v>16.454510200000001</c:v>
                </c:pt>
                <c:pt idx="96">
                  <c:v>16.110843299999999</c:v>
                </c:pt>
                <c:pt idx="97">
                  <c:v>15.561500000000001</c:v>
                </c:pt>
                <c:pt idx="98">
                  <c:v>14.296276199999999</c:v>
                </c:pt>
                <c:pt idx="99">
                  <c:v>14.1136</c:v>
                </c:pt>
              </c:numCache>
            </c:numRef>
          </c:val>
          <c:extLst>
            <c:ext xmlns:c16="http://schemas.microsoft.com/office/drawing/2014/chart" uri="{C3380CC4-5D6E-409C-BE32-E72D297353CC}">
              <c16:uniqueId val="{00000000-8CB5-41CE-B44C-DFA0A9194479}"/>
            </c:ext>
          </c:extLst>
        </c:ser>
        <c:dLbls>
          <c:showLegendKey val="0"/>
          <c:showVal val="0"/>
          <c:showCatName val="0"/>
          <c:showSerName val="0"/>
          <c:showPercent val="0"/>
          <c:showBubbleSize val="0"/>
        </c:dLbls>
        <c:gapWidth val="100"/>
        <c:axId val="2067915440"/>
        <c:axId val="2067938832"/>
      </c:barChart>
      <c:lineChart>
        <c:grouping val="standard"/>
        <c:varyColors val="0"/>
        <c:ser>
          <c:idx val="0"/>
          <c:order val="0"/>
          <c:tx>
            <c:strRef>
              <c:f>'Stednja i rezerve'!$U$2</c:f>
              <c:strCache>
                <c:ptCount val="1"/>
                <c:pt idx="0">
                  <c:v>Девизна штедња становништва</c:v>
                </c:pt>
              </c:strCache>
            </c:strRef>
          </c:tx>
          <c:spPr>
            <a:ln w="22225" cap="rnd">
              <a:solidFill>
                <a:srgbClr val="FF0000"/>
              </a:solidFill>
              <a:round/>
            </a:ln>
            <a:effectLst/>
          </c:spPr>
          <c:marker>
            <c:symbol val="none"/>
          </c:marker>
          <c:cat>
            <c:numRef>
              <c:f>'Stednja i rezerve'!$Q$27:$Q$126</c:f>
              <c:numCache>
                <c:formatCode>yyyy</c:formatCode>
                <c:ptCount val="100"/>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pt idx="93">
                  <c:v>44470</c:v>
                </c:pt>
                <c:pt idx="94">
                  <c:v>44501</c:v>
                </c:pt>
                <c:pt idx="95">
                  <c:v>44531</c:v>
                </c:pt>
                <c:pt idx="96" formatCode="yy">
                  <c:v>44562</c:v>
                </c:pt>
                <c:pt idx="97" formatCode="yy">
                  <c:v>44593</c:v>
                </c:pt>
                <c:pt idx="98" formatCode="yy">
                  <c:v>44621</c:v>
                </c:pt>
                <c:pt idx="99" formatCode="yy">
                  <c:v>44652</c:v>
                </c:pt>
              </c:numCache>
            </c:numRef>
          </c:cat>
          <c:val>
            <c:numRef>
              <c:f>'Stednja i rezerve'!$U$27:$U$126</c:f>
              <c:numCache>
                <c:formatCode>0.000</c:formatCode>
                <c:ptCount val="100"/>
                <c:pt idx="0">
                  <c:v>8.3740000000000006</c:v>
                </c:pt>
                <c:pt idx="1">
                  <c:v>8.4179999999999993</c:v>
                </c:pt>
                <c:pt idx="2">
                  <c:v>8.4039999999999999</c:v>
                </c:pt>
                <c:pt idx="3">
                  <c:v>8.4369999999999994</c:v>
                </c:pt>
                <c:pt idx="4">
                  <c:v>8.4329999999999998</c:v>
                </c:pt>
                <c:pt idx="5">
                  <c:v>8.4860000000000007</c:v>
                </c:pt>
                <c:pt idx="6">
                  <c:v>8.4960000000000004</c:v>
                </c:pt>
                <c:pt idx="7">
                  <c:v>8.4890000000000008</c:v>
                </c:pt>
                <c:pt idx="8">
                  <c:v>8.4890000000000008</c:v>
                </c:pt>
                <c:pt idx="9">
                  <c:v>8.5120000000000005</c:v>
                </c:pt>
                <c:pt idx="10">
                  <c:v>8.4830000000000005</c:v>
                </c:pt>
                <c:pt idx="11">
                  <c:v>8.5250000000000004</c:v>
                </c:pt>
                <c:pt idx="12">
                  <c:v>8.6050000000000004</c:v>
                </c:pt>
                <c:pt idx="13">
                  <c:v>8.61</c:v>
                </c:pt>
                <c:pt idx="14">
                  <c:v>8.6419999999999995</c:v>
                </c:pt>
                <c:pt idx="15">
                  <c:v>8.6389999999999993</c:v>
                </c:pt>
                <c:pt idx="16">
                  <c:v>8.6349999999999998</c:v>
                </c:pt>
                <c:pt idx="17">
                  <c:v>8.67</c:v>
                </c:pt>
                <c:pt idx="18">
                  <c:v>8.6210000000000004</c:v>
                </c:pt>
                <c:pt idx="19">
                  <c:v>8.6050000000000004</c:v>
                </c:pt>
                <c:pt idx="20">
                  <c:v>8.59</c:v>
                </c:pt>
                <c:pt idx="21">
                  <c:v>8.6039999999999992</c:v>
                </c:pt>
                <c:pt idx="22">
                  <c:v>8.5969999999999995</c:v>
                </c:pt>
                <c:pt idx="23">
                  <c:v>8.6289999999999996</c:v>
                </c:pt>
                <c:pt idx="24">
                  <c:v>8.6264760000000003</c:v>
                </c:pt>
                <c:pt idx="25">
                  <c:v>8.636355</c:v>
                </c:pt>
                <c:pt idx="26">
                  <c:v>8.6437650000000001</c:v>
                </c:pt>
                <c:pt idx="27">
                  <c:v>8.6690000000000005</c:v>
                </c:pt>
                <c:pt idx="28">
                  <c:v>8.7550000000000008</c:v>
                </c:pt>
                <c:pt idx="29">
                  <c:v>8.7959999999999994</c:v>
                </c:pt>
                <c:pt idx="30">
                  <c:v>8.8219999999999992</c:v>
                </c:pt>
                <c:pt idx="31">
                  <c:v>8.8309999999999995</c:v>
                </c:pt>
                <c:pt idx="32">
                  <c:v>8.843</c:v>
                </c:pt>
                <c:pt idx="33">
                  <c:v>8.8960000000000008</c:v>
                </c:pt>
                <c:pt idx="34">
                  <c:v>8.9149999999999991</c:v>
                </c:pt>
                <c:pt idx="35">
                  <c:v>8.9870000000000001</c:v>
                </c:pt>
                <c:pt idx="36">
                  <c:v>9.0310000000000006</c:v>
                </c:pt>
                <c:pt idx="37">
                  <c:v>9.0555649999999996</c:v>
                </c:pt>
                <c:pt idx="38">
                  <c:v>9.0842139999999993</c:v>
                </c:pt>
                <c:pt idx="39">
                  <c:v>9.1143780000000003</c:v>
                </c:pt>
                <c:pt idx="40">
                  <c:v>9.1059999999999999</c:v>
                </c:pt>
                <c:pt idx="41">
                  <c:v>9.1370000000000005</c:v>
                </c:pt>
                <c:pt idx="42">
                  <c:v>9.1780000000000008</c:v>
                </c:pt>
                <c:pt idx="43">
                  <c:v>9.2170000000000005</c:v>
                </c:pt>
                <c:pt idx="44">
                  <c:v>9.2629999999999999</c:v>
                </c:pt>
                <c:pt idx="45">
                  <c:v>9.2880000000000003</c:v>
                </c:pt>
                <c:pt idx="46">
                  <c:v>9.298</c:v>
                </c:pt>
                <c:pt idx="47">
                  <c:v>9.373151</c:v>
                </c:pt>
                <c:pt idx="48">
                  <c:v>9.4209999999999994</c:v>
                </c:pt>
                <c:pt idx="49">
                  <c:v>9.5150000000000006</c:v>
                </c:pt>
                <c:pt idx="50">
                  <c:v>9.5660000000000007</c:v>
                </c:pt>
                <c:pt idx="51">
                  <c:v>9.5939999999999994</c:v>
                </c:pt>
                <c:pt idx="52">
                  <c:v>9.6340000000000003</c:v>
                </c:pt>
                <c:pt idx="53">
                  <c:v>9.6869999999999994</c:v>
                </c:pt>
                <c:pt idx="54">
                  <c:v>9.718</c:v>
                </c:pt>
                <c:pt idx="55">
                  <c:v>9.7629999999999999</c:v>
                </c:pt>
                <c:pt idx="56">
                  <c:v>9.7824939999999998</c:v>
                </c:pt>
                <c:pt idx="57">
                  <c:v>9.8469999999999995</c:v>
                </c:pt>
                <c:pt idx="58">
                  <c:v>9.875</c:v>
                </c:pt>
                <c:pt idx="59">
                  <c:v>9.9550000000000001</c:v>
                </c:pt>
                <c:pt idx="60">
                  <c:v>10.105</c:v>
                </c:pt>
                <c:pt idx="61">
                  <c:v>10.167</c:v>
                </c:pt>
                <c:pt idx="62">
                  <c:v>10.217000000000001</c:v>
                </c:pt>
                <c:pt idx="63">
                  <c:v>10.295999999999999</c:v>
                </c:pt>
                <c:pt idx="64">
                  <c:v>10.340999999999999</c:v>
                </c:pt>
                <c:pt idx="65">
                  <c:v>10.391</c:v>
                </c:pt>
                <c:pt idx="66">
                  <c:v>10.474</c:v>
                </c:pt>
                <c:pt idx="67">
                  <c:v>10.547000000000001</c:v>
                </c:pt>
                <c:pt idx="68">
                  <c:v>10.612</c:v>
                </c:pt>
                <c:pt idx="69">
                  <c:v>10.661</c:v>
                </c:pt>
                <c:pt idx="70">
                  <c:v>10.72</c:v>
                </c:pt>
                <c:pt idx="71">
                  <c:v>10.804</c:v>
                </c:pt>
                <c:pt idx="72">
                  <c:v>10.941129999999999</c:v>
                </c:pt>
                <c:pt idx="73">
                  <c:v>11.007695</c:v>
                </c:pt>
                <c:pt idx="74">
                  <c:v>10.819725</c:v>
                </c:pt>
                <c:pt idx="75">
                  <c:v>10.889227</c:v>
                </c:pt>
                <c:pt idx="76">
                  <c:v>10.915190000000001</c:v>
                </c:pt>
                <c:pt idx="77">
                  <c:v>10.987965000000001</c:v>
                </c:pt>
                <c:pt idx="78">
                  <c:v>10.998704</c:v>
                </c:pt>
                <c:pt idx="79">
                  <c:v>11.069706</c:v>
                </c:pt>
                <c:pt idx="80">
                  <c:v>11.155711999999999</c:v>
                </c:pt>
                <c:pt idx="81" formatCode="General">
                  <c:v>11.256</c:v>
                </c:pt>
                <c:pt idx="82" formatCode="General">
                  <c:v>11.291</c:v>
                </c:pt>
                <c:pt idx="83" formatCode="General">
                  <c:v>11.436</c:v>
                </c:pt>
                <c:pt idx="84" formatCode="General">
                  <c:v>11.586</c:v>
                </c:pt>
                <c:pt idx="85" formatCode="General">
                  <c:v>11.683999999999999</c:v>
                </c:pt>
                <c:pt idx="86">
                  <c:v>11.778</c:v>
                </c:pt>
                <c:pt idx="87">
                  <c:v>11.84</c:v>
                </c:pt>
                <c:pt idx="88">
                  <c:v>12.006</c:v>
                </c:pt>
                <c:pt idx="89">
                  <c:v>12.118</c:v>
                </c:pt>
                <c:pt idx="90">
                  <c:v>12.221</c:v>
                </c:pt>
                <c:pt idx="91">
                  <c:v>12.275</c:v>
                </c:pt>
                <c:pt idx="92">
                  <c:v>12.321999999999999</c:v>
                </c:pt>
                <c:pt idx="93">
                  <c:v>12.417999999999999</c:v>
                </c:pt>
                <c:pt idx="94">
                  <c:v>12.554</c:v>
                </c:pt>
                <c:pt idx="95">
                  <c:v>12.736000000000001</c:v>
                </c:pt>
                <c:pt idx="96">
                  <c:v>12.88</c:v>
                </c:pt>
                <c:pt idx="97">
                  <c:v>12.94</c:v>
                </c:pt>
                <c:pt idx="98">
                  <c:v>12.803000000000001</c:v>
                </c:pt>
              </c:numCache>
            </c:numRef>
          </c:val>
          <c:smooth val="0"/>
          <c:extLst>
            <c:ext xmlns:c16="http://schemas.microsoft.com/office/drawing/2014/chart" uri="{C3380CC4-5D6E-409C-BE32-E72D297353CC}">
              <c16:uniqueId val="{00000001-8CB5-41CE-B44C-DFA0A9194479}"/>
            </c:ext>
          </c:extLst>
        </c:ser>
        <c:ser>
          <c:idx val="2"/>
          <c:order val="2"/>
          <c:tx>
            <c:strRef>
              <c:f>'Stednja i rezerve'!$W$2</c:f>
              <c:strCache>
                <c:ptCount val="1"/>
              </c:strCache>
            </c:strRef>
          </c:tx>
          <c:spPr>
            <a:ln w="28575" cap="rnd">
              <a:noFill/>
              <a:round/>
            </a:ln>
            <a:effectLst/>
          </c:spPr>
          <c:marker>
            <c:symbol val="square"/>
            <c:size val="2"/>
            <c:spPr>
              <a:solidFill>
                <a:schemeClr val="bg1"/>
              </a:solidFill>
              <a:ln w="9525">
                <a:noFill/>
              </a:ln>
              <a:effectLst/>
            </c:spPr>
          </c:marker>
          <c:dLbls>
            <c:dLbl>
              <c:idx val="0"/>
              <c:layout>
                <c:manualLayout>
                  <c:x val="-1.0975851600994615E-2"/>
                  <c:y val="2.79154630111422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CB5-41CE-B44C-DFA0A9194479}"/>
                </c:ext>
              </c:extLst>
            </c:dLbl>
            <c:dLbl>
              <c:idx val="12"/>
              <c:layout>
                <c:manualLayout>
                  <c:x val="-1.3682131434179396E-2"/>
                  <c:y val="2.802311915741122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CB5-41CE-B44C-DFA0A9194479}"/>
                </c:ext>
              </c:extLst>
            </c:dLbl>
            <c:dLbl>
              <c:idx val="24"/>
              <c:layout>
                <c:manualLayout>
                  <c:x val="-1.3682131434179437E-2"/>
                  <c:y val="2.802311915741122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CB5-41CE-B44C-DFA0A9194479}"/>
                </c:ext>
              </c:extLst>
            </c:dLbl>
            <c:dLbl>
              <c:idx val="36"/>
              <c:layout>
                <c:manualLayout>
                  <c:x val="-1.8302529469066471E-2"/>
                  <c:y val="2.802311915741122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CB5-41CE-B44C-DFA0A9194479}"/>
                </c:ext>
              </c:extLst>
            </c:dLbl>
            <c:dLbl>
              <c:idx val="48"/>
              <c:layout>
                <c:manualLayout>
                  <c:x val="-1.5531961415445094E-2"/>
                  <c:y val="2.802311915741122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CB5-41CE-B44C-DFA0A9194479}"/>
                </c:ext>
              </c:extLst>
            </c:dLbl>
            <c:dLbl>
              <c:idx val="60"/>
              <c:layout>
                <c:manualLayout>
                  <c:x val="-1.7948762651522249E-2"/>
                  <c:y val="2.802255844831594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CB5-41CE-B44C-DFA0A9194479}"/>
                </c:ext>
              </c:extLst>
            </c:dLbl>
            <c:dLbl>
              <c:idx val="72"/>
              <c:layout>
                <c:manualLayout>
                  <c:x val="-1.6719659047241393E-2"/>
                  <c:y val="2.873409829006154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CB5-41CE-B44C-DFA0A9194479}"/>
                </c:ext>
              </c:extLst>
            </c:dLbl>
            <c:dLbl>
              <c:idx val="84"/>
              <c:layout>
                <c:manualLayout>
                  <c:x val="-1.6037186921814627E-2"/>
                  <c:y val="2.85344858521881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CB5-41CE-B44C-DFA0A9194479}"/>
                </c:ext>
              </c:extLst>
            </c:dLbl>
            <c:dLbl>
              <c:idx val="96"/>
              <c:layout>
                <c:manualLayout>
                  <c:x val="-2.7524316313073584E-2"/>
                  <c:y val="2.87693288331823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CB5-41CE-B44C-DFA0A9194479}"/>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'Stednja i rezerve'!$Q$27:$Q$126</c:f>
              <c:numCache>
                <c:formatCode>yyyy</c:formatCode>
                <c:ptCount val="100"/>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c:v>44197</c:v>
                </c:pt>
                <c:pt idx="85">
                  <c:v>44228</c:v>
                </c:pt>
                <c:pt idx="86">
                  <c:v>44256</c:v>
                </c:pt>
                <c:pt idx="87">
                  <c:v>44287</c:v>
                </c:pt>
                <c:pt idx="88">
                  <c:v>44317</c:v>
                </c:pt>
                <c:pt idx="89">
                  <c:v>44348</c:v>
                </c:pt>
                <c:pt idx="90">
                  <c:v>44378</c:v>
                </c:pt>
                <c:pt idx="91">
                  <c:v>44409</c:v>
                </c:pt>
                <c:pt idx="92">
                  <c:v>44440</c:v>
                </c:pt>
                <c:pt idx="93">
                  <c:v>44470</c:v>
                </c:pt>
                <c:pt idx="94">
                  <c:v>44501</c:v>
                </c:pt>
                <c:pt idx="95">
                  <c:v>44531</c:v>
                </c:pt>
                <c:pt idx="96" formatCode="yy">
                  <c:v>44562</c:v>
                </c:pt>
                <c:pt idx="97" formatCode="yy">
                  <c:v>44593</c:v>
                </c:pt>
                <c:pt idx="98" formatCode="yy">
                  <c:v>44621</c:v>
                </c:pt>
                <c:pt idx="99" formatCode="yy">
                  <c:v>44652</c:v>
                </c:pt>
              </c:numCache>
            </c:numRef>
          </c:cat>
          <c:val>
            <c:numRef>
              <c:f>'Stednja i rezerve'!$W$27:$W$126</c:f>
              <c:numCache>
                <c:formatCode>General</c:formatCode>
                <c:ptCount val="100"/>
                <c:pt idx="0">
                  <c:v>7</c:v>
                </c:pt>
                <c:pt idx="12">
                  <c:v>7</c:v>
                </c:pt>
                <c:pt idx="24">
                  <c:v>7</c:v>
                </c:pt>
                <c:pt idx="36">
                  <c:v>7</c:v>
                </c:pt>
                <c:pt idx="48">
                  <c:v>7</c:v>
                </c:pt>
                <c:pt idx="60">
                  <c:v>7</c:v>
                </c:pt>
                <c:pt idx="72">
                  <c:v>7</c:v>
                </c:pt>
                <c:pt idx="84">
                  <c:v>7</c:v>
                </c:pt>
                <c:pt idx="96">
                  <c:v>7</c:v>
                </c:pt>
              </c:numCache>
            </c:numRef>
          </c:val>
          <c:smooth val="0"/>
          <c:extLst>
            <c:ext xmlns:c16="http://schemas.microsoft.com/office/drawing/2014/chart" uri="{C3380CC4-5D6E-409C-BE32-E72D297353CC}">
              <c16:uniqueId val="{0000000B-8CB5-41CE-B44C-DFA0A9194479}"/>
            </c:ext>
          </c:extLst>
        </c:ser>
        <c:dLbls>
          <c:showLegendKey val="0"/>
          <c:showVal val="0"/>
          <c:showCatName val="0"/>
          <c:showSerName val="0"/>
          <c:showPercent val="0"/>
          <c:showBubbleSize val="0"/>
        </c:dLbls>
        <c:marker val="1"/>
        <c:smooth val="0"/>
        <c:axId val="2067915440"/>
        <c:axId val="2067938832"/>
      </c:lineChart>
      <c:catAx>
        <c:axId val="2067915440"/>
        <c:scaling>
          <c:orientation val="minMax"/>
        </c:scaling>
        <c:delete val="0"/>
        <c:axPos val="b"/>
        <c:numFmt formatCode="yyyy" sourceLinked="0"/>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67938832"/>
        <c:crosses val="autoZero"/>
        <c:auto val="0"/>
        <c:lblAlgn val="ctr"/>
        <c:lblOffset val="100"/>
        <c:tickLblSkip val="12"/>
        <c:noMultiLvlLbl val="1"/>
      </c:catAx>
      <c:valAx>
        <c:axId val="2067938832"/>
        <c:scaling>
          <c:orientation val="minMax"/>
          <c:min val="7"/>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67915440"/>
        <c:crosses val="autoZero"/>
        <c:crossBetween val="midCat"/>
        <c:majorUnit val="1"/>
      </c:valAx>
      <c:spPr>
        <a:noFill/>
        <a:ln>
          <a:noFill/>
        </a:ln>
        <a:effectLst/>
      </c:spPr>
    </c:plotArea>
    <c:legend>
      <c:legendPos val="b"/>
      <c:legendEntry>
        <c:idx val="2"/>
        <c:delete val="1"/>
      </c:legendEntry>
      <c:layout>
        <c:manualLayout>
          <c:xMode val="edge"/>
          <c:yMode val="edge"/>
          <c:x val="5.2835374744823561E-2"/>
          <c:y val="0.81213222222222226"/>
          <c:w val="0.91284740449110524"/>
          <c:h val="0.14553444444444447"/>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userShapes r:id="rId5"/>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336188914802072E-2"/>
          <c:y val="5.633805593782408E-2"/>
          <c:w val="0.86437336615075899"/>
          <c:h val="0.64068107026989318"/>
        </c:manualLayout>
      </c:layout>
      <c:lineChart>
        <c:grouping val="standard"/>
        <c:varyColors val="0"/>
        <c:ser>
          <c:idx val="1"/>
          <c:order val="0"/>
          <c:tx>
            <c:strRef>
              <c:f>'Projekcija inflacije'!$C$7</c:f>
              <c:strCache>
                <c:ptCount val="1"/>
                <c:pt idx="0">
                  <c:v>Инфлација, просек периода</c:v>
                </c:pt>
              </c:strCache>
            </c:strRef>
          </c:tx>
          <c:spPr>
            <a:ln w="22225" cap="rnd">
              <a:solidFill>
                <a:srgbClr val="EC008C"/>
              </a:solidFill>
              <a:round/>
            </a:ln>
            <a:effectLst/>
          </c:spPr>
          <c:marker>
            <c:symbol val="none"/>
          </c:marker>
          <c:cat>
            <c:numRef>
              <c:f>'Projekcija inflacije'!$I$5:$U$5</c:f>
              <c:numCache>
                <c:formatCode>General</c:formatCod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numCache>
            </c:numRef>
          </c:cat>
          <c:val>
            <c:numRef>
              <c:f>'Projekcija inflacije'!$I$7:$U$7</c:f>
              <c:numCache>
                <c:formatCode>0.0</c:formatCode>
                <c:ptCount val="13"/>
                <c:pt idx="0">
                  <c:v>7.8</c:v>
                </c:pt>
                <c:pt idx="1">
                  <c:v>2.9</c:v>
                </c:pt>
                <c:pt idx="2">
                  <c:v>1.9</c:v>
                </c:pt>
                <c:pt idx="3">
                  <c:v>1.2</c:v>
                </c:pt>
                <c:pt idx="4">
                  <c:v>3</c:v>
                </c:pt>
                <c:pt idx="5">
                  <c:v>2</c:v>
                </c:pt>
                <c:pt idx="6">
                  <c:v>1.7</c:v>
                </c:pt>
                <c:pt idx="7">
                  <c:v>1.6</c:v>
                </c:pt>
                <c:pt idx="8">
                  <c:v>4</c:v>
                </c:pt>
                <c:pt idx="9">
                  <c:v>9.1999999999999993</c:v>
                </c:pt>
                <c:pt idx="10">
                  <c:v>5.3</c:v>
                </c:pt>
                <c:pt idx="11">
                  <c:v>2.96</c:v>
                </c:pt>
                <c:pt idx="12">
                  <c:v>2.96</c:v>
                </c:pt>
              </c:numCache>
            </c:numRef>
          </c:val>
          <c:smooth val="0"/>
          <c:extLst>
            <c:ext xmlns:c16="http://schemas.microsoft.com/office/drawing/2014/chart" uri="{C3380CC4-5D6E-409C-BE32-E72D297353CC}">
              <c16:uniqueId val="{00000000-0EE6-4C02-839B-854A334740D0}"/>
            </c:ext>
          </c:extLst>
        </c:ser>
        <c:ser>
          <c:idx val="2"/>
          <c:order val="1"/>
          <c:tx>
            <c:strRef>
              <c:f>'Projekcija inflacije'!$C$8</c:f>
              <c:strCache>
                <c:ptCount val="1"/>
                <c:pt idx="0">
                  <c:v>Дефлатор БДП</c:v>
                </c:pt>
              </c:strCache>
            </c:strRef>
          </c:tx>
          <c:spPr>
            <a:ln w="22225" cap="rnd">
              <a:solidFill>
                <a:srgbClr val="7F3F98"/>
              </a:solidFill>
              <a:round/>
            </a:ln>
            <a:effectLst/>
          </c:spPr>
          <c:marker>
            <c:symbol val="none"/>
          </c:marker>
          <c:cat>
            <c:numRef>
              <c:f>'Projekcija inflacije'!$I$5:$U$5</c:f>
              <c:numCache>
                <c:formatCode>General</c:formatCod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numCache>
            </c:numRef>
          </c:cat>
          <c:val>
            <c:numRef>
              <c:f>'Projekcija inflacije'!$I$8:$U$8</c:f>
              <c:numCache>
                <c:formatCode>0.0</c:formatCode>
                <c:ptCount val="13"/>
                <c:pt idx="0">
                  <c:v>5.1254413454188068</c:v>
                </c:pt>
                <c:pt idx="1">
                  <c:v>2.585383220508831</c:v>
                </c:pt>
                <c:pt idx="2">
                  <c:v>1.872893376087049</c:v>
                </c:pt>
                <c:pt idx="3">
                  <c:v>1.5498888324771798</c:v>
                </c:pt>
                <c:pt idx="4">
                  <c:v>2.9707931698183216</c:v>
                </c:pt>
                <c:pt idx="5">
                  <c:v>1.9749425621523642</c:v>
                </c:pt>
                <c:pt idx="6">
                  <c:v>2.440598124427737</c:v>
                </c:pt>
                <c:pt idx="7">
                  <c:v>2.4499700873471966</c:v>
                </c:pt>
                <c:pt idx="8">
                  <c:v>6.0913449196546168</c:v>
                </c:pt>
                <c:pt idx="9">
                  <c:v>6.4576849313488829</c:v>
                </c:pt>
                <c:pt idx="10">
                  <c:v>4.003432812371214</c:v>
                </c:pt>
                <c:pt idx="11">
                  <c:v>3.3379991248779874</c:v>
                </c:pt>
                <c:pt idx="12">
                  <c:v>3.180402957315728</c:v>
                </c:pt>
              </c:numCache>
            </c:numRef>
          </c:val>
          <c:smooth val="0"/>
          <c:extLst>
            <c:ext xmlns:c16="http://schemas.microsoft.com/office/drawing/2014/chart" uri="{C3380CC4-5D6E-409C-BE32-E72D297353CC}">
              <c16:uniqueId val="{00000001-0EE6-4C02-839B-854A334740D0}"/>
            </c:ext>
          </c:extLst>
        </c:ser>
        <c:ser>
          <c:idx val="3"/>
          <c:order val="2"/>
          <c:tx>
            <c:strRef>
              <c:f>'Projekcija inflacije'!$C$9</c:f>
              <c:strCache>
                <c:ptCount val="1"/>
              </c:strCache>
            </c:strRef>
          </c:tx>
          <c:spPr>
            <a:ln w="28575" cap="rnd">
              <a:noFill/>
              <a:round/>
            </a:ln>
            <a:effectLst/>
          </c:spPr>
          <c:marker>
            <c:symbol val="square"/>
            <c:size val="2"/>
            <c:spPr>
              <a:solidFill>
                <a:schemeClr val="bg1"/>
              </a:solidFill>
              <a:ln w="9525">
                <a:noFill/>
              </a:ln>
              <a:effectLst/>
            </c:spPr>
          </c:marker>
          <c:dLbls>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'Projekcija inflacije'!$I$5:$U$5</c:f>
              <c:numCache>
                <c:formatCode>General</c:formatCod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numCache>
            </c:numRef>
          </c:cat>
          <c:val>
            <c:numRef>
              <c:f>'Projekcija inflacije'!$I$9:$U$9</c:f>
              <c:numCache>
                <c:formatCode>General</c:formatCode>
                <c:ptCount val="13"/>
                <c:pt idx="0">
                  <c:v>0</c:v>
                </c:pt>
                <c:pt idx="1">
                  <c:v>0</c:v>
                </c:pt>
                <c:pt idx="2">
                  <c:v>0</c:v>
                </c:pt>
                <c:pt idx="3">
                  <c:v>0</c:v>
                </c:pt>
                <c:pt idx="4">
                  <c:v>0</c:v>
                </c:pt>
                <c:pt idx="5">
                  <c:v>0</c:v>
                </c:pt>
                <c:pt idx="6">
                  <c:v>0</c:v>
                </c:pt>
                <c:pt idx="7">
                  <c:v>0</c:v>
                </c:pt>
                <c:pt idx="8">
                  <c:v>0</c:v>
                </c:pt>
                <c:pt idx="9">
                  <c:v>0</c:v>
                </c:pt>
                <c:pt idx="10">
                  <c:v>0</c:v>
                </c:pt>
                <c:pt idx="11">
                  <c:v>0</c:v>
                </c:pt>
                <c:pt idx="12">
                  <c:v>0</c:v>
                </c:pt>
              </c:numCache>
            </c:numRef>
          </c:val>
          <c:smooth val="0"/>
          <c:extLst>
            <c:ext xmlns:c16="http://schemas.microsoft.com/office/drawing/2014/chart" uri="{C3380CC4-5D6E-409C-BE32-E72D297353CC}">
              <c16:uniqueId val="{00000002-0EE6-4C02-839B-854A334740D0}"/>
            </c:ext>
          </c:extLst>
        </c:ser>
        <c:dLbls>
          <c:showLegendKey val="0"/>
          <c:showVal val="0"/>
          <c:showCatName val="0"/>
          <c:showSerName val="0"/>
          <c:showPercent val="0"/>
          <c:showBubbleSize val="0"/>
        </c:dLbls>
        <c:smooth val="0"/>
        <c:axId val="2067937200"/>
        <c:axId val="2067931760"/>
      </c:lineChart>
      <c:catAx>
        <c:axId val="2067937200"/>
        <c:scaling>
          <c:orientation val="minMax"/>
        </c:scaling>
        <c:delete val="0"/>
        <c:axPos val="b"/>
        <c:numFmt formatCode="General" sourceLinked="1"/>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67931760"/>
        <c:crosses val="autoZero"/>
        <c:auto val="1"/>
        <c:lblAlgn val="ctr"/>
        <c:lblOffset val="100"/>
        <c:noMultiLvlLbl val="0"/>
      </c:catAx>
      <c:valAx>
        <c:axId val="2067931760"/>
        <c:scaling>
          <c:orientation val="minMax"/>
          <c:max val="1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67937200"/>
        <c:crosses val="autoZero"/>
        <c:crossBetween val="midCat"/>
        <c:majorUnit val="2"/>
      </c:valAx>
      <c:spPr>
        <a:noFill/>
        <a:ln>
          <a:noFill/>
        </a:ln>
        <a:effectLst/>
      </c:spPr>
    </c:plotArea>
    <c:legend>
      <c:legendPos val="b"/>
      <c:legendEntry>
        <c:idx val="2"/>
        <c:delete val="1"/>
      </c:legendEntry>
      <c:layout>
        <c:manualLayout>
          <c:xMode val="edge"/>
          <c:yMode val="edge"/>
          <c:x val="2.5218401951955399E-3"/>
          <c:y val="0.81351522231044981"/>
          <c:w val="0.99380576517352959"/>
          <c:h val="0.18648477768955027"/>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userShapes r:id="rId5"/>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488334791484402E-2"/>
          <c:y val="7.2092777777777783E-2"/>
          <c:w val="0.85158573928258963"/>
          <c:h val="0.61694696969696972"/>
        </c:manualLayout>
      </c:layout>
      <c:barChart>
        <c:barDir val="col"/>
        <c:grouping val="stacked"/>
        <c:varyColors val="0"/>
        <c:ser>
          <c:idx val="5"/>
          <c:order val="1"/>
          <c:tx>
            <c:strRef>
              <c:f>'Uvoz_ek. namena'!$B$7</c:f>
              <c:strCache>
                <c:ptCount val="1"/>
                <c:pt idx="0">
                  <c:v>Средства за рад</c:v>
                </c:pt>
              </c:strCache>
            </c:strRef>
          </c:tx>
          <c:spPr>
            <a:solidFill>
              <a:srgbClr val="10103C"/>
            </a:solidFill>
            <a:ln>
              <a:noFill/>
            </a:ln>
            <a:effectLst/>
          </c:spPr>
          <c:invertIfNegative val="0"/>
          <c:dLbls>
            <c:spPr>
              <a:noFill/>
              <a:ln>
                <a:noFill/>
              </a:ln>
              <a:effectLst/>
            </c:spPr>
            <c:txPr>
              <a:bodyPr rot="0" spcFirstLastPara="1" vertOverflow="ellipsis" vert="horz" wrap="square" lIns="38100" tIns="19050" rIns="38100" bIns="19050" anchor="ctr" anchorCtr="0">
                <a:spAutoFit/>
              </a:bodyPr>
              <a:lstStyle/>
              <a:p>
                <a:pPr algn="ctr">
                  <a:defRPr lang="en-US" sz="700" b="0" i="0" u="none" strike="noStrike" kern="1200" baseline="0">
                    <a:solidFill>
                      <a:schemeClr val="bg1"/>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'Uvoz_ek. namena'!$D$5:$H$5</c:f>
              <c:strCache>
                <c:ptCount val="5"/>
                <c:pt idx="0">
                  <c:v>2018</c:v>
                </c:pt>
                <c:pt idx="1">
                  <c:v>2019</c:v>
                </c:pt>
                <c:pt idx="2">
                  <c:v>2020</c:v>
                </c:pt>
                <c:pt idx="3">
                  <c:v>2021</c:v>
                </c:pt>
                <c:pt idx="4">
                  <c:v>I-III 2022</c:v>
                </c:pt>
              </c:strCache>
            </c:strRef>
          </c:cat>
          <c:val>
            <c:numRef>
              <c:f>'Uvoz_ek. namena'!$D$7:$H$7</c:f>
              <c:numCache>
                <c:formatCode>0.0</c:formatCode>
                <c:ptCount val="5"/>
                <c:pt idx="0">
                  <c:v>2.0698649206021851</c:v>
                </c:pt>
                <c:pt idx="1">
                  <c:v>2.8085607266854353</c:v>
                </c:pt>
                <c:pt idx="2">
                  <c:v>0.22111135776304344</c:v>
                </c:pt>
                <c:pt idx="3">
                  <c:v>2.2711855946071671</c:v>
                </c:pt>
                <c:pt idx="4">
                  <c:v>1.1551758526693698</c:v>
                </c:pt>
              </c:numCache>
            </c:numRef>
          </c:val>
          <c:extLst>
            <c:ext xmlns:c16="http://schemas.microsoft.com/office/drawing/2014/chart" uri="{C3380CC4-5D6E-409C-BE32-E72D297353CC}">
              <c16:uniqueId val="{00000000-426C-4A16-B6D1-A0F5CA54361F}"/>
            </c:ext>
          </c:extLst>
        </c:ser>
        <c:ser>
          <c:idx val="0"/>
          <c:order val="2"/>
          <c:tx>
            <c:strRef>
              <c:f>'Uvoz_ek. namena'!$B$8</c:f>
              <c:strCache>
                <c:ptCount val="1"/>
                <c:pt idx="0">
                  <c:v>Репродукција</c:v>
                </c:pt>
              </c:strCache>
            </c:strRef>
          </c:tx>
          <c:spPr>
            <a:solidFill>
              <a:srgbClr val="2183C4"/>
            </a:solidFill>
            <a:ln>
              <a:noFill/>
            </a:ln>
            <a:effectLst/>
          </c:spPr>
          <c:invertIfNegative val="0"/>
          <c:dLbls>
            <c:dLbl>
              <c:idx val="2"/>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26C-4A16-B6D1-A0F5CA54361F}"/>
                </c:ext>
              </c:extLst>
            </c:dLbl>
            <c:dLbl>
              <c:idx val="3"/>
              <c:layout>
                <c:manualLayout>
                  <c:x val="0"/>
                  <c:y val="-1.92424242424242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26C-4A16-B6D1-A0F5CA54361F}"/>
                </c:ext>
              </c:extLst>
            </c:dLbl>
            <c:spPr>
              <a:noFill/>
              <a:ln>
                <a:noFill/>
              </a:ln>
              <a:effectLst/>
            </c:spPr>
            <c:txPr>
              <a:bodyPr rot="0" spcFirstLastPara="1" vertOverflow="ellipsis" vert="horz" wrap="square" anchor="ctr" anchorCtr="1"/>
              <a:lstStyle/>
              <a:p>
                <a:pPr>
                  <a:defRPr sz="700" b="0" i="0" u="none" strike="noStrike" kern="1200" baseline="0">
                    <a:solidFill>
                      <a:srgbClr val="002060"/>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'Uvoz_ek. namena'!$D$5:$H$5</c:f>
              <c:strCache>
                <c:ptCount val="5"/>
                <c:pt idx="0">
                  <c:v>2018</c:v>
                </c:pt>
                <c:pt idx="1">
                  <c:v>2019</c:v>
                </c:pt>
                <c:pt idx="2">
                  <c:v>2020</c:v>
                </c:pt>
                <c:pt idx="3">
                  <c:v>2021</c:v>
                </c:pt>
                <c:pt idx="4">
                  <c:v>I-III 2022</c:v>
                </c:pt>
              </c:strCache>
            </c:strRef>
          </c:cat>
          <c:val>
            <c:numRef>
              <c:f>'Uvoz_ek. namena'!$D$8:$H$8</c:f>
              <c:numCache>
                <c:formatCode>0.0</c:formatCode>
                <c:ptCount val="5"/>
                <c:pt idx="0">
                  <c:v>6.5890595999175119</c:v>
                </c:pt>
                <c:pt idx="1">
                  <c:v>3.6183715275084705</c:v>
                </c:pt>
                <c:pt idx="2">
                  <c:v>-5.8440229023300203</c:v>
                </c:pt>
                <c:pt idx="3">
                  <c:v>16.917636183517509</c:v>
                </c:pt>
                <c:pt idx="4">
                  <c:v>36.895818097201001</c:v>
                </c:pt>
              </c:numCache>
            </c:numRef>
          </c:val>
          <c:extLst>
            <c:ext xmlns:c16="http://schemas.microsoft.com/office/drawing/2014/chart" uri="{C3380CC4-5D6E-409C-BE32-E72D297353CC}">
              <c16:uniqueId val="{00000003-426C-4A16-B6D1-A0F5CA54361F}"/>
            </c:ext>
          </c:extLst>
        </c:ser>
        <c:ser>
          <c:idx val="1"/>
          <c:order val="3"/>
          <c:tx>
            <c:strRef>
              <c:f>'Uvoz_ek. namena'!$B$9</c:f>
              <c:strCache>
                <c:ptCount val="1"/>
                <c:pt idx="0">
                  <c:v>Потрошна роба</c:v>
                </c:pt>
              </c:strCache>
            </c:strRef>
          </c:tx>
          <c:spPr>
            <a:solidFill>
              <a:srgbClr val="51BBE7"/>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rgbClr val="002060"/>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'Uvoz_ek. namena'!$D$5:$H$5</c:f>
              <c:strCache>
                <c:ptCount val="5"/>
                <c:pt idx="0">
                  <c:v>2018</c:v>
                </c:pt>
                <c:pt idx="1">
                  <c:v>2019</c:v>
                </c:pt>
                <c:pt idx="2">
                  <c:v>2020</c:v>
                </c:pt>
                <c:pt idx="3">
                  <c:v>2021</c:v>
                </c:pt>
                <c:pt idx="4">
                  <c:v>I-III 2022</c:v>
                </c:pt>
              </c:strCache>
            </c:strRef>
          </c:cat>
          <c:val>
            <c:numRef>
              <c:f>'Uvoz_ek. namena'!$D$9:$H$9</c:f>
              <c:numCache>
                <c:formatCode>0.0</c:formatCode>
                <c:ptCount val="5"/>
                <c:pt idx="0">
                  <c:v>2.0636419880387735</c:v>
                </c:pt>
                <c:pt idx="1">
                  <c:v>2.4162016907937023</c:v>
                </c:pt>
                <c:pt idx="2">
                  <c:v>1.5972699819478706</c:v>
                </c:pt>
                <c:pt idx="3">
                  <c:v>2.7121643410937772</c:v>
                </c:pt>
                <c:pt idx="4">
                  <c:v>4.4910577754138705</c:v>
                </c:pt>
              </c:numCache>
            </c:numRef>
          </c:val>
          <c:extLst>
            <c:ext xmlns:c16="http://schemas.microsoft.com/office/drawing/2014/chart" uri="{C3380CC4-5D6E-409C-BE32-E72D297353CC}">
              <c16:uniqueId val="{00000004-426C-4A16-B6D1-A0F5CA54361F}"/>
            </c:ext>
          </c:extLst>
        </c:ser>
        <c:ser>
          <c:idx val="2"/>
          <c:order val="4"/>
          <c:tx>
            <c:strRef>
              <c:f>'Uvoz_ek. namena'!$B$10</c:f>
              <c:strCache>
                <c:ptCount val="1"/>
                <c:pt idx="0">
                  <c:v>Некласификовано</c:v>
                </c:pt>
              </c:strCache>
            </c:strRef>
          </c:tx>
          <c:spPr>
            <a:solidFill>
              <a:srgbClr val="C9E4EB"/>
            </a:solidFill>
            <a:ln>
              <a:noFill/>
            </a:ln>
            <a:effectLst/>
          </c:spPr>
          <c:invertIfNegative val="0"/>
          <c:dLbls>
            <c:dLbl>
              <c:idx val="1"/>
              <c:layout>
                <c:manualLayout>
                  <c:x val="8.7771580635753868E-2"/>
                  <c:y val="-2.95741352652248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26C-4A16-B6D1-A0F5CA54361F}"/>
                </c:ext>
              </c:extLst>
            </c:dLbl>
            <c:dLbl>
              <c:idx val="2"/>
              <c:layout>
                <c:manualLayout>
                  <c:x val="8.3384929833017069E-2"/>
                  <c:y val="-4.46535353535353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26C-4A16-B6D1-A0F5CA54361F}"/>
                </c:ext>
              </c:extLst>
            </c:dLbl>
            <c:spPr>
              <a:noFill/>
              <a:ln>
                <a:noFill/>
              </a:ln>
              <a:effectLst/>
            </c:spPr>
            <c:txPr>
              <a:bodyPr rot="0" spcFirstLastPara="1" vertOverflow="ellipsis" vert="horz" wrap="square" anchor="ctr" anchorCtr="1"/>
              <a:lstStyle/>
              <a:p>
                <a:pPr>
                  <a:defRPr sz="700" b="0" i="0" u="none" strike="noStrike" kern="1200" baseline="0">
                    <a:solidFill>
                      <a:srgbClr val="002060"/>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3175" cap="flat" cmpd="sng" algn="ctr">
                      <a:solidFill>
                        <a:schemeClr val="tx1">
                          <a:lumMod val="35000"/>
                          <a:lumOff val="65000"/>
                        </a:schemeClr>
                      </a:solidFill>
                      <a:round/>
                    </a:ln>
                    <a:effectLst/>
                  </c:spPr>
                </c15:leaderLines>
              </c:ext>
            </c:extLst>
          </c:dLbls>
          <c:cat>
            <c:strRef>
              <c:f>'Uvoz_ek. namena'!$D$5:$H$5</c:f>
              <c:strCache>
                <c:ptCount val="5"/>
                <c:pt idx="0">
                  <c:v>2018</c:v>
                </c:pt>
                <c:pt idx="1">
                  <c:v>2019</c:v>
                </c:pt>
                <c:pt idx="2">
                  <c:v>2020</c:v>
                </c:pt>
                <c:pt idx="3">
                  <c:v>2021</c:v>
                </c:pt>
                <c:pt idx="4">
                  <c:v>I-III 2022</c:v>
                </c:pt>
              </c:strCache>
            </c:strRef>
          </c:cat>
          <c:val>
            <c:numRef>
              <c:f>'Uvoz_ek. namena'!$D$10:$H$10</c:f>
              <c:numCache>
                <c:formatCode>0.0</c:formatCode>
                <c:ptCount val="5"/>
                <c:pt idx="0">
                  <c:v>2.2843833780160847</c:v>
                </c:pt>
                <c:pt idx="1">
                  <c:v>8.2577890112096625E-2</c:v>
                </c:pt>
                <c:pt idx="2">
                  <c:v>0.18220504035551299</c:v>
                </c:pt>
                <c:pt idx="3">
                  <c:v>2.6818954567881286</c:v>
                </c:pt>
                <c:pt idx="4">
                  <c:v>5.9138355162555687</c:v>
                </c:pt>
              </c:numCache>
            </c:numRef>
          </c:val>
          <c:extLst>
            <c:ext xmlns:c16="http://schemas.microsoft.com/office/drawing/2014/chart" uri="{C3380CC4-5D6E-409C-BE32-E72D297353CC}">
              <c16:uniqueId val="{00000007-426C-4A16-B6D1-A0F5CA54361F}"/>
            </c:ext>
          </c:extLst>
        </c:ser>
        <c:dLbls>
          <c:showLegendKey val="0"/>
          <c:showVal val="0"/>
          <c:showCatName val="0"/>
          <c:showSerName val="0"/>
          <c:showPercent val="0"/>
          <c:showBubbleSize val="0"/>
        </c:dLbls>
        <c:gapWidth val="70"/>
        <c:overlap val="100"/>
        <c:axId val="1839193360"/>
        <c:axId val="1839196080"/>
      </c:barChart>
      <c:lineChart>
        <c:grouping val="standard"/>
        <c:varyColors val="0"/>
        <c:ser>
          <c:idx val="3"/>
          <c:order val="0"/>
          <c:tx>
            <c:strRef>
              <c:f>'Uvoz_ek. namena'!$B$6</c:f>
              <c:strCache>
                <c:ptCount val="1"/>
                <c:pt idx="0">
                  <c:v>Укупно</c:v>
                </c:pt>
              </c:strCache>
            </c:strRef>
          </c:tx>
          <c:spPr>
            <a:ln w="28575" cap="rnd">
              <a:solidFill>
                <a:srgbClr val="FF0000"/>
              </a:solidFill>
              <a:round/>
            </a:ln>
            <a:effectLst/>
          </c:spPr>
          <c:marker>
            <c:symbol val="none"/>
          </c:marker>
          <c:dLbls>
            <c:dLbl>
              <c:idx val="2"/>
              <c:layout>
                <c:manualLayout>
                  <c:x val="1.1948454359871767E-2"/>
                  <c:y val="-2.9805555555556204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26C-4A16-B6D1-A0F5CA54361F}"/>
                </c:ext>
              </c:extLst>
            </c:dLbl>
            <c:dLbl>
              <c:idx val="3"/>
              <c:layout>
                <c:manualLayout>
                  <c:x val="2.3148190376672081E-2"/>
                  <c:y val="2.8222222222222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26C-4A16-B6D1-A0F5CA54361F}"/>
                </c:ext>
              </c:extLst>
            </c:dLbl>
            <c:spPr>
              <a:noFill/>
              <a:ln>
                <a:noFill/>
              </a:ln>
              <a:effectLst/>
            </c:spPr>
            <c:txPr>
              <a:bodyPr rot="0" spcFirstLastPara="1" vertOverflow="ellipsis" vert="horz" wrap="square" anchor="ctr" anchorCtr="1"/>
              <a:lstStyle/>
              <a:p>
                <a:pPr>
                  <a:defRPr sz="750" b="1" i="0" u="none" strike="noStrike" kern="1200" baseline="0">
                    <a:solidFill>
                      <a:srgbClr val="FF0000"/>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'Uvoz_ek. namena'!$D$5:$H$5</c:f>
              <c:strCache>
                <c:ptCount val="5"/>
                <c:pt idx="0">
                  <c:v>2018</c:v>
                </c:pt>
                <c:pt idx="1">
                  <c:v>2019</c:v>
                </c:pt>
                <c:pt idx="2">
                  <c:v>2020</c:v>
                </c:pt>
                <c:pt idx="3">
                  <c:v>2021</c:v>
                </c:pt>
                <c:pt idx="4">
                  <c:v>I-III 2022</c:v>
                </c:pt>
              </c:strCache>
            </c:strRef>
          </c:cat>
          <c:val>
            <c:numRef>
              <c:f>'Uvoz_ek. namena'!$D$6:$H$6</c:f>
              <c:numCache>
                <c:formatCode>0.0</c:formatCode>
                <c:ptCount val="5"/>
                <c:pt idx="0">
                  <c:v>13.006289956692115</c:v>
                </c:pt>
                <c:pt idx="1">
                  <c:v>8.9266242979738593</c:v>
                </c:pt>
                <c:pt idx="2">
                  <c:v>-3.8438511767391508</c:v>
                </c:pt>
                <c:pt idx="3">
                  <c:v>24.583312806334149</c:v>
                </c:pt>
                <c:pt idx="4">
                  <c:v>48.455887241539813</c:v>
                </c:pt>
              </c:numCache>
            </c:numRef>
          </c:val>
          <c:smooth val="0"/>
          <c:extLst>
            <c:ext xmlns:c16="http://schemas.microsoft.com/office/drawing/2014/chart" uri="{C3380CC4-5D6E-409C-BE32-E72D297353CC}">
              <c16:uniqueId val="{0000000A-426C-4A16-B6D1-A0F5CA54361F}"/>
            </c:ext>
          </c:extLst>
        </c:ser>
        <c:dLbls>
          <c:showLegendKey val="0"/>
          <c:showVal val="0"/>
          <c:showCatName val="0"/>
          <c:showSerName val="0"/>
          <c:showPercent val="0"/>
          <c:showBubbleSize val="0"/>
        </c:dLbls>
        <c:marker val="1"/>
        <c:smooth val="0"/>
        <c:axId val="1839193360"/>
        <c:axId val="1839196080"/>
      </c:lineChart>
      <c:catAx>
        <c:axId val="1839193360"/>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196080"/>
        <c:crosses val="autoZero"/>
        <c:auto val="1"/>
        <c:lblAlgn val="ctr"/>
        <c:lblOffset val="100"/>
        <c:noMultiLvlLbl val="0"/>
      </c:catAx>
      <c:valAx>
        <c:axId val="1839196080"/>
        <c:scaling>
          <c:orientation val="minMax"/>
          <c:max val="50"/>
          <c:min val="-6"/>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193360"/>
        <c:crosses val="autoZero"/>
        <c:crossBetween val="between"/>
        <c:majorUnit val="6"/>
      </c:valAx>
      <c:spPr>
        <a:noFill/>
        <a:ln>
          <a:noFill/>
        </a:ln>
        <a:effectLst/>
      </c:spPr>
    </c:plotArea>
    <c:legend>
      <c:legendPos val="b"/>
      <c:layout>
        <c:manualLayout>
          <c:xMode val="edge"/>
          <c:yMode val="edge"/>
          <c:x val="1.2789078448527259E-2"/>
          <c:y val="0.80912929292929292"/>
          <c:w val="0.91940033537474486"/>
          <c:h val="0.1908707070707071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880796150481189"/>
          <c:y val="4.6989720998531569E-2"/>
          <c:w val="0.86246828521434815"/>
          <c:h val="0.81779689433093983"/>
        </c:manualLayout>
      </c:layout>
      <c:areaChart>
        <c:grouping val="standard"/>
        <c:varyColors val="0"/>
        <c:ser>
          <c:idx val="1"/>
          <c:order val="0"/>
          <c:tx>
            <c:strRef>
              <c:f>'Izvoz, uvoz (Q)'!$A$8</c:f>
              <c:strCache>
                <c:ptCount val="1"/>
                <c:pt idx="0">
                  <c:v>Увоз</c:v>
                </c:pt>
              </c:strCache>
            </c:strRef>
          </c:tx>
          <c:spPr>
            <a:solidFill>
              <a:srgbClr val="51BBE7"/>
            </a:solidFill>
            <a:ln>
              <a:noFill/>
            </a:ln>
            <a:effectLst/>
          </c:spPr>
          <c:dLbls>
            <c:dLbl>
              <c:idx val="0"/>
              <c:layout>
                <c:manualLayout>
                  <c:x val="-4.6296296296296294E-3"/>
                  <c:y val="-0.14542671259089168"/>
                </c:manualLayout>
              </c:layout>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F88D-427C-AF75-5528ABCB29E6}"/>
                </c:ext>
              </c:extLst>
            </c:dLbl>
            <c:spPr>
              <a:noFill/>
              <a:ln>
                <a:noFill/>
              </a:ln>
              <a:effectLst/>
            </c:spPr>
            <c:txPr>
              <a:bodyPr rot="0" spcFirstLastPara="1" vertOverflow="ellipsis" vert="horz" wrap="none" anchor="ctr" anchorCtr="1"/>
              <a:lstStyle/>
              <a:p>
                <a:pPr>
                  <a:defRPr sz="1000" b="1" i="0" u="none" strike="noStrike" kern="1200" baseline="0">
                    <a:solidFill>
                      <a:schemeClr val="bg1"/>
                    </a:solidFill>
                    <a:latin typeface="+mn-lt"/>
                    <a:ea typeface="+mn-ea"/>
                    <a:cs typeface="+mn-cs"/>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multiLvlStrRef>
              <c:f>'Izvoz, uvoz (Q)'!$O$3:$AQ$4</c:f>
              <c:multiLvlStrCache>
                <c:ptCount val="29"/>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lvl>
                <c:lvl>
                  <c:pt idx="0">
                    <c:v>2015</c:v>
                  </c:pt>
                  <c:pt idx="4">
                    <c:v>2016</c:v>
                  </c:pt>
                  <c:pt idx="8">
                    <c:v>2017</c:v>
                  </c:pt>
                  <c:pt idx="12">
                    <c:v>2018</c:v>
                  </c:pt>
                  <c:pt idx="16">
                    <c:v>2019</c:v>
                  </c:pt>
                  <c:pt idx="20">
                    <c:v>2020</c:v>
                  </c:pt>
                  <c:pt idx="24">
                    <c:v>2021</c:v>
                  </c:pt>
                  <c:pt idx="28">
                    <c:v>2022</c:v>
                  </c:pt>
                </c:lvl>
              </c:multiLvlStrCache>
            </c:multiLvlStrRef>
          </c:cat>
          <c:val>
            <c:numRef>
              <c:f>'Izvoz, uvoz (Q)'!$O$8:$AQ$8</c:f>
              <c:numCache>
                <c:formatCode>#,##0.0</c:formatCode>
                <c:ptCount val="29"/>
                <c:pt idx="0">
                  <c:v>3784.8</c:v>
                </c:pt>
                <c:pt idx="1">
                  <c:v>4090.1</c:v>
                </c:pt>
                <c:pt idx="2">
                  <c:v>3962.6</c:v>
                </c:pt>
                <c:pt idx="3">
                  <c:v>4249.1000000000004</c:v>
                </c:pt>
                <c:pt idx="4">
                  <c:v>3898.7717211190502</c:v>
                </c:pt>
                <c:pt idx="5">
                  <c:v>4458.9206734116106</c:v>
                </c:pt>
                <c:pt idx="6">
                  <c:v>4149.7076054693389</c:v>
                </c:pt>
                <c:pt idx="7">
                  <c:v>4560.5000000000018</c:v>
                </c:pt>
                <c:pt idx="8">
                  <c:v>4508.1000000000004</c:v>
                </c:pt>
                <c:pt idx="9">
                  <c:v>4918.5</c:v>
                </c:pt>
                <c:pt idx="10">
                  <c:v>4707.2999999999993</c:v>
                </c:pt>
                <c:pt idx="11">
                  <c:v>5262.1</c:v>
                </c:pt>
                <c:pt idx="12">
                  <c:v>5075.8999999999996</c:v>
                </c:pt>
                <c:pt idx="13">
                  <c:v>5458.7000000000007</c:v>
                </c:pt>
                <c:pt idx="14">
                  <c:v>5419</c:v>
                </c:pt>
                <c:pt idx="15">
                  <c:v>5965.1</c:v>
                </c:pt>
                <c:pt idx="16">
                  <c:v>5560.6</c:v>
                </c:pt>
                <c:pt idx="17">
                  <c:v>5942</c:v>
                </c:pt>
                <c:pt idx="18">
                  <c:v>5842.9999999999982</c:v>
                </c:pt>
                <c:pt idx="19">
                  <c:v>6529.7000000000007</c:v>
                </c:pt>
                <c:pt idx="20">
                  <c:v>5986.9</c:v>
                </c:pt>
                <c:pt idx="21">
                  <c:v>4743.2000000000007</c:v>
                </c:pt>
                <c:pt idx="22">
                  <c:v>5793.9999999999982</c:v>
                </c:pt>
                <c:pt idx="23">
                  <c:v>6433.5</c:v>
                </c:pt>
                <c:pt idx="24">
                  <c:v>6016.4</c:v>
                </c:pt>
                <c:pt idx="25">
                  <c:v>6962.5998779244001</c:v>
                </c:pt>
                <c:pt idx="26">
                  <c:v>7418.8391308364971</c:v>
                </c:pt>
                <c:pt idx="27">
                  <c:v>8203.4366822984011</c:v>
                </c:pt>
                <c:pt idx="28">
                  <c:v>8931.7000000000007</c:v>
                </c:pt>
              </c:numCache>
            </c:numRef>
          </c:val>
          <c:extLst>
            <c:ext xmlns:c16="http://schemas.microsoft.com/office/drawing/2014/chart" uri="{C3380CC4-5D6E-409C-BE32-E72D297353CC}">
              <c16:uniqueId val="{00000001-F88D-427C-AF75-5528ABCB29E6}"/>
            </c:ext>
          </c:extLst>
        </c:ser>
        <c:ser>
          <c:idx val="0"/>
          <c:order val="1"/>
          <c:tx>
            <c:strRef>
              <c:f>'Izvoz, uvoz (Q)'!$A$7</c:f>
              <c:strCache>
                <c:ptCount val="1"/>
                <c:pt idx="0">
                  <c:v>Извоз</c:v>
                </c:pt>
              </c:strCache>
            </c:strRef>
          </c:tx>
          <c:spPr>
            <a:solidFill>
              <a:srgbClr val="29489A"/>
            </a:solidFill>
            <a:ln>
              <a:noFill/>
            </a:ln>
            <a:effectLst/>
          </c:spPr>
          <c:dLbls>
            <c:dLbl>
              <c:idx val="0"/>
              <c:layout>
                <c:manualLayout>
                  <c:x val="-4.6296296296296294E-3"/>
                  <c:y val="-7.6540375047837034E-3"/>
                </c:manualLayout>
              </c:layout>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2-F88D-427C-AF75-5528ABCB29E6}"/>
                </c:ext>
              </c:extLst>
            </c:dLbl>
            <c:spPr>
              <a:noFill/>
              <a:ln>
                <a:noFill/>
              </a:ln>
              <a:effectLst/>
            </c:spPr>
            <c:txPr>
              <a:bodyPr rot="0" spcFirstLastPara="1" vertOverflow="ellipsis" vert="horz" wrap="none" anchor="ctr" anchorCtr="1"/>
              <a:lstStyle/>
              <a:p>
                <a:pPr>
                  <a:defRPr sz="1000" b="1" i="0" u="none" strike="noStrike" kern="1200" baseline="0">
                    <a:solidFill>
                      <a:schemeClr val="bg1"/>
                    </a:solidFill>
                    <a:latin typeface="+mn-lt"/>
                    <a:ea typeface="+mn-ea"/>
                    <a:cs typeface="+mn-cs"/>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multiLvlStrRef>
              <c:f>'Izvoz, uvoz (Q)'!$O$3:$AQ$4</c:f>
              <c:multiLvlStrCache>
                <c:ptCount val="29"/>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lvl>
                <c:lvl>
                  <c:pt idx="0">
                    <c:v>2015</c:v>
                  </c:pt>
                  <c:pt idx="4">
                    <c:v>2016</c:v>
                  </c:pt>
                  <c:pt idx="8">
                    <c:v>2017</c:v>
                  </c:pt>
                  <c:pt idx="12">
                    <c:v>2018</c:v>
                  </c:pt>
                  <c:pt idx="16">
                    <c:v>2019</c:v>
                  </c:pt>
                  <c:pt idx="20">
                    <c:v>2020</c:v>
                  </c:pt>
                  <c:pt idx="24">
                    <c:v>2021</c:v>
                  </c:pt>
                  <c:pt idx="28">
                    <c:v>2022</c:v>
                  </c:pt>
                </c:lvl>
              </c:multiLvlStrCache>
            </c:multiLvlStrRef>
          </c:cat>
          <c:val>
            <c:numRef>
              <c:f>'Izvoz, uvoz (Q)'!$O$7:$AQ$7</c:f>
              <c:numCache>
                <c:formatCode>#,##0.0</c:formatCode>
                <c:ptCount val="29"/>
                <c:pt idx="0">
                  <c:v>2774.5</c:v>
                </c:pt>
                <c:pt idx="1">
                  <c:v>3193.8</c:v>
                </c:pt>
                <c:pt idx="2">
                  <c:v>3041.9</c:v>
                </c:pt>
                <c:pt idx="3">
                  <c:v>3028.5</c:v>
                </c:pt>
                <c:pt idx="4">
                  <c:v>3093.6981629093693</c:v>
                </c:pt>
                <c:pt idx="5">
                  <c:v>3473.8402049835208</c:v>
                </c:pt>
                <c:pt idx="6">
                  <c:v>3353.2616321071091</c:v>
                </c:pt>
                <c:pt idx="7">
                  <c:v>3511.3000000000011</c:v>
                </c:pt>
                <c:pt idx="8">
                  <c:v>3516.4</c:v>
                </c:pt>
                <c:pt idx="9">
                  <c:v>3948.9999999999995</c:v>
                </c:pt>
                <c:pt idx="10">
                  <c:v>3785.7000000000007</c:v>
                </c:pt>
                <c:pt idx="11">
                  <c:v>3799.6999999999989</c:v>
                </c:pt>
                <c:pt idx="12">
                  <c:v>3829.1</c:v>
                </c:pt>
                <c:pt idx="13">
                  <c:v>4218.6000000000004</c:v>
                </c:pt>
                <c:pt idx="14">
                  <c:v>4091.0999999999995</c:v>
                </c:pt>
                <c:pt idx="15">
                  <c:v>4143.2000000000007</c:v>
                </c:pt>
                <c:pt idx="16">
                  <c:v>4102.1000000000004</c:v>
                </c:pt>
                <c:pt idx="17">
                  <c:v>4488.7999999999993</c:v>
                </c:pt>
                <c:pt idx="18">
                  <c:v>4404.1000000000004</c:v>
                </c:pt>
                <c:pt idx="19">
                  <c:v>4541.4000000000015</c:v>
                </c:pt>
                <c:pt idx="20">
                  <c:v>4237.5</c:v>
                </c:pt>
                <c:pt idx="21">
                  <c:v>3597.2</c:v>
                </c:pt>
                <c:pt idx="22">
                  <c:v>4371.2</c:v>
                </c:pt>
                <c:pt idx="23">
                  <c:v>4848.6000000000004</c:v>
                </c:pt>
                <c:pt idx="24">
                  <c:v>4837.7</c:v>
                </c:pt>
                <c:pt idx="25">
                  <c:v>5230.972879108801</c:v>
                </c:pt>
                <c:pt idx="26">
                  <c:v>5565.2234758669983</c:v>
                </c:pt>
                <c:pt idx="27">
                  <c:v>5986.9299714271019</c:v>
                </c:pt>
                <c:pt idx="28">
                  <c:v>6215.8</c:v>
                </c:pt>
              </c:numCache>
            </c:numRef>
          </c:val>
          <c:extLst>
            <c:ext xmlns:c16="http://schemas.microsoft.com/office/drawing/2014/chart" uri="{C3380CC4-5D6E-409C-BE32-E72D297353CC}">
              <c16:uniqueId val="{00000003-F88D-427C-AF75-5528ABCB29E6}"/>
            </c:ext>
          </c:extLst>
        </c:ser>
        <c:ser>
          <c:idx val="2"/>
          <c:order val="2"/>
          <c:tx>
            <c:strRef>
              <c:f>'Izvoz, uvoz (Q)'!$A$9</c:f>
              <c:strCache>
                <c:ptCount val="1"/>
                <c:pt idx="0">
                  <c:v>Дефицит</c:v>
                </c:pt>
              </c:strCache>
            </c:strRef>
          </c:tx>
          <c:spPr>
            <a:solidFill>
              <a:srgbClr val="ED1C24"/>
            </a:solidFill>
            <a:ln>
              <a:noFill/>
            </a:ln>
            <a:effectLst/>
          </c:spPr>
          <c:dLbls>
            <c:spPr>
              <a:noFill/>
              <a:ln>
                <a:noFill/>
              </a:ln>
              <a:effectLst/>
            </c:spPr>
            <c:txPr>
              <a:bodyPr rot="0" spcFirstLastPara="1" vertOverflow="ellipsis" vert="horz" wrap="none" anchor="ctr" anchorCtr="1"/>
              <a:lstStyle/>
              <a:p>
                <a:pPr>
                  <a:defRPr sz="1000" b="1" i="0" u="none" strike="noStrike" kern="1200" baseline="0">
                    <a:solidFill>
                      <a:schemeClr val="bg1"/>
                    </a:solidFill>
                    <a:latin typeface="+mn-lt"/>
                    <a:ea typeface="+mn-ea"/>
                    <a:cs typeface="+mn-cs"/>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multiLvlStrRef>
              <c:f>'Izvoz, uvoz (Q)'!$O$3:$AQ$4</c:f>
              <c:multiLvlStrCache>
                <c:ptCount val="29"/>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lvl>
                <c:lvl>
                  <c:pt idx="0">
                    <c:v>2015</c:v>
                  </c:pt>
                  <c:pt idx="4">
                    <c:v>2016</c:v>
                  </c:pt>
                  <c:pt idx="8">
                    <c:v>2017</c:v>
                  </c:pt>
                  <c:pt idx="12">
                    <c:v>2018</c:v>
                  </c:pt>
                  <c:pt idx="16">
                    <c:v>2019</c:v>
                  </c:pt>
                  <c:pt idx="20">
                    <c:v>2020</c:v>
                  </c:pt>
                  <c:pt idx="24">
                    <c:v>2021</c:v>
                  </c:pt>
                  <c:pt idx="28">
                    <c:v>2022</c:v>
                  </c:pt>
                </c:lvl>
              </c:multiLvlStrCache>
            </c:multiLvlStrRef>
          </c:cat>
          <c:val>
            <c:numRef>
              <c:f>'Izvoz, uvoz (Q)'!$O$9:$AQ$9</c:f>
              <c:numCache>
                <c:formatCode>#,##0.0</c:formatCode>
                <c:ptCount val="29"/>
                <c:pt idx="0">
                  <c:v>-1010.3000000000002</c:v>
                </c:pt>
                <c:pt idx="1">
                  <c:v>-896.29999999999973</c:v>
                </c:pt>
                <c:pt idx="2">
                  <c:v>-920.69999999999982</c:v>
                </c:pt>
                <c:pt idx="3">
                  <c:v>-1220.6000000000004</c:v>
                </c:pt>
                <c:pt idx="4">
                  <c:v>-805.07355820968087</c:v>
                </c:pt>
                <c:pt idx="5">
                  <c:v>-985.08046842808972</c:v>
                </c:pt>
                <c:pt idx="6">
                  <c:v>-796.44597336222978</c:v>
                </c:pt>
                <c:pt idx="7">
                  <c:v>-1049.2000000000007</c:v>
                </c:pt>
                <c:pt idx="8">
                  <c:v>-991.70000000000027</c:v>
                </c:pt>
                <c:pt idx="9">
                  <c:v>-969.50000000000045</c:v>
                </c:pt>
                <c:pt idx="10">
                  <c:v>-921.59999999999854</c:v>
                </c:pt>
                <c:pt idx="11">
                  <c:v>-1462.4000000000015</c:v>
                </c:pt>
                <c:pt idx="12">
                  <c:v>-1246.7999999999997</c:v>
                </c:pt>
                <c:pt idx="13">
                  <c:v>-1240.1000000000004</c:v>
                </c:pt>
                <c:pt idx="14">
                  <c:v>-1327.9000000000005</c:v>
                </c:pt>
                <c:pt idx="15">
                  <c:v>-1821.8999999999996</c:v>
                </c:pt>
                <c:pt idx="16">
                  <c:v>-1458.5</c:v>
                </c:pt>
                <c:pt idx="17">
                  <c:v>-1453.2000000000007</c:v>
                </c:pt>
                <c:pt idx="18">
                  <c:v>-1438.8999999999978</c:v>
                </c:pt>
                <c:pt idx="19">
                  <c:v>-1988.2999999999993</c:v>
                </c:pt>
                <c:pt idx="20">
                  <c:v>-1749.3999999999996</c:v>
                </c:pt>
                <c:pt idx="21">
                  <c:v>-1146.0000000000009</c:v>
                </c:pt>
                <c:pt idx="22">
                  <c:v>-1422.7999999999984</c:v>
                </c:pt>
                <c:pt idx="23">
                  <c:v>-1584.8999999999996</c:v>
                </c:pt>
                <c:pt idx="24">
                  <c:v>-1178.6999999999998</c:v>
                </c:pt>
                <c:pt idx="25">
                  <c:v>-1731.6269988155991</c:v>
                </c:pt>
                <c:pt idx="26">
                  <c:v>-1853.6156549694988</c:v>
                </c:pt>
                <c:pt idx="27">
                  <c:v>-2216.5067108712992</c:v>
                </c:pt>
                <c:pt idx="28">
                  <c:v>-2715.9000000000005</c:v>
                </c:pt>
              </c:numCache>
            </c:numRef>
          </c:val>
          <c:extLst>
            <c:ext xmlns:c16="http://schemas.microsoft.com/office/drawing/2014/chart" uri="{C3380CC4-5D6E-409C-BE32-E72D297353CC}">
              <c16:uniqueId val="{00000004-F88D-427C-AF75-5528ABCB29E6}"/>
            </c:ext>
          </c:extLst>
        </c:ser>
        <c:dLbls>
          <c:showLegendKey val="0"/>
          <c:showVal val="0"/>
          <c:showCatName val="0"/>
          <c:showSerName val="0"/>
          <c:showPercent val="0"/>
          <c:showBubbleSize val="0"/>
        </c:dLbls>
        <c:axId val="1839202064"/>
        <c:axId val="1839196624"/>
      </c:areaChart>
      <c:catAx>
        <c:axId val="1839202064"/>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5400000" spcFirstLastPara="1" vertOverflow="ellipsis" wrap="square" anchor="ctr" anchorCtr="1"/>
          <a:lstStyle/>
          <a:p>
            <a:pPr>
              <a:defRPr sz="510" b="0" i="0" u="none" strike="noStrike" kern="1200" baseline="0">
                <a:solidFill>
                  <a:schemeClr val="tx2"/>
                </a:solidFill>
                <a:latin typeface="+mn-lt"/>
                <a:ea typeface="+mn-ea"/>
                <a:cs typeface="+mn-cs"/>
              </a:defRPr>
            </a:pPr>
            <a:endParaRPr lang="sr-Latn-RS"/>
          </a:p>
        </c:txPr>
        <c:crossAx val="1839196624"/>
        <c:crosses val="autoZero"/>
        <c:auto val="1"/>
        <c:lblAlgn val="ctr"/>
        <c:lblOffset val="0"/>
        <c:noMultiLvlLbl val="0"/>
      </c:catAx>
      <c:valAx>
        <c:axId val="1839196624"/>
        <c:scaling>
          <c:orientation val="minMax"/>
          <c:max val="10000"/>
          <c:min val="-200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202064"/>
        <c:crosses val="autoZero"/>
        <c:crossBetween val="between"/>
        <c:majorUnit val="1500"/>
      </c:valAx>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2">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39150826485673E-2"/>
          <c:y val="3.2258064516129031E-2"/>
          <c:w val="0.90409995360749396"/>
          <c:h val="0.75972906612479885"/>
        </c:manualLayout>
      </c:layout>
      <c:barChart>
        <c:barDir val="col"/>
        <c:grouping val="stacked"/>
        <c:varyColors val="0"/>
        <c:ser>
          <c:idx val="0"/>
          <c:order val="1"/>
          <c:tx>
            <c:strRef>
              <c:f>'Struktura CA i FA'!$B$10</c:f>
              <c:strCache>
                <c:ptCount val="1"/>
                <c:pt idx="0">
                  <c:v>Салдо робне размене </c:v>
                </c:pt>
              </c:strCache>
            </c:strRef>
          </c:tx>
          <c:spPr>
            <a:solidFill>
              <a:srgbClr val="10103C"/>
            </a:solidFill>
            <a:ln>
              <a:noFill/>
            </a:ln>
            <a:effectLst/>
          </c:spPr>
          <c:invertIfNegative val="0"/>
          <c:cat>
            <c:strRef>
              <c:f>'Struktura CA i FA'!$G$8:$M$8</c:f>
              <c:strCache>
                <c:ptCount val="7"/>
                <c:pt idx="0">
                  <c:v>2019</c:v>
                </c:pt>
                <c:pt idx="1">
                  <c:v>2020</c:v>
                </c:pt>
                <c:pt idx="2">
                  <c:v>2021</c:v>
                </c:pt>
                <c:pt idx="3">
                  <c:v>2022*</c:v>
                </c:pt>
                <c:pt idx="4">
                  <c:v>2023</c:v>
                </c:pt>
                <c:pt idx="5">
                  <c:v>2024</c:v>
                </c:pt>
                <c:pt idx="6">
                  <c:v>2025</c:v>
                </c:pt>
              </c:strCache>
            </c:strRef>
          </c:cat>
          <c:val>
            <c:numRef>
              <c:f>'Struktura CA i FA'!$G$10:$M$10</c:f>
              <c:numCache>
                <c:formatCode>0.0</c:formatCode>
                <c:ptCount val="7"/>
                <c:pt idx="0">
                  <c:v>-12.232686434344609</c:v>
                </c:pt>
                <c:pt idx="1">
                  <c:v>-11.113482666058205</c:v>
                </c:pt>
                <c:pt idx="2">
                  <c:v>-11.119873458459187</c:v>
                </c:pt>
                <c:pt idx="3">
                  <c:v>-13.17148203189403</c:v>
                </c:pt>
                <c:pt idx="4">
                  <c:v>-13.37243446850445</c:v>
                </c:pt>
                <c:pt idx="5">
                  <c:v>-12.714315751472997</c:v>
                </c:pt>
                <c:pt idx="6">
                  <c:v>-12.07492943419215</c:v>
                </c:pt>
              </c:numCache>
            </c:numRef>
          </c:val>
          <c:extLst>
            <c:ext xmlns:c16="http://schemas.microsoft.com/office/drawing/2014/chart" uri="{C3380CC4-5D6E-409C-BE32-E72D297353CC}">
              <c16:uniqueId val="{00000000-9850-45A6-A5C7-1F2706F4421F}"/>
            </c:ext>
          </c:extLst>
        </c:ser>
        <c:ser>
          <c:idx val="1"/>
          <c:order val="2"/>
          <c:tx>
            <c:strRef>
              <c:f>'Struktura CA i FA'!$B$11</c:f>
              <c:strCache>
                <c:ptCount val="1"/>
                <c:pt idx="0">
                  <c:v>Салдо услугa</c:v>
                </c:pt>
              </c:strCache>
            </c:strRef>
          </c:tx>
          <c:spPr>
            <a:solidFill>
              <a:srgbClr val="29489A"/>
            </a:solidFill>
            <a:ln>
              <a:noFill/>
            </a:ln>
            <a:effectLst/>
          </c:spPr>
          <c:invertIfNegative val="0"/>
          <c:cat>
            <c:strRef>
              <c:f>'Struktura CA i FA'!$G$8:$M$8</c:f>
              <c:strCache>
                <c:ptCount val="7"/>
                <c:pt idx="0">
                  <c:v>2019</c:v>
                </c:pt>
                <c:pt idx="1">
                  <c:v>2020</c:v>
                </c:pt>
                <c:pt idx="2">
                  <c:v>2021</c:v>
                </c:pt>
                <c:pt idx="3">
                  <c:v>2022*</c:v>
                </c:pt>
                <c:pt idx="4">
                  <c:v>2023</c:v>
                </c:pt>
                <c:pt idx="5">
                  <c:v>2024</c:v>
                </c:pt>
                <c:pt idx="6">
                  <c:v>2025</c:v>
                </c:pt>
              </c:strCache>
            </c:strRef>
          </c:cat>
          <c:val>
            <c:numRef>
              <c:f>'Struktura CA i FA'!$G$11:$M$11</c:f>
              <c:numCache>
                <c:formatCode>0.0</c:formatCode>
                <c:ptCount val="7"/>
                <c:pt idx="0">
                  <c:v>2.2009453418610074</c:v>
                </c:pt>
                <c:pt idx="1">
                  <c:v>2.3541275668749155</c:v>
                </c:pt>
                <c:pt idx="2">
                  <c:v>2.6645004470209788</c:v>
                </c:pt>
                <c:pt idx="3">
                  <c:v>2.5080412677311172</c:v>
                </c:pt>
                <c:pt idx="4">
                  <c:v>2.6080989211622154</c:v>
                </c:pt>
                <c:pt idx="5">
                  <c:v>2.6518850930071114</c:v>
                </c:pt>
                <c:pt idx="6">
                  <c:v>2.799188187017271</c:v>
                </c:pt>
              </c:numCache>
            </c:numRef>
          </c:val>
          <c:extLst>
            <c:ext xmlns:c16="http://schemas.microsoft.com/office/drawing/2014/chart" uri="{C3380CC4-5D6E-409C-BE32-E72D297353CC}">
              <c16:uniqueId val="{00000001-9850-45A6-A5C7-1F2706F4421F}"/>
            </c:ext>
          </c:extLst>
        </c:ser>
        <c:ser>
          <c:idx val="2"/>
          <c:order val="3"/>
          <c:tx>
            <c:strRef>
              <c:f>'Struktura CA i FA'!$B$12</c:f>
              <c:strCache>
                <c:ptCount val="1"/>
                <c:pt idx="0">
                  <c:v>Салдо дохотка           </c:v>
                </c:pt>
              </c:strCache>
            </c:strRef>
          </c:tx>
          <c:spPr>
            <a:solidFill>
              <a:srgbClr val="2183C4"/>
            </a:solidFill>
            <a:ln>
              <a:noFill/>
            </a:ln>
            <a:effectLst/>
          </c:spPr>
          <c:invertIfNegative val="0"/>
          <c:cat>
            <c:strRef>
              <c:f>'Struktura CA i FA'!$G$8:$M$8</c:f>
              <c:strCache>
                <c:ptCount val="7"/>
                <c:pt idx="0">
                  <c:v>2019</c:v>
                </c:pt>
                <c:pt idx="1">
                  <c:v>2020</c:v>
                </c:pt>
                <c:pt idx="2">
                  <c:v>2021</c:v>
                </c:pt>
                <c:pt idx="3">
                  <c:v>2022*</c:v>
                </c:pt>
                <c:pt idx="4">
                  <c:v>2023</c:v>
                </c:pt>
                <c:pt idx="5">
                  <c:v>2024</c:v>
                </c:pt>
                <c:pt idx="6">
                  <c:v>2025</c:v>
                </c:pt>
              </c:strCache>
            </c:strRef>
          </c:cat>
          <c:val>
            <c:numRef>
              <c:f>'Struktura CA i FA'!$G$12:$M$12</c:f>
              <c:numCache>
                <c:formatCode>0.0</c:formatCode>
                <c:ptCount val="7"/>
                <c:pt idx="0">
                  <c:v>-5.3916071891109327</c:v>
                </c:pt>
                <c:pt idx="1">
                  <c:v>-3.0442190151679576</c:v>
                </c:pt>
                <c:pt idx="2">
                  <c:v>-3.8235933970779614</c:v>
                </c:pt>
                <c:pt idx="3">
                  <c:v>-3.6170391072040604</c:v>
                </c:pt>
                <c:pt idx="4">
                  <c:v>-3.7303717902683795</c:v>
                </c:pt>
                <c:pt idx="5">
                  <c:v>-3.535846790676151</c:v>
                </c:pt>
                <c:pt idx="6">
                  <c:v>-3.704807894581684</c:v>
                </c:pt>
              </c:numCache>
            </c:numRef>
          </c:val>
          <c:extLst>
            <c:ext xmlns:c16="http://schemas.microsoft.com/office/drawing/2014/chart" uri="{C3380CC4-5D6E-409C-BE32-E72D297353CC}">
              <c16:uniqueId val="{00000002-9850-45A6-A5C7-1F2706F4421F}"/>
            </c:ext>
          </c:extLst>
        </c:ser>
        <c:ser>
          <c:idx val="3"/>
          <c:order val="4"/>
          <c:tx>
            <c:strRef>
              <c:f>'Struktura CA i FA'!$B$13</c:f>
              <c:strCache>
                <c:ptCount val="1"/>
                <c:pt idx="0">
                  <c:v>Салдо текућих трансфера</c:v>
                </c:pt>
              </c:strCache>
            </c:strRef>
          </c:tx>
          <c:spPr>
            <a:solidFill>
              <a:srgbClr val="51BBE7"/>
            </a:solidFill>
            <a:ln>
              <a:noFill/>
            </a:ln>
            <a:effectLst/>
          </c:spPr>
          <c:invertIfNegative val="0"/>
          <c:cat>
            <c:strRef>
              <c:f>'Struktura CA i FA'!$G$8:$M$8</c:f>
              <c:strCache>
                <c:ptCount val="7"/>
                <c:pt idx="0">
                  <c:v>2019</c:v>
                </c:pt>
                <c:pt idx="1">
                  <c:v>2020</c:v>
                </c:pt>
                <c:pt idx="2">
                  <c:v>2021</c:v>
                </c:pt>
                <c:pt idx="3">
                  <c:v>2022*</c:v>
                </c:pt>
                <c:pt idx="4">
                  <c:v>2023</c:v>
                </c:pt>
                <c:pt idx="5">
                  <c:v>2024</c:v>
                </c:pt>
                <c:pt idx="6">
                  <c:v>2025</c:v>
                </c:pt>
              </c:strCache>
            </c:strRef>
          </c:cat>
          <c:val>
            <c:numRef>
              <c:f>'Struktura CA i FA'!$G$13:$M$13</c:f>
              <c:numCache>
                <c:formatCode>0.0</c:formatCode>
                <c:ptCount val="7"/>
                <c:pt idx="0">
                  <c:v>8.5473967706053919</c:v>
                </c:pt>
                <c:pt idx="1">
                  <c:v>7.6819562235897347</c:v>
                </c:pt>
                <c:pt idx="2">
                  <c:v>7.8844471682191317</c:v>
                </c:pt>
                <c:pt idx="3">
                  <c:v>7.6094313293066564</c:v>
                </c:pt>
                <c:pt idx="4">
                  <c:v>7.5555835413062944</c:v>
                </c:pt>
                <c:pt idx="5">
                  <c:v>7.2190205309638085</c:v>
                </c:pt>
                <c:pt idx="6">
                  <c:v>6.9979704675431815</c:v>
                </c:pt>
              </c:numCache>
            </c:numRef>
          </c:val>
          <c:extLst>
            <c:ext xmlns:c16="http://schemas.microsoft.com/office/drawing/2014/chart" uri="{C3380CC4-5D6E-409C-BE32-E72D297353CC}">
              <c16:uniqueId val="{00000003-9850-45A6-A5C7-1F2706F4421F}"/>
            </c:ext>
          </c:extLst>
        </c:ser>
        <c:dLbls>
          <c:showLegendKey val="0"/>
          <c:showVal val="0"/>
          <c:showCatName val="0"/>
          <c:showSerName val="0"/>
          <c:showPercent val="0"/>
          <c:showBubbleSize val="0"/>
        </c:dLbls>
        <c:gapWidth val="50"/>
        <c:overlap val="100"/>
        <c:axId val="1763590384"/>
        <c:axId val="1763611056"/>
      </c:barChart>
      <c:lineChart>
        <c:grouping val="standard"/>
        <c:varyColors val="0"/>
        <c:ser>
          <c:idx val="4"/>
          <c:order val="0"/>
          <c:tx>
            <c:strRef>
              <c:f>'Struktura CA i FA'!$B$9</c:f>
              <c:strCache>
                <c:ptCount val="1"/>
                <c:pt idx="0">
                  <c:v>Дефицит текућег рачуна</c:v>
                </c:pt>
              </c:strCache>
            </c:strRef>
          </c:tx>
          <c:spPr>
            <a:ln w="28575" cap="rnd">
              <a:solidFill>
                <a:srgbClr val="FF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mn-cs"/>
                  </a:defRPr>
                </a:pPr>
                <a:endParaRPr lang="sr-Latn-R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'Struktura CA i FA'!$G$8:$M$8</c:f>
              <c:strCache>
                <c:ptCount val="7"/>
                <c:pt idx="0">
                  <c:v>2019</c:v>
                </c:pt>
                <c:pt idx="1">
                  <c:v>2020</c:v>
                </c:pt>
                <c:pt idx="2">
                  <c:v>2021</c:v>
                </c:pt>
                <c:pt idx="3">
                  <c:v>2022*</c:v>
                </c:pt>
                <c:pt idx="4">
                  <c:v>2023</c:v>
                </c:pt>
                <c:pt idx="5">
                  <c:v>2024</c:v>
                </c:pt>
                <c:pt idx="6">
                  <c:v>2025</c:v>
                </c:pt>
              </c:strCache>
            </c:strRef>
          </c:cat>
          <c:val>
            <c:numRef>
              <c:f>'Struktura CA i FA'!$G$9:$M$9</c:f>
              <c:numCache>
                <c:formatCode>0.0</c:formatCode>
                <c:ptCount val="7"/>
                <c:pt idx="0">
                  <c:v>-6.8759515109891467</c:v>
                </c:pt>
                <c:pt idx="1">
                  <c:v>-4.1216178907615086</c:v>
                </c:pt>
                <c:pt idx="2">
                  <c:v>-4.3945192402970399</c:v>
                </c:pt>
                <c:pt idx="3">
                  <c:v>-6.6710485420603192</c:v>
                </c:pt>
                <c:pt idx="4">
                  <c:v>-6.9391237963043171</c:v>
                </c:pt>
                <c:pt idx="5">
                  <c:v>-6.3792569181782275</c:v>
                </c:pt>
                <c:pt idx="6">
                  <c:v>-5.9825786742133813</c:v>
                </c:pt>
              </c:numCache>
            </c:numRef>
          </c:val>
          <c:smooth val="0"/>
          <c:extLst>
            <c:ext xmlns:c16="http://schemas.microsoft.com/office/drawing/2014/chart" uri="{C3380CC4-5D6E-409C-BE32-E72D297353CC}">
              <c16:uniqueId val="{00000004-9850-45A6-A5C7-1F2706F4421F}"/>
            </c:ext>
          </c:extLst>
        </c:ser>
        <c:dLbls>
          <c:showLegendKey val="0"/>
          <c:showVal val="0"/>
          <c:showCatName val="0"/>
          <c:showSerName val="0"/>
          <c:showPercent val="0"/>
          <c:showBubbleSize val="0"/>
        </c:dLbls>
        <c:marker val="1"/>
        <c:smooth val="0"/>
        <c:axId val="1763590384"/>
        <c:axId val="1763611056"/>
      </c:lineChart>
      <c:catAx>
        <c:axId val="1763590384"/>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bg1"/>
                </a:solidFill>
                <a:latin typeface="+mn-lt"/>
                <a:ea typeface="+mn-ea"/>
                <a:cs typeface="+mn-cs"/>
              </a:defRPr>
            </a:pPr>
            <a:endParaRPr lang="sr-Latn-RS"/>
          </a:p>
        </c:txPr>
        <c:crossAx val="1763611056"/>
        <c:crosses val="autoZero"/>
        <c:auto val="1"/>
        <c:lblAlgn val="ctr"/>
        <c:lblOffset val="100"/>
        <c:noMultiLvlLbl val="0"/>
      </c:catAx>
      <c:valAx>
        <c:axId val="1763611056"/>
        <c:scaling>
          <c:orientation val="minMax"/>
          <c:max val="15"/>
          <c:min val="-2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763590384"/>
        <c:crosses val="autoZero"/>
        <c:crossBetween val="between"/>
        <c:majorUnit val="5"/>
      </c:valAx>
      <c:spPr>
        <a:noFill/>
        <a:ln>
          <a:noFill/>
        </a:ln>
        <a:effectLst/>
      </c:spPr>
    </c:plotArea>
    <c:legend>
      <c:legendPos val="b"/>
      <c:layout>
        <c:manualLayout>
          <c:xMode val="edge"/>
          <c:yMode val="edge"/>
          <c:x val="1.14209682123068E-3"/>
          <c:y val="0.85112691558716447"/>
          <c:w val="0.99885790317876932"/>
          <c:h val="0.1488730844128355"/>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590421037E-2"/>
          <c:y val="0.11348336551369499"/>
          <c:w val="0.91418918918918923"/>
          <c:h val="0.73303303303303291"/>
        </c:manualLayout>
      </c:layout>
      <c:barChart>
        <c:barDir val="col"/>
        <c:grouping val="clustered"/>
        <c:varyColors val="0"/>
        <c:ser>
          <c:idx val="0"/>
          <c:order val="0"/>
          <c:tx>
            <c:strRef>
              <c:f>'Osn. makroekon. agregati'!$B$5</c:f>
              <c:strCache>
                <c:ptCount val="1"/>
                <c:pt idx="0">
                  <c:v>Реални раст БДП, %</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A566-4EFB-877A-7C7100A67D9B}"/>
              </c:ext>
            </c:extLst>
          </c:dPt>
          <c:dPt>
            <c:idx val="1"/>
            <c:invertIfNegative val="0"/>
            <c:bubble3D val="0"/>
            <c:spPr>
              <a:solidFill>
                <a:srgbClr val="ED1C24"/>
              </a:solidFill>
              <a:ln>
                <a:noFill/>
              </a:ln>
              <a:effectLst/>
            </c:spPr>
            <c:extLst>
              <c:ext xmlns:c16="http://schemas.microsoft.com/office/drawing/2014/chart" uri="{C3380CC4-5D6E-409C-BE32-E72D297353CC}">
                <c16:uniqueId val="{00000003-A566-4EFB-877A-7C7100A67D9B}"/>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66-4EFB-877A-7C7100A67D9B}"/>
                </c:ext>
              </c:extLst>
            </c:dLbl>
            <c:dLbl>
              <c:idx val="1"/>
              <c:layout>
                <c:manualLayout>
                  <c:x val="-8.7398890260461573E-17"/>
                  <c:y val="0"/>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66-4EFB-877A-7C7100A67D9B}"/>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sr-Latn-R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agregati'!$E$5,'Osn. makroekon. agregati'!$F$5)</c:f>
              <c:numCache>
                <c:formatCode>0.0</c:formatCode>
                <c:ptCount val="2"/>
                <c:pt idx="0">
                  <c:v>5</c:v>
                </c:pt>
                <c:pt idx="1">
                  <c:v>4</c:v>
                </c:pt>
              </c:numCache>
            </c:numRef>
          </c:val>
          <c:extLst>
            <c:ext xmlns:c16="http://schemas.microsoft.com/office/drawing/2014/chart" uri="{C3380CC4-5D6E-409C-BE32-E72D297353CC}">
              <c16:uniqueId val="{00000004-A566-4EFB-877A-7C7100A67D9B}"/>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GB" b="1"/>
                  <a:t>202</a:t>
                </a:r>
                <a:r>
                  <a:rPr lang="sr-Cyrl-RS" b="1"/>
                  <a:t>3</a:t>
                </a:r>
                <a:endParaRPr lang="en-GB" b="1"/>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sr-Latn-R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53440"/>
        <c:crossesAt val="0"/>
        <c:auto val="1"/>
        <c:lblAlgn val="ctr"/>
        <c:lblOffset val="100"/>
        <c:noMultiLvlLbl val="0"/>
      </c:catAx>
      <c:valAx>
        <c:axId val="1768853440"/>
        <c:scaling>
          <c:orientation val="minMax"/>
          <c:max val="6"/>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sr-Latn-RS"/>
    </a:p>
  </c:txPr>
  <c:externalData r:id="rId4">
    <c:autoUpdate val="0"/>
  </c:externalData>
  <c:userShapes r:id="rId5"/>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7937445319335081E-2"/>
          <c:y val="5.0925925925925923E-2"/>
          <c:w val="0.92150699912510936"/>
          <c:h val="0.70304067460317465"/>
        </c:manualLayout>
      </c:layout>
      <c:barChart>
        <c:barDir val="col"/>
        <c:grouping val="clustered"/>
        <c:varyColors val="0"/>
        <c:ser>
          <c:idx val="0"/>
          <c:order val="0"/>
          <c:tx>
            <c:strRef>
              <c:f>'Def. tek. racuna i SDI'!$B$8</c:f>
              <c:strCache>
                <c:ptCount val="1"/>
                <c:pt idx="0">
                  <c:v>Дефицит текућег рачуна, % БДП</c:v>
                </c:pt>
              </c:strCache>
            </c:strRef>
          </c:tx>
          <c:spPr>
            <a:solidFill>
              <a:srgbClr val="29489A"/>
            </a:solidFill>
            <a:ln>
              <a:noFill/>
            </a:ln>
            <a:effectLst/>
          </c:spPr>
          <c:invertIfNegative val="0"/>
          <c:cat>
            <c:numRef>
              <c:f>'Def. tek. racuna i SDI'!$F$7:$M$7</c:f>
              <c:numCache>
                <c:formatCode>General</c:formatCode>
                <c:ptCount val="8"/>
                <c:pt idx="0">
                  <c:v>2018</c:v>
                </c:pt>
                <c:pt idx="1">
                  <c:v>2019</c:v>
                </c:pt>
                <c:pt idx="2">
                  <c:v>2020</c:v>
                </c:pt>
                <c:pt idx="3">
                  <c:v>2021</c:v>
                </c:pt>
                <c:pt idx="4">
                  <c:v>2022</c:v>
                </c:pt>
                <c:pt idx="5">
                  <c:v>2023</c:v>
                </c:pt>
                <c:pt idx="6">
                  <c:v>2024</c:v>
                </c:pt>
                <c:pt idx="7">
                  <c:v>2025</c:v>
                </c:pt>
              </c:numCache>
            </c:numRef>
          </c:cat>
          <c:val>
            <c:numRef>
              <c:f>'Def. tek. racuna i SDI'!$F$8:$M$8</c:f>
              <c:numCache>
                <c:formatCode>0.0</c:formatCode>
                <c:ptCount val="8"/>
                <c:pt idx="0">
                  <c:v>4.8403457796066034</c:v>
                </c:pt>
                <c:pt idx="1">
                  <c:v>6.8759515109891467</c:v>
                </c:pt>
                <c:pt idx="2">
                  <c:v>4.1216178907615086</c:v>
                </c:pt>
                <c:pt idx="3">
                  <c:v>4.3945192402970399</c:v>
                </c:pt>
                <c:pt idx="4">
                  <c:v>6.6710485420603192</c:v>
                </c:pt>
                <c:pt idx="5">
                  <c:v>6.9391237963043171</c:v>
                </c:pt>
                <c:pt idx="6">
                  <c:v>6.3792569181782275</c:v>
                </c:pt>
                <c:pt idx="7">
                  <c:v>5.9825786742133813</c:v>
                </c:pt>
              </c:numCache>
            </c:numRef>
          </c:val>
          <c:extLst>
            <c:ext xmlns:c16="http://schemas.microsoft.com/office/drawing/2014/chart" uri="{C3380CC4-5D6E-409C-BE32-E72D297353CC}">
              <c16:uniqueId val="{00000000-8094-4DB2-A6E5-BB257511C82B}"/>
            </c:ext>
          </c:extLst>
        </c:ser>
        <c:ser>
          <c:idx val="1"/>
          <c:order val="1"/>
          <c:tx>
            <c:strRef>
              <c:f>'Def. tek. racuna i SDI'!$B$9</c:f>
              <c:strCache>
                <c:ptCount val="1"/>
                <c:pt idx="0">
                  <c:v>Стране директне инвестиције, нето, % БДП</c:v>
                </c:pt>
              </c:strCache>
            </c:strRef>
          </c:tx>
          <c:spPr>
            <a:solidFill>
              <a:srgbClr val="51BBE7"/>
            </a:solidFill>
            <a:ln>
              <a:noFill/>
            </a:ln>
            <a:effectLst/>
          </c:spPr>
          <c:invertIfNegative val="0"/>
          <c:cat>
            <c:numRef>
              <c:f>'Def. tek. racuna i SDI'!$F$7:$M$7</c:f>
              <c:numCache>
                <c:formatCode>General</c:formatCode>
                <c:ptCount val="8"/>
                <c:pt idx="0">
                  <c:v>2018</c:v>
                </c:pt>
                <c:pt idx="1">
                  <c:v>2019</c:v>
                </c:pt>
                <c:pt idx="2">
                  <c:v>2020</c:v>
                </c:pt>
                <c:pt idx="3">
                  <c:v>2021</c:v>
                </c:pt>
                <c:pt idx="4">
                  <c:v>2022</c:v>
                </c:pt>
                <c:pt idx="5">
                  <c:v>2023</c:v>
                </c:pt>
                <c:pt idx="6">
                  <c:v>2024</c:v>
                </c:pt>
                <c:pt idx="7">
                  <c:v>2025</c:v>
                </c:pt>
              </c:numCache>
            </c:numRef>
          </c:cat>
          <c:val>
            <c:numRef>
              <c:f>'Def. tek. racuna i SDI'!$F$9:$M$9</c:f>
              <c:numCache>
                <c:formatCode>0.0</c:formatCode>
                <c:ptCount val="8"/>
                <c:pt idx="0">
                  <c:v>7.3591834087842951</c:v>
                </c:pt>
                <c:pt idx="1">
                  <c:v>7.7247302461043192</c:v>
                </c:pt>
                <c:pt idx="2">
                  <c:v>6.2792878883054835</c:v>
                </c:pt>
                <c:pt idx="3">
                  <c:v>6.7996741998716734</c:v>
                </c:pt>
                <c:pt idx="4">
                  <c:v>4.7772214623449853</c:v>
                </c:pt>
                <c:pt idx="5">
                  <c:v>4.9000646397593117</c:v>
                </c:pt>
                <c:pt idx="6">
                  <c:v>5.3037701860142255</c:v>
                </c:pt>
                <c:pt idx="7">
                  <c:v>4.9397438594422445</c:v>
                </c:pt>
              </c:numCache>
            </c:numRef>
          </c:val>
          <c:extLst>
            <c:ext xmlns:c16="http://schemas.microsoft.com/office/drawing/2014/chart" uri="{C3380CC4-5D6E-409C-BE32-E72D297353CC}">
              <c16:uniqueId val="{00000001-8094-4DB2-A6E5-BB257511C82B}"/>
            </c:ext>
          </c:extLst>
        </c:ser>
        <c:dLbls>
          <c:showLegendKey val="0"/>
          <c:showVal val="0"/>
          <c:showCatName val="0"/>
          <c:showSerName val="0"/>
          <c:showPercent val="0"/>
          <c:showBubbleSize val="0"/>
        </c:dLbls>
        <c:gapWidth val="80"/>
        <c:overlap val="-11"/>
        <c:axId val="1839176496"/>
        <c:axId val="1839185744"/>
      </c:barChart>
      <c:catAx>
        <c:axId val="1839176496"/>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185744"/>
        <c:crosses val="autoZero"/>
        <c:auto val="1"/>
        <c:lblAlgn val="ctr"/>
        <c:lblOffset val="100"/>
        <c:noMultiLvlLbl val="0"/>
      </c:catAx>
      <c:valAx>
        <c:axId val="183918574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176496"/>
        <c:crosses val="autoZero"/>
        <c:crossBetween val="between"/>
      </c:valAx>
      <c:spPr>
        <a:noFill/>
        <a:ln>
          <a:noFill/>
        </a:ln>
        <a:effectLst/>
      </c:spPr>
    </c:plotArea>
    <c:legend>
      <c:legendPos val="b"/>
      <c:layout>
        <c:manualLayout>
          <c:xMode val="edge"/>
          <c:yMode val="edge"/>
          <c:x val="1.0742927967337418E-2"/>
          <c:y val="0.86493849206349194"/>
          <c:w val="0.97274511918886852"/>
          <c:h val="0.1224620951507275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userShapes r:id="rId5"/>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379192184310296"/>
          <c:y val="6.842061127661922E-2"/>
          <c:w val="0.83883275007290758"/>
          <c:h val="0.89994549266247381"/>
        </c:manualLayout>
      </c:layout>
      <c:barChart>
        <c:barDir val="col"/>
        <c:grouping val="clustered"/>
        <c:varyColors val="0"/>
        <c:ser>
          <c:idx val="0"/>
          <c:order val="0"/>
          <c:tx>
            <c:v>Фискални резултат</c:v>
          </c:tx>
          <c:spPr>
            <a:solidFill>
              <a:schemeClr val="accent1">
                <a:shade val="76000"/>
              </a:schemeClr>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600" b="1"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'Quaterly, Yearly'!$CI$7:$CP$8</c:f>
              <c:strCache>
                <c:ptCount val="8"/>
                <c:pt idx="0">
                  <c:v>2015</c:v>
                </c:pt>
                <c:pt idx="1">
                  <c:v>2016</c:v>
                </c:pt>
                <c:pt idx="2">
                  <c:v>2017</c:v>
                </c:pt>
                <c:pt idx="3">
                  <c:v>2018</c:v>
                </c:pt>
                <c:pt idx="4">
                  <c:v>2019</c:v>
                </c:pt>
                <c:pt idx="5">
                  <c:v>2020</c:v>
                </c:pt>
                <c:pt idx="6">
                  <c:v>2021</c:v>
                </c:pt>
                <c:pt idx="7">
                  <c:v>2022</c:v>
                </c:pt>
              </c:strCache>
            </c:strRef>
          </c:cat>
          <c:val>
            <c:numRef>
              <c:f>('Quaterly, Yearly'!$CI$78:$CO$78,'Quaterly, Yearly'!$CP$78)</c:f>
              <c:numCache>
                <c:formatCode>#,##0.00</c:formatCode>
                <c:ptCount val="8"/>
                <c:pt idx="0">
                  <c:v>-3.4561672728767112</c:v>
                </c:pt>
                <c:pt idx="1">
                  <c:v>-1.1926941660681765</c:v>
                </c:pt>
                <c:pt idx="2">
                  <c:v>1.0986349345465762</c:v>
                </c:pt>
                <c:pt idx="3">
                  <c:v>0.63523655395945411</c:v>
                </c:pt>
                <c:pt idx="4">
                  <c:v>-0.20497664525511922</c:v>
                </c:pt>
                <c:pt idx="5">
                  <c:v>-8.0474018723524452</c:v>
                </c:pt>
                <c:pt idx="6">
                  <c:v>-4.1378585860918609</c:v>
                </c:pt>
                <c:pt idx="7">
                  <c:v>-3</c:v>
                </c:pt>
              </c:numCache>
            </c:numRef>
          </c:val>
          <c:extLst>
            <c:ext xmlns:c16="http://schemas.microsoft.com/office/drawing/2014/chart" uri="{C3380CC4-5D6E-409C-BE32-E72D297353CC}">
              <c16:uniqueId val="{00000000-6DD3-4570-94CE-927215FBECBC}"/>
            </c:ext>
          </c:extLst>
        </c:ser>
        <c:ser>
          <c:idx val="1"/>
          <c:order val="1"/>
          <c:tx>
            <c:v>Примарни фискални резултат</c:v>
          </c:tx>
          <c:spPr>
            <a:solidFill>
              <a:schemeClr val="accent1">
                <a:tint val="77000"/>
              </a:schemeClr>
            </a:solidFill>
            <a:ln>
              <a:noFill/>
            </a:ln>
            <a:effectLst/>
          </c:spPr>
          <c:invertIfNegative val="0"/>
          <c:dLbls>
            <c:dLbl>
              <c:idx val="0"/>
              <c:layout>
                <c:manualLayout>
                  <c:x val="1.132097084431951E-2"/>
                  <c:y val="-2.72338077899149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DD3-4570-94CE-927215FBECBC}"/>
                </c:ext>
              </c:extLst>
            </c:dLbl>
            <c:dLbl>
              <c:idx val="1"/>
              <c:layout>
                <c:manualLayout>
                  <c:x val="-3.2073297015369011E-3"/>
                  <c:y val="-1.41424978807239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DD3-4570-94CE-927215FBECBC}"/>
                </c:ext>
              </c:extLst>
            </c:dLbl>
            <c:dLbl>
              <c:idx val="2"/>
              <c:layout>
                <c:manualLayout>
                  <c:x val="-2.4176209155354405E-3"/>
                  <c:y val="-6.65152027843574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DD3-4570-94CE-927215FBECBC}"/>
                </c:ext>
              </c:extLst>
            </c:dLbl>
            <c:dLbl>
              <c:idx val="3"/>
              <c:layout>
                <c:manualLayout>
                  <c:x val="2.6858041798127055E-3"/>
                  <c:y val="3.629473912566746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DD3-4570-94CE-927215FBECBC}"/>
                </c:ext>
              </c:extLst>
            </c:dLbl>
            <c:dLbl>
              <c:idx val="4"/>
              <c:layout>
                <c:manualLayout>
                  <c:x val="-3.9217883120591336E-3"/>
                  <c:y val="-1.08980896450816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DD3-4570-94CE-927215FBECBC}"/>
                </c:ext>
              </c:extLst>
            </c:dLbl>
            <c:dLbl>
              <c:idx val="5"/>
              <c:layout>
                <c:manualLayout>
                  <c:x val="1.8183368791494724E-3"/>
                  <c:y val="-1.34348449740702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DD3-4570-94CE-927215FBECBC}"/>
                </c:ext>
              </c:extLst>
            </c:dLbl>
            <c:dLbl>
              <c:idx val="6"/>
              <c:layout>
                <c:manualLayout>
                  <c:x val="1.3735038279346209E-2"/>
                  <c:y val="-1.31188348229063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DD3-4570-94CE-927215FBECBC}"/>
                </c:ext>
              </c:extLst>
            </c:dLbl>
            <c:dLbl>
              <c:idx val="7"/>
              <c:layout>
                <c:manualLayout>
                  <c:x val="1.9834639029877463E-2"/>
                  <c:y val="-8.470136246521816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DD3-4570-94CE-927215FBECBC}"/>
                </c:ext>
              </c:extLst>
            </c:dLbl>
            <c:dLbl>
              <c:idx val="8"/>
              <c:layout>
                <c:manualLayout>
                  <c:x val="-4.0694720170973364E-2"/>
                  <c:y val="-3.99560352002959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DD3-4570-94CE-927215FBECBC}"/>
                </c:ext>
              </c:extLst>
            </c:dLbl>
            <c:dLbl>
              <c:idx val="9"/>
              <c:layout>
                <c:manualLayout>
                  <c:x val="-4.7561598436538947E-2"/>
                  <c:y val="1.37998645169602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DD3-4570-94CE-927215FBECBC}"/>
                </c:ext>
              </c:extLst>
            </c:dLbl>
            <c:dLbl>
              <c:idx val="10"/>
              <c:layout>
                <c:manualLayout>
                  <c:x val="-3.1357910371513177E-2"/>
                  <c:y val="-1.50580624660600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DD3-4570-94CE-927215FBECBC}"/>
                </c:ext>
              </c:extLst>
            </c:dLbl>
            <c:dLbl>
              <c:idx val="11"/>
              <c:layout>
                <c:manualLayout>
                  <c:x val="-4.746385337205393E-2"/>
                  <c:y val="-2.50967707767667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DD3-4570-94CE-927215FBECBC}"/>
                </c:ext>
              </c:extLst>
            </c:dLbl>
            <c:numFmt formatCode="#,##0.0" sourceLinked="0"/>
            <c:spPr>
              <a:noFill/>
              <a:ln>
                <a:noFill/>
              </a:ln>
              <a:effectLst/>
            </c:spPr>
            <c:txPr>
              <a:bodyPr rot="0" spcFirstLastPara="1" vertOverflow="ellipsis" vert="horz" wrap="square" anchor="ctr" anchorCtr="1"/>
              <a:lstStyle/>
              <a:p>
                <a:pPr>
                  <a:defRPr sz="600" b="1"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'Quaterly, Yearly'!$CI$7:$CP$8</c:f>
              <c:strCache>
                <c:ptCount val="8"/>
                <c:pt idx="0">
                  <c:v>2015</c:v>
                </c:pt>
                <c:pt idx="1">
                  <c:v>2016</c:v>
                </c:pt>
                <c:pt idx="2">
                  <c:v>2017</c:v>
                </c:pt>
                <c:pt idx="3">
                  <c:v>2018</c:v>
                </c:pt>
                <c:pt idx="4">
                  <c:v>2019</c:v>
                </c:pt>
                <c:pt idx="5">
                  <c:v>2020</c:v>
                </c:pt>
                <c:pt idx="6">
                  <c:v>2021</c:v>
                </c:pt>
                <c:pt idx="7">
                  <c:v>2022</c:v>
                </c:pt>
              </c:strCache>
            </c:strRef>
          </c:cat>
          <c:val>
            <c:numRef>
              <c:f>('Quaterly, Yearly'!$CI$79:$CO$79,'Quaterly, Yearly'!$CP$79)</c:f>
              <c:numCache>
                <c:formatCode>#,##0.00</c:formatCode>
                <c:ptCount val="8"/>
                <c:pt idx="0">
                  <c:v>-0.47061316203530046</c:v>
                </c:pt>
                <c:pt idx="1">
                  <c:v>1.7045650732845505</c:v>
                </c:pt>
                <c:pt idx="2">
                  <c:v>3.634771068549187</c:v>
                </c:pt>
                <c:pt idx="3">
                  <c:v>2.7475533250713307</c:v>
                </c:pt>
                <c:pt idx="4">
                  <c:v>1.7916206652556272</c:v>
                </c:pt>
                <c:pt idx="5">
                  <c:v>-6.0455708124153222</c:v>
                </c:pt>
                <c:pt idx="6">
                  <c:v>-2.4047435363199292</c:v>
                </c:pt>
                <c:pt idx="7">
                  <c:v>-1.28</c:v>
                </c:pt>
              </c:numCache>
            </c:numRef>
          </c:val>
          <c:extLst>
            <c:ext xmlns:c16="http://schemas.microsoft.com/office/drawing/2014/chart" uri="{C3380CC4-5D6E-409C-BE32-E72D297353CC}">
              <c16:uniqueId val="{0000000D-6DD3-4570-94CE-927215FBECBC}"/>
            </c:ext>
          </c:extLst>
        </c:ser>
        <c:dLbls>
          <c:showLegendKey val="0"/>
          <c:showVal val="0"/>
          <c:showCatName val="0"/>
          <c:showSerName val="0"/>
          <c:showPercent val="0"/>
          <c:showBubbleSize val="0"/>
        </c:dLbls>
        <c:gapWidth val="150"/>
        <c:axId val="522006368"/>
        <c:axId val="522006928"/>
      </c:barChart>
      <c:catAx>
        <c:axId val="522006368"/>
        <c:scaling>
          <c:orientation val="minMax"/>
        </c:scaling>
        <c:delete val="0"/>
        <c:axPos val="b"/>
        <c:numFmt formatCode="General" sourceLinked="1"/>
        <c:majorTickMark val="out"/>
        <c:minorTickMark val="none"/>
        <c:tickLblPos val="high"/>
        <c:spPr>
          <a:noFill/>
          <a:ln w="12700" cap="flat" cmpd="sng" algn="ctr">
            <a:solidFill>
              <a:schemeClr val="tx1">
                <a:lumMod val="50000"/>
                <a:lumOff val="50000"/>
              </a:schemeClr>
            </a:solidFill>
            <a:prstDash val="sysDash"/>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crossAx val="522006928"/>
        <c:crosses val="autoZero"/>
        <c:auto val="1"/>
        <c:lblAlgn val="ctr"/>
        <c:lblOffset val="100"/>
        <c:noMultiLvlLbl val="0"/>
      </c:catAx>
      <c:valAx>
        <c:axId val="522006928"/>
        <c:scaling>
          <c:orientation val="minMax"/>
          <c:max val="5"/>
          <c:min val="-10"/>
        </c:scaling>
        <c:delete val="0"/>
        <c:axPos val="l"/>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sz="800">
                    <a:latin typeface="+mn-lt"/>
                  </a:rPr>
                  <a:t>% </a:t>
                </a:r>
                <a:r>
                  <a:rPr lang="sr-Cyrl-RS" sz="800">
                    <a:latin typeface="+mn-lt"/>
                  </a:rPr>
                  <a:t>БДП</a:t>
                </a:r>
                <a:endParaRPr lang="en-US" sz="800">
                  <a:latin typeface="+mn-lt"/>
                </a:endParaRPr>
              </a:p>
            </c:rich>
          </c:tx>
          <c:layout>
            <c:manualLayout>
              <c:xMode val="edge"/>
              <c:yMode val="edge"/>
              <c:x val="1.909631087780695E-2"/>
              <c:y val="0.40557475091732936"/>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crossAx val="522006368"/>
        <c:crosses val="autoZero"/>
        <c:crossBetween val="between"/>
      </c:valAx>
      <c:spPr>
        <a:noFill/>
        <a:ln>
          <a:noFill/>
        </a:ln>
        <a:effectLst/>
      </c:spPr>
    </c:plotArea>
    <c:legend>
      <c:legendPos val="b"/>
      <c:layout>
        <c:manualLayout>
          <c:xMode val="edge"/>
          <c:yMode val="edge"/>
          <c:x val="0.13473729785327859"/>
          <c:y val="0.79318357107626758"/>
          <c:w val="0.51810891150797223"/>
          <c:h val="0.11522053612514881"/>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noFill/>
    <a:ln w="9525" cap="flat" cmpd="sng" algn="ctr">
      <a:noFill/>
      <a:round/>
    </a:ln>
    <a:effectLst/>
  </c:spPr>
  <c:txPr>
    <a:bodyPr/>
    <a:lstStyle/>
    <a:p>
      <a:pPr>
        <a:defRPr>
          <a:latin typeface="Georgia" panose="02040502050405020303" pitchFamily="18" charset="0"/>
        </a:defRPr>
      </a:pPr>
      <a:endParaRPr lang="sr-Latn-RS"/>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900" b="0" i="0" u="none" strike="noStrike" kern="1200" spc="0" baseline="0">
                <a:solidFill>
                  <a:srgbClr val="002060"/>
                </a:solidFill>
                <a:latin typeface="+mn-lt"/>
                <a:ea typeface="+mn-ea"/>
                <a:cs typeface="+mn-cs"/>
              </a:defRPr>
            </a:pPr>
            <a:r>
              <a:rPr lang="en-US" sz="900" b="1" i="0" u="none" strike="noStrike" kern="1200" spc="0" baseline="0">
                <a:solidFill>
                  <a:srgbClr val="002060"/>
                </a:solidFill>
                <a:latin typeface="+mj-lt"/>
                <a:ea typeface="+mn-ea"/>
                <a:cs typeface="+mn-cs"/>
              </a:rPr>
              <a:t>S0 </a:t>
            </a:r>
            <a:r>
              <a:rPr lang="sr-Cyrl-RS" sz="900" b="1" i="0" u="none" strike="noStrike" kern="1200" spc="0" baseline="0">
                <a:solidFill>
                  <a:srgbClr val="002060"/>
                </a:solidFill>
                <a:latin typeface="+mj-lt"/>
                <a:ea typeface="+mn-ea"/>
                <a:cs typeface="+mn-cs"/>
              </a:rPr>
              <a:t>индикатор са фискалним подиндексом и подиндексом макро-финансијске конкурентности за Србију за </a:t>
            </a:r>
            <a:endParaRPr lang="en-GB" sz="900" b="1" i="0" u="none" strike="noStrike" kern="1200" spc="0" baseline="0">
              <a:solidFill>
                <a:srgbClr val="002060"/>
              </a:solidFill>
              <a:latin typeface="+mj-lt"/>
              <a:ea typeface="+mn-ea"/>
              <a:cs typeface="+mn-cs"/>
            </a:endParaRPr>
          </a:p>
          <a:p>
            <a:pPr algn="ctr" rtl="0">
              <a:defRPr sz="900" b="0" i="0" u="none" strike="noStrike" kern="1200" spc="0" baseline="0">
                <a:solidFill>
                  <a:srgbClr val="002060"/>
                </a:solidFill>
                <a:latin typeface="+mn-lt"/>
                <a:ea typeface="+mn-ea"/>
                <a:cs typeface="+mn-cs"/>
              </a:defRPr>
            </a:pPr>
            <a:r>
              <a:rPr lang="sr-Cyrl-RS" sz="900" b="1" i="0" u="none" strike="noStrike" kern="1200" spc="0" baseline="0">
                <a:solidFill>
                  <a:srgbClr val="002060"/>
                </a:solidFill>
                <a:latin typeface="+mj-lt"/>
                <a:ea typeface="+mn-ea"/>
                <a:cs typeface="+mn-cs"/>
              </a:rPr>
              <a:t>период 2015</a:t>
            </a:r>
            <a:r>
              <a:rPr lang="en-GB" sz="900" b="1" i="0" u="none" strike="noStrike" kern="1200" spc="0" baseline="0">
                <a:solidFill>
                  <a:srgbClr val="002060"/>
                </a:solidFill>
                <a:latin typeface="+mj-lt"/>
                <a:ea typeface="+mn-ea"/>
                <a:cs typeface="+mn-cs"/>
              </a:rPr>
              <a:t>–</a:t>
            </a:r>
            <a:r>
              <a:rPr lang="sr-Cyrl-RS" sz="900" b="1" i="0" u="none" strike="noStrike" kern="1200" spc="0" baseline="0">
                <a:solidFill>
                  <a:srgbClr val="002060"/>
                </a:solidFill>
                <a:latin typeface="+mj-lt"/>
                <a:ea typeface="+mn-ea"/>
                <a:cs typeface="+mn-cs"/>
              </a:rPr>
              <a:t>20</a:t>
            </a:r>
            <a:r>
              <a:rPr lang="sr-Latn-RS" sz="900" b="1" i="0" u="none" strike="noStrike" kern="1200" spc="0" baseline="0">
                <a:solidFill>
                  <a:srgbClr val="002060"/>
                </a:solidFill>
                <a:latin typeface="+mj-lt"/>
                <a:ea typeface="+mn-ea"/>
                <a:cs typeface="+mn-cs"/>
              </a:rPr>
              <a:t>2</a:t>
            </a:r>
            <a:r>
              <a:rPr lang="sr-Cyrl-RS" sz="900" b="1" i="0" u="none" strike="noStrike" kern="1200" spc="0" baseline="0">
                <a:solidFill>
                  <a:srgbClr val="002060"/>
                </a:solidFill>
                <a:latin typeface="+mj-lt"/>
                <a:ea typeface="+mn-ea"/>
                <a:cs typeface="+mn-cs"/>
              </a:rPr>
              <a:t>1. године </a:t>
            </a:r>
            <a:endParaRPr lang="en-US" sz="900" b="1" i="0" u="none" strike="noStrike" kern="1200" spc="0" baseline="0">
              <a:solidFill>
                <a:srgbClr val="002060"/>
              </a:solidFill>
              <a:latin typeface="+mj-lt"/>
              <a:ea typeface="+mn-ea"/>
              <a:cs typeface="+mn-cs"/>
            </a:endParaRPr>
          </a:p>
        </c:rich>
      </c:tx>
      <c:layout>
        <c:manualLayout>
          <c:xMode val="edge"/>
          <c:yMode val="edge"/>
          <c:x val="0.14637315496853215"/>
          <c:y val="2.5903028106141462E-3"/>
        </c:manualLayout>
      </c:layout>
      <c:overlay val="0"/>
      <c:spPr>
        <a:noFill/>
        <a:ln>
          <a:noFill/>
        </a:ln>
        <a:effectLst/>
      </c:spPr>
      <c:txPr>
        <a:bodyPr rot="0" spcFirstLastPara="1" vertOverflow="ellipsis" vert="horz" wrap="square" anchor="ctr" anchorCtr="1"/>
        <a:lstStyle/>
        <a:p>
          <a:pPr algn="ctr" rtl="0">
            <a:defRPr sz="900" b="0" i="0" u="none" strike="noStrike" kern="1200" spc="0" baseline="0">
              <a:solidFill>
                <a:srgbClr val="002060"/>
              </a:solidFill>
              <a:latin typeface="+mn-lt"/>
              <a:ea typeface="+mn-ea"/>
              <a:cs typeface="+mn-cs"/>
            </a:defRPr>
          </a:pPr>
          <a:endParaRPr lang="sr-Latn-RS"/>
        </a:p>
      </c:txPr>
    </c:title>
    <c:autoTitleDeleted val="0"/>
    <c:plotArea>
      <c:layout>
        <c:manualLayout>
          <c:layoutTarget val="inner"/>
          <c:xMode val="edge"/>
          <c:yMode val="edge"/>
          <c:x val="6.3415222230767468E-2"/>
          <c:y val="8.6538461538461536E-2"/>
          <c:w val="0.89818784226795878"/>
          <c:h val="0.56116520290732885"/>
        </c:manualLayout>
      </c:layout>
      <c:barChart>
        <c:barDir val="col"/>
        <c:grouping val="clustered"/>
        <c:varyColors val="0"/>
        <c:ser>
          <c:idx val="0"/>
          <c:order val="0"/>
          <c:tx>
            <c:strRef>
              <c:f>'S0 EU Serbia'!$AG$39</c:f>
              <c:strCache>
                <c:ptCount val="1"/>
                <c:pt idx="0">
                  <c:v>Фискални подиндекс</c:v>
                </c:pt>
              </c:strCache>
            </c:strRef>
          </c:tx>
          <c:spPr>
            <a:solidFill>
              <a:srgbClr val="7030A0"/>
            </a:solidFill>
            <a:ln w="9525">
              <a:noFill/>
            </a:ln>
            <a:effectLst/>
          </c:spPr>
          <c:invertIfNegative val="0"/>
          <c:cat>
            <c:numRef>
              <c:f>'S0 EU Serbia'!$AF$41:$AF$49</c:f>
              <c:numCache>
                <c:formatCode>General</c:formatCode>
                <c:ptCount val="8"/>
                <c:pt idx="1">
                  <c:v>2015</c:v>
                </c:pt>
                <c:pt idx="2">
                  <c:v>2016</c:v>
                </c:pt>
                <c:pt idx="3">
                  <c:v>2017</c:v>
                </c:pt>
                <c:pt idx="4">
                  <c:v>2018</c:v>
                </c:pt>
                <c:pt idx="5">
                  <c:v>2019</c:v>
                </c:pt>
                <c:pt idx="6">
                  <c:v>2020</c:v>
                </c:pt>
                <c:pt idx="7">
                  <c:v>2021</c:v>
                </c:pt>
              </c:numCache>
            </c:numRef>
          </c:cat>
          <c:val>
            <c:numRef>
              <c:f>'S0 EU Serbia'!$AG$41:$AG$49</c:f>
              <c:numCache>
                <c:formatCode>0.00</c:formatCode>
                <c:ptCount val="8"/>
                <c:pt idx="1">
                  <c:v>0.40718562874251496</c:v>
                </c:pt>
                <c:pt idx="2">
                  <c:v>0.19161676646706588</c:v>
                </c:pt>
                <c:pt idx="3">
                  <c:v>0</c:v>
                </c:pt>
                <c:pt idx="4">
                  <c:v>0</c:v>
                </c:pt>
                <c:pt idx="5">
                  <c:v>0</c:v>
                </c:pt>
                <c:pt idx="6">
                  <c:v>0.47904191616766456</c:v>
                </c:pt>
                <c:pt idx="7">
                  <c:v>0.21560000000000001</c:v>
                </c:pt>
              </c:numCache>
            </c:numRef>
          </c:val>
          <c:extLst>
            <c:ext xmlns:c16="http://schemas.microsoft.com/office/drawing/2014/chart" uri="{C3380CC4-5D6E-409C-BE32-E72D297353CC}">
              <c16:uniqueId val="{00000000-3E29-4DEB-AE4B-68E2E3AFD2C0}"/>
            </c:ext>
          </c:extLst>
        </c:ser>
        <c:ser>
          <c:idx val="1"/>
          <c:order val="1"/>
          <c:tx>
            <c:strRef>
              <c:f>'S0 EU Serbia'!$AH$39</c:f>
              <c:strCache>
                <c:ptCount val="1"/>
                <c:pt idx="0">
                  <c:v>Подиндекс макро-финансијске конкурентности</c:v>
                </c:pt>
              </c:strCache>
            </c:strRef>
          </c:tx>
          <c:spPr>
            <a:solidFill>
              <a:srgbClr val="5297AC"/>
            </a:solidFill>
            <a:ln w="9525">
              <a:noFill/>
            </a:ln>
            <a:effectLst/>
          </c:spPr>
          <c:invertIfNegative val="0"/>
          <c:cat>
            <c:numRef>
              <c:f>'S0 EU Serbia'!$AF$41:$AF$49</c:f>
              <c:numCache>
                <c:formatCode>General</c:formatCode>
                <c:ptCount val="8"/>
                <c:pt idx="1">
                  <c:v>2015</c:v>
                </c:pt>
                <c:pt idx="2">
                  <c:v>2016</c:v>
                </c:pt>
                <c:pt idx="3">
                  <c:v>2017</c:v>
                </c:pt>
                <c:pt idx="4">
                  <c:v>2018</c:v>
                </c:pt>
                <c:pt idx="5">
                  <c:v>2019</c:v>
                </c:pt>
                <c:pt idx="6">
                  <c:v>2020</c:v>
                </c:pt>
                <c:pt idx="7">
                  <c:v>2021</c:v>
                </c:pt>
              </c:numCache>
            </c:numRef>
          </c:cat>
          <c:val>
            <c:numRef>
              <c:f>'S0 EU Serbia'!$AH$41:$AH$49</c:f>
              <c:numCache>
                <c:formatCode>0.00</c:formatCode>
                <c:ptCount val="8"/>
                <c:pt idx="1">
                  <c:v>0.27243589743589747</c:v>
                </c:pt>
                <c:pt idx="2">
                  <c:v>0.27243589743589747</c:v>
                </c:pt>
                <c:pt idx="3">
                  <c:v>0.27243589743589747</c:v>
                </c:pt>
                <c:pt idx="4">
                  <c:v>0.27243589743589747</c:v>
                </c:pt>
                <c:pt idx="5">
                  <c:v>0.27243589743589747</c:v>
                </c:pt>
                <c:pt idx="6">
                  <c:v>0.42307692307692302</c:v>
                </c:pt>
                <c:pt idx="7">
                  <c:v>0.27239999999999998</c:v>
                </c:pt>
              </c:numCache>
            </c:numRef>
          </c:val>
          <c:extLst>
            <c:ext xmlns:c16="http://schemas.microsoft.com/office/drawing/2014/chart" uri="{C3380CC4-5D6E-409C-BE32-E72D297353CC}">
              <c16:uniqueId val="{00000001-3E29-4DEB-AE4B-68E2E3AFD2C0}"/>
            </c:ext>
          </c:extLst>
        </c:ser>
        <c:dLbls>
          <c:showLegendKey val="0"/>
          <c:showVal val="0"/>
          <c:showCatName val="0"/>
          <c:showSerName val="0"/>
          <c:showPercent val="0"/>
          <c:showBubbleSize val="0"/>
        </c:dLbls>
        <c:gapWidth val="150"/>
        <c:axId val="-486944112"/>
        <c:axId val="-486944656"/>
      </c:barChart>
      <c:lineChart>
        <c:grouping val="standard"/>
        <c:varyColors val="0"/>
        <c:ser>
          <c:idx val="2"/>
          <c:order val="2"/>
          <c:tx>
            <c:strRef>
              <c:f>'S0 EU Serbia'!$AI$39</c:f>
              <c:strCache>
                <c:ptCount val="1"/>
                <c:pt idx="0">
                  <c:v>S0 индикатор</c:v>
                </c:pt>
              </c:strCache>
            </c:strRef>
          </c:tx>
          <c:spPr>
            <a:ln w="22225" cap="rnd">
              <a:noFill/>
              <a:prstDash val="solid"/>
              <a:round/>
            </a:ln>
            <a:effectLst/>
          </c:spPr>
          <c:marker>
            <c:symbol val="triangle"/>
            <c:size val="16"/>
            <c:spPr>
              <a:solidFill>
                <a:schemeClr val="tx1"/>
              </a:solidFill>
              <a:ln w="9525">
                <a:noFill/>
              </a:ln>
              <a:effectLst/>
            </c:spPr>
          </c:marker>
          <c:dPt>
            <c:idx val="0"/>
            <c:marker>
              <c:symbol val="triangle"/>
              <c:size val="16"/>
              <c:spPr>
                <a:solidFill>
                  <a:schemeClr val="tx1"/>
                </a:solidFill>
                <a:ln w="9525">
                  <a:noFill/>
                </a:ln>
                <a:effectLst/>
              </c:spPr>
            </c:marker>
            <c:bubble3D val="0"/>
            <c:spPr>
              <a:ln w="12700" cap="rnd">
                <a:noFill/>
                <a:prstDash val="solid"/>
                <a:round/>
              </a:ln>
              <a:effectLst/>
            </c:spPr>
            <c:extLst>
              <c:ext xmlns:c16="http://schemas.microsoft.com/office/drawing/2014/chart" uri="{C3380CC4-5D6E-409C-BE32-E72D297353CC}">
                <c16:uniqueId val="{00000003-3E29-4DEB-AE4B-68E2E3AFD2C0}"/>
              </c:ext>
            </c:extLst>
          </c:dPt>
          <c:dPt>
            <c:idx val="1"/>
            <c:marker>
              <c:symbol val="triangle"/>
              <c:size val="16"/>
              <c:spPr>
                <a:solidFill>
                  <a:schemeClr val="tx1"/>
                </a:solidFill>
                <a:ln w="9525">
                  <a:noFill/>
                </a:ln>
                <a:effectLst/>
              </c:spPr>
            </c:marker>
            <c:bubble3D val="0"/>
            <c:spPr>
              <a:ln w="12700" cap="rnd">
                <a:noFill/>
                <a:prstDash val="solid"/>
                <a:round/>
              </a:ln>
              <a:effectLst/>
            </c:spPr>
            <c:extLst>
              <c:ext xmlns:c16="http://schemas.microsoft.com/office/drawing/2014/chart" uri="{C3380CC4-5D6E-409C-BE32-E72D297353CC}">
                <c16:uniqueId val="{00000005-3E29-4DEB-AE4B-68E2E3AFD2C0}"/>
              </c:ext>
            </c:extLst>
          </c:dPt>
          <c:dPt>
            <c:idx val="2"/>
            <c:marker>
              <c:symbol val="triangle"/>
              <c:size val="16"/>
              <c:spPr>
                <a:solidFill>
                  <a:schemeClr val="tx1"/>
                </a:solidFill>
                <a:ln w="9525">
                  <a:noFill/>
                </a:ln>
                <a:effectLst/>
              </c:spPr>
            </c:marker>
            <c:bubble3D val="0"/>
            <c:spPr>
              <a:ln w="12700" cap="rnd">
                <a:noFill/>
                <a:prstDash val="solid"/>
                <a:round/>
              </a:ln>
              <a:effectLst/>
            </c:spPr>
            <c:extLst>
              <c:ext xmlns:c16="http://schemas.microsoft.com/office/drawing/2014/chart" uri="{C3380CC4-5D6E-409C-BE32-E72D297353CC}">
                <c16:uniqueId val="{00000007-3E29-4DEB-AE4B-68E2E3AFD2C0}"/>
              </c:ext>
            </c:extLst>
          </c:dPt>
          <c:cat>
            <c:numRef>
              <c:f>'S0 EU Serbia'!$AF$41:$AF$49</c:f>
              <c:numCache>
                <c:formatCode>General</c:formatCode>
                <c:ptCount val="8"/>
                <c:pt idx="1">
                  <c:v>2015</c:v>
                </c:pt>
                <c:pt idx="2">
                  <c:v>2016</c:v>
                </c:pt>
                <c:pt idx="3">
                  <c:v>2017</c:v>
                </c:pt>
                <c:pt idx="4">
                  <c:v>2018</c:v>
                </c:pt>
                <c:pt idx="5">
                  <c:v>2019</c:v>
                </c:pt>
                <c:pt idx="6">
                  <c:v>2020</c:v>
                </c:pt>
                <c:pt idx="7">
                  <c:v>2021</c:v>
                </c:pt>
              </c:numCache>
            </c:numRef>
          </c:cat>
          <c:val>
            <c:numRef>
              <c:f>'S0 EU Serbia'!$AI$41:$AI$49</c:f>
              <c:numCache>
                <c:formatCode>0.00</c:formatCode>
                <c:ptCount val="8"/>
                <c:pt idx="1">
                  <c:v>0.31941544885177453</c:v>
                </c:pt>
                <c:pt idx="2">
                  <c:v>0.24425887265135704</c:v>
                </c:pt>
                <c:pt idx="3">
                  <c:v>0.17745302713987476</c:v>
                </c:pt>
                <c:pt idx="4">
                  <c:v>0.17745302713987476</c:v>
                </c:pt>
                <c:pt idx="5">
                  <c:v>0.17745302713987476</c:v>
                </c:pt>
                <c:pt idx="6">
                  <c:v>0.4425887265135699</c:v>
                </c:pt>
                <c:pt idx="7">
                  <c:v>0.25259999999999999</c:v>
                </c:pt>
              </c:numCache>
            </c:numRef>
          </c:val>
          <c:smooth val="0"/>
          <c:extLst>
            <c:ext xmlns:c16="http://schemas.microsoft.com/office/drawing/2014/chart" uri="{C3380CC4-5D6E-409C-BE32-E72D297353CC}">
              <c16:uniqueId val="{00000008-3E29-4DEB-AE4B-68E2E3AFD2C0}"/>
            </c:ext>
          </c:extLst>
        </c:ser>
        <c:ser>
          <c:idx val="3"/>
          <c:order val="3"/>
          <c:tx>
            <c:strRef>
              <c:f>'S0 EU Serbia'!$AJ$39</c:f>
              <c:strCache>
                <c:ptCount val="1"/>
                <c:pt idx="0">
                  <c:v>Праг фискалног подиндекса</c:v>
                </c:pt>
              </c:strCache>
            </c:strRef>
          </c:tx>
          <c:spPr>
            <a:ln w="22225" cap="rnd">
              <a:solidFill>
                <a:srgbClr val="7030A0"/>
              </a:solidFill>
              <a:prstDash val="dash"/>
              <a:round/>
            </a:ln>
            <a:effectLst/>
          </c:spPr>
          <c:marker>
            <c:symbol val="none"/>
          </c:marker>
          <c:cat>
            <c:numRef>
              <c:f>'S0 EU Serbia'!$AF$41:$AF$49</c:f>
              <c:numCache>
                <c:formatCode>General</c:formatCode>
                <c:ptCount val="8"/>
                <c:pt idx="1">
                  <c:v>2015</c:v>
                </c:pt>
                <c:pt idx="2">
                  <c:v>2016</c:v>
                </c:pt>
                <c:pt idx="3">
                  <c:v>2017</c:v>
                </c:pt>
                <c:pt idx="4">
                  <c:v>2018</c:v>
                </c:pt>
                <c:pt idx="5">
                  <c:v>2019</c:v>
                </c:pt>
                <c:pt idx="6">
                  <c:v>2020</c:v>
                </c:pt>
                <c:pt idx="7">
                  <c:v>2021</c:v>
                </c:pt>
              </c:numCache>
            </c:numRef>
          </c:cat>
          <c:val>
            <c:numRef>
              <c:f>('S0 EU Serbia'!$AJ$41:$AJ$48,'S0 EU Serbia'!$AJ$49)</c:f>
              <c:numCache>
                <c:formatCode>General</c:formatCode>
                <c:ptCount val="8"/>
                <c:pt idx="0">
                  <c:v>0.36</c:v>
                </c:pt>
                <c:pt idx="1">
                  <c:v>0.36</c:v>
                </c:pt>
                <c:pt idx="2">
                  <c:v>0.36</c:v>
                </c:pt>
                <c:pt idx="3">
                  <c:v>0.36</c:v>
                </c:pt>
                <c:pt idx="4">
                  <c:v>0.36</c:v>
                </c:pt>
                <c:pt idx="5">
                  <c:v>0.36</c:v>
                </c:pt>
                <c:pt idx="6">
                  <c:v>0.36</c:v>
                </c:pt>
                <c:pt idx="7">
                  <c:v>0.36</c:v>
                </c:pt>
              </c:numCache>
            </c:numRef>
          </c:val>
          <c:smooth val="0"/>
          <c:extLst>
            <c:ext xmlns:c16="http://schemas.microsoft.com/office/drawing/2014/chart" uri="{C3380CC4-5D6E-409C-BE32-E72D297353CC}">
              <c16:uniqueId val="{00000009-3E29-4DEB-AE4B-68E2E3AFD2C0}"/>
            </c:ext>
          </c:extLst>
        </c:ser>
        <c:ser>
          <c:idx val="4"/>
          <c:order val="4"/>
          <c:tx>
            <c:strRef>
              <c:f>'S0 EU Serbia'!$AK$39</c:f>
              <c:strCache>
                <c:ptCount val="1"/>
                <c:pt idx="0">
                  <c:v>Праг финансијског подиндекса</c:v>
                </c:pt>
              </c:strCache>
            </c:strRef>
          </c:tx>
          <c:spPr>
            <a:ln w="22225" cap="rnd">
              <a:solidFill>
                <a:srgbClr val="5297AC"/>
              </a:solidFill>
              <a:prstDash val="dash"/>
              <a:round/>
            </a:ln>
            <a:effectLst/>
          </c:spPr>
          <c:marker>
            <c:symbol val="none"/>
          </c:marker>
          <c:cat>
            <c:numRef>
              <c:f>'S0 EU Serbia'!$AF$41:$AF$49</c:f>
              <c:numCache>
                <c:formatCode>General</c:formatCode>
                <c:ptCount val="8"/>
                <c:pt idx="1">
                  <c:v>2015</c:v>
                </c:pt>
                <c:pt idx="2">
                  <c:v>2016</c:v>
                </c:pt>
                <c:pt idx="3">
                  <c:v>2017</c:v>
                </c:pt>
                <c:pt idx="4">
                  <c:v>2018</c:v>
                </c:pt>
                <c:pt idx="5">
                  <c:v>2019</c:v>
                </c:pt>
                <c:pt idx="6">
                  <c:v>2020</c:v>
                </c:pt>
                <c:pt idx="7">
                  <c:v>2021</c:v>
                </c:pt>
              </c:numCache>
            </c:numRef>
          </c:cat>
          <c:val>
            <c:numRef>
              <c:f>('S0 EU Serbia'!$AK$41:$AK$48,'S0 EU Serbia'!$AK$49)</c:f>
              <c:numCache>
                <c:formatCode>General</c:formatCode>
                <c:ptCount val="8"/>
                <c:pt idx="0">
                  <c:v>0.49</c:v>
                </c:pt>
                <c:pt idx="1">
                  <c:v>0.49</c:v>
                </c:pt>
                <c:pt idx="2">
                  <c:v>0.49</c:v>
                </c:pt>
                <c:pt idx="3">
                  <c:v>0.49</c:v>
                </c:pt>
                <c:pt idx="4">
                  <c:v>0.49</c:v>
                </c:pt>
                <c:pt idx="5">
                  <c:v>0.49</c:v>
                </c:pt>
                <c:pt idx="6">
                  <c:v>0.49</c:v>
                </c:pt>
                <c:pt idx="7">
                  <c:v>0.49</c:v>
                </c:pt>
              </c:numCache>
            </c:numRef>
          </c:val>
          <c:smooth val="0"/>
          <c:extLst>
            <c:ext xmlns:c16="http://schemas.microsoft.com/office/drawing/2014/chart" uri="{C3380CC4-5D6E-409C-BE32-E72D297353CC}">
              <c16:uniqueId val="{0000000A-3E29-4DEB-AE4B-68E2E3AFD2C0}"/>
            </c:ext>
          </c:extLst>
        </c:ser>
        <c:ser>
          <c:idx val="5"/>
          <c:order val="5"/>
          <c:tx>
            <c:strRef>
              <c:f>'S0 EU Serbia'!$AL$39</c:f>
              <c:strCache>
                <c:ptCount val="1"/>
                <c:pt idx="0">
                  <c:v>S0 праг</c:v>
                </c:pt>
              </c:strCache>
            </c:strRef>
          </c:tx>
          <c:spPr>
            <a:ln w="22225" cap="rnd">
              <a:solidFill>
                <a:schemeClr val="tx1"/>
              </a:solidFill>
              <a:prstDash val="dash"/>
              <a:round/>
            </a:ln>
            <a:effectLst/>
          </c:spPr>
          <c:marker>
            <c:symbol val="none"/>
          </c:marker>
          <c:cat>
            <c:numRef>
              <c:f>'S0 EU Serbia'!$AF$41:$AF$49</c:f>
              <c:numCache>
                <c:formatCode>General</c:formatCode>
                <c:ptCount val="8"/>
                <c:pt idx="1">
                  <c:v>2015</c:v>
                </c:pt>
                <c:pt idx="2">
                  <c:v>2016</c:v>
                </c:pt>
                <c:pt idx="3">
                  <c:v>2017</c:v>
                </c:pt>
                <c:pt idx="4">
                  <c:v>2018</c:v>
                </c:pt>
                <c:pt idx="5">
                  <c:v>2019</c:v>
                </c:pt>
                <c:pt idx="6">
                  <c:v>2020</c:v>
                </c:pt>
                <c:pt idx="7">
                  <c:v>2021</c:v>
                </c:pt>
              </c:numCache>
            </c:numRef>
          </c:cat>
          <c:val>
            <c:numRef>
              <c:f>('S0 EU Serbia'!$AL$41:$AL$48,'S0 EU Serbia'!$AL$49)</c:f>
              <c:numCache>
                <c:formatCode>General</c:formatCode>
                <c:ptCount val="8"/>
                <c:pt idx="0">
                  <c:v>0.46</c:v>
                </c:pt>
                <c:pt idx="1">
                  <c:v>0.46</c:v>
                </c:pt>
                <c:pt idx="2">
                  <c:v>0.46</c:v>
                </c:pt>
                <c:pt idx="3">
                  <c:v>0.46</c:v>
                </c:pt>
                <c:pt idx="4">
                  <c:v>0.46</c:v>
                </c:pt>
                <c:pt idx="5">
                  <c:v>0.46</c:v>
                </c:pt>
                <c:pt idx="6">
                  <c:v>0.46</c:v>
                </c:pt>
                <c:pt idx="7">
                  <c:v>0.46</c:v>
                </c:pt>
              </c:numCache>
            </c:numRef>
          </c:val>
          <c:smooth val="0"/>
          <c:extLst>
            <c:ext xmlns:c16="http://schemas.microsoft.com/office/drawing/2014/chart" uri="{C3380CC4-5D6E-409C-BE32-E72D297353CC}">
              <c16:uniqueId val="{0000000B-3E29-4DEB-AE4B-68E2E3AFD2C0}"/>
            </c:ext>
          </c:extLst>
        </c:ser>
        <c:dLbls>
          <c:showLegendKey val="0"/>
          <c:showVal val="0"/>
          <c:showCatName val="0"/>
          <c:showSerName val="0"/>
          <c:showPercent val="0"/>
          <c:showBubbleSize val="0"/>
        </c:dLbls>
        <c:marker val="1"/>
        <c:smooth val="0"/>
        <c:axId val="-486944112"/>
        <c:axId val="-486944656"/>
      </c:lineChart>
      <c:catAx>
        <c:axId val="-486944112"/>
        <c:scaling>
          <c:orientation val="minMax"/>
        </c:scaling>
        <c:delete val="0"/>
        <c:axPos val="b"/>
        <c:numFmt formatCode="General" sourceLinked="1"/>
        <c:majorTickMark val="none"/>
        <c:minorTickMark val="none"/>
        <c:tickLblPos val="nextTo"/>
        <c:spPr>
          <a:noFill/>
          <a:ln w="6350" cap="flat" cmpd="sng" algn="ctr">
            <a:solidFill>
              <a:schemeClr val="bg1">
                <a:lumMod val="6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j-lt"/>
                <a:ea typeface="+mn-ea"/>
                <a:cs typeface="+mn-cs"/>
              </a:defRPr>
            </a:pPr>
            <a:endParaRPr lang="sr-Latn-RS"/>
          </a:p>
        </c:txPr>
        <c:crossAx val="-486944656"/>
        <c:crosses val="autoZero"/>
        <c:auto val="1"/>
        <c:lblAlgn val="ctr"/>
        <c:lblOffset val="100"/>
        <c:noMultiLvlLbl val="0"/>
      </c:catAx>
      <c:valAx>
        <c:axId val="-486944656"/>
        <c:scaling>
          <c:orientation val="minMax"/>
          <c:max val="0.70000000000000007"/>
        </c:scaling>
        <c:delete val="0"/>
        <c:axPos val="l"/>
        <c:numFmt formatCode="#,##0.00" sourceLinked="0"/>
        <c:majorTickMark val="out"/>
        <c:minorTickMark val="none"/>
        <c:tickLblPos val="nextTo"/>
        <c:spPr>
          <a:noFill/>
          <a:ln w="6350">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j-lt"/>
                <a:ea typeface="+mn-ea"/>
                <a:cs typeface="+mn-cs"/>
              </a:defRPr>
            </a:pPr>
            <a:endParaRPr lang="sr-Latn-RS"/>
          </a:p>
        </c:txPr>
        <c:crossAx val="-486944112"/>
        <c:crossesAt val="1"/>
        <c:crossBetween val="between"/>
      </c:valAx>
      <c:spPr>
        <a:noFill/>
        <a:ln>
          <a:noFill/>
        </a:ln>
        <a:effectLst/>
      </c:spPr>
    </c:plotArea>
    <c:legend>
      <c:legendPos val="b"/>
      <c:layout>
        <c:manualLayout>
          <c:xMode val="edge"/>
          <c:yMode val="edge"/>
          <c:x val="2.9313540108561701E-4"/>
          <c:y val="0.68374972310046922"/>
          <c:w val="0.99970692102872794"/>
          <c:h val="0.2985066892213920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j-lt"/>
              <a:ea typeface="+mn-ea"/>
              <a:cs typeface="+mn-cs"/>
            </a:defRPr>
          </a:pPr>
          <a:endParaRPr lang="sr-Latn-RS"/>
        </a:p>
      </c:txPr>
    </c:legend>
    <c:plotVisOnly val="1"/>
    <c:dispBlanksAs val="gap"/>
    <c:showDLblsOverMax val="0"/>
  </c:chart>
  <c:spPr>
    <a:noFill/>
    <a:ln w="9525" cap="flat" cmpd="sng" algn="ctr">
      <a:noFill/>
      <a:round/>
    </a:ln>
    <a:effectLst/>
  </c:spPr>
  <c:txPr>
    <a:bodyPr/>
    <a:lstStyle/>
    <a:p>
      <a:pPr>
        <a:defRPr/>
      </a:pPr>
      <a:endParaRPr lang="sr-Latn-RS"/>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r>
              <a:rPr lang="en-US" sz="900" b="1">
                <a:solidFill>
                  <a:srgbClr val="002060"/>
                </a:solidFill>
              </a:rPr>
              <a:t>S0 </a:t>
            </a:r>
            <a:r>
              <a:rPr lang="sr-Cyrl-RS" sz="900" b="1">
                <a:solidFill>
                  <a:srgbClr val="002060"/>
                </a:solidFill>
              </a:rPr>
              <a:t>земље ЕУ и Србија</a:t>
            </a:r>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manualLayout>
          <c:layoutTarget val="inner"/>
          <c:xMode val="edge"/>
          <c:yMode val="edge"/>
          <c:x val="7.0140553174856415E-2"/>
          <c:y val="0.13775301764159703"/>
          <c:w val="0.89795062064282105"/>
          <c:h val="0.4716665570007092"/>
        </c:manualLayout>
      </c:layout>
      <c:barChart>
        <c:barDir val="col"/>
        <c:grouping val="clustered"/>
        <c:varyColors val="0"/>
        <c:ser>
          <c:idx val="3"/>
          <c:order val="1"/>
          <c:tx>
            <c:strRef>
              <c:f>'S0 EU Serbia'!$F$2</c:f>
              <c:strCache>
                <c:ptCount val="1"/>
                <c:pt idx="0">
                  <c:v>S0
2014</c:v>
                </c:pt>
              </c:strCache>
            </c:strRef>
          </c:tx>
          <c:spPr>
            <a:solidFill>
              <a:schemeClr val="tx1"/>
            </a:solidFill>
            <a:ln w="6350">
              <a:solidFill>
                <a:schemeClr val="tx1"/>
              </a:solidFill>
            </a:ln>
            <a:effectLst/>
          </c:spPr>
          <c:invertIfNegative val="0"/>
          <c:cat>
            <c:strRef>
              <c:f>'S0 EU Serbia'!$A$3:$A$31</c:f>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f>'S0 EU Serbia'!$F$3:$F$31</c:f>
            </c:numRef>
          </c:val>
          <c:extLst>
            <c:ext xmlns:c16="http://schemas.microsoft.com/office/drawing/2014/chart" uri="{C3380CC4-5D6E-409C-BE32-E72D297353CC}">
              <c16:uniqueId val="{00000000-5E33-4DE7-B899-4EDD00149A0C}"/>
            </c:ext>
          </c:extLst>
        </c:ser>
        <c:dLbls>
          <c:showLegendKey val="0"/>
          <c:showVal val="0"/>
          <c:showCatName val="0"/>
          <c:showSerName val="0"/>
          <c:showPercent val="0"/>
          <c:showBubbleSize val="0"/>
        </c:dLbls>
        <c:gapWidth val="150"/>
        <c:axId val="-486950096"/>
        <c:axId val="-486949552"/>
      </c:barChart>
      <c:barChart>
        <c:barDir val="col"/>
        <c:grouping val="clustered"/>
        <c:varyColors val="0"/>
        <c:ser>
          <c:idx val="5"/>
          <c:order val="7"/>
          <c:tx>
            <c:strRef>
              <c:f>'S0 EU Serbia'!$X$2</c:f>
              <c:strCache>
                <c:ptCount val="1"/>
                <c:pt idx="0">
                  <c:v>S0 2020</c:v>
                </c:pt>
              </c:strCache>
            </c:strRef>
          </c:tx>
          <c:spPr>
            <a:solidFill>
              <a:srgbClr val="7030A0"/>
            </a:solidFill>
            <a:ln>
              <a:noFill/>
            </a:ln>
            <a:effectLst/>
          </c:spPr>
          <c:invertIfNegative val="0"/>
          <c:val>
            <c:numRef>
              <c:f>'S0 EU Serbia'!$X$3:$X$29</c:f>
              <c:numCache>
                <c:formatCode>0.00</c:formatCode>
                <c:ptCount val="27"/>
                <c:pt idx="0">
                  <c:v>0.4</c:v>
                </c:pt>
                <c:pt idx="1">
                  <c:v>0.48</c:v>
                </c:pt>
                <c:pt idx="2">
                  <c:v>0.35</c:v>
                </c:pt>
                <c:pt idx="3">
                  <c:v>0.37</c:v>
                </c:pt>
                <c:pt idx="4">
                  <c:v>0.61</c:v>
                </c:pt>
                <c:pt idx="5">
                  <c:v>0.64</c:v>
                </c:pt>
                <c:pt idx="6">
                  <c:v>0.41</c:v>
                </c:pt>
                <c:pt idx="7">
                  <c:v>0.33</c:v>
                </c:pt>
                <c:pt idx="8">
                  <c:v>0.49</c:v>
                </c:pt>
                <c:pt idx="9">
                  <c:v>0.55000000000000004</c:v>
                </c:pt>
                <c:pt idx="10">
                  <c:v>0.37</c:v>
                </c:pt>
                <c:pt idx="11">
                  <c:v>0.46</c:v>
                </c:pt>
                <c:pt idx="12">
                  <c:v>0.42</c:v>
                </c:pt>
                <c:pt idx="13">
                  <c:v>0.48</c:v>
                </c:pt>
                <c:pt idx="14">
                  <c:v>0.48</c:v>
                </c:pt>
                <c:pt idx="15">
                  <c:v>0.37</c:v>
                </c:pt>
                <c:pt idx="16">
                  <c:v>0.3</c:v>
                </c:pt>
                <c:pt idx="17">
                  <c:v>0.28999999999999998</c:v>
                </c:pt>
                <c:pt idx="18">
                  <c:v>0.39</c:v>
                </c:pt>
                <c:pt idx="19">
                  <c:v>0.45</c:v>
                </c:pt>
                <c:pt idx="20">
                  <c:v>0.61</c:v>
                </c:pt>
                <c:pt idx="21">
                  <c:v>0.49</c:v>
                </c:pt>
                <c:pt idx="22">
                  <c:v>0.4425887265135699</c:v>
                </c:pt>
                <c:pt idx="23">
                  <c:v>0.54</c:v>
                </c:pt>
                <c:pt idx="24">
                  <c:v>0.43</c:v>
                </c:pt>
                <c:pt idx="25">
                  <c:v>0.5</c:v>
                </c:pt>
                <c:pt idx="26">
                  <c:v>0.32</c:v>
                </c:pt>
              </c:numCache>
            </c:numRef>
          </c:val>
          <c:extLst>
            <c:ext xmlns:c16="http://schemas.microsoft.com/office/drawing/2014/chart" uri="{C3380CC4-5D6E-409C-BE32-E72D297353CC}">
              <c16:uniqueId val="{00000001-5E33-4DE7-B899-4EDD00149A0C}"/>
            </c:ext>
          </c:extLst>
        </c:ser>
        <c:ser>
          <c:idx val="7"/>
          <c:order val="8"/>
          <c:tx>
            <c:strRef>
              <c:f>'S0 EU Serbia'!$AA$2</c:f>
              <c:strCache>
                <c:ptCount val="1"/>
                <c:pt idx="0">
                  <c:v>S0 2021</c:v>
                </c:pt>
              </c:strCache>
            </c:strRef>
          </c:tx>
          <c:spPr>
            <a:solidFill>
              <a:srgbClr val="00B0F0"/>
            </a:solidFill>
            <a:ln>
              <a:noFill/>
            </a:ln>
            <a:effectLst/>
          </c:spPr>
          <c:invertIfNegative val="0"/>
          <c:val>
            <c:numRef>
              <c:f>'S0 EU Serbia'!$AA$3:$AA$29</c:f>
              <c:numCache>
                <c:formatCode>0.00</c:formatCode>
                <c:ptCount val="27"/>
                <c:pt idx="0">
                  <c:v>0.18</c:v>
                </c:pt>
                <c:pt idx="1">
                  <c:v>0.31</c:v>
                </c:pt>
                <c:pt idx="2">
                  <c:v>0.32</c:v>
                </c:pt>
                <c:pt idx="3">
                  <c:v>0.24</c:v>
                </c:pt>
                <c:pt idx="4">
                  <c:v>0.38</c:v>
                </c:pt>
                <c:pt idx="5">
                  <c:v>0.47</c:v>
                </c:pt>
                <c:pt idx="6">
                  <c:v>0.18</c:v>
                </c:pt>
                <c:pt idx="7">
                  <c:v>0.22</c:v>
                </c:pt>
                <c:pt idx="8">
                  <c:v>0.26</c:v>
                </c:pt>
                <c:pt idx="9">
                  <c:v>0.45</c:v>
                </c:pt>
                <c:pt idx="10">
                  <c:v>0.31</c:v>
                </c:pt>
                <c:pt idx="11">
                  <c:v>0.34</c:v>
                </c:pt>
                <c:pt idx="12">
                  <c:v>0.36</c:v>
                </c:pt>
                <c:pt idx="13">
                  <c:v>0.28000000000000003</c:v>
                </c:pt>
                <c:pt idx="14">
                  <c:v>0.26</c:v>
                </c:pt>
                <c:pt idx="15">
                  <c:v>0.17</c:v>
                </c:pt>
                <c:pt idx="16">
                  <c:v>0.3</c:v>
                </c:pt>
                <c:pt idx="17">
                  <c:v>0.31</c:v>
                </c:pt>
                <c:pt idx="18">
                  <c:v>0.32</c:v>
                </c:pt>
                <c:pt idx="19">
                  <c:v>0.22</c:v>
                </c:pt>
                <c:pt idx="20">
                  <c:v>0.4</c:v>
                </c:pt>
                <c:pt idx="21">
                  <c:v>0.31</c:v>
                </c:pt>
                <c:pt idx="22">
                  <c:v>0.25259999999999999</c:v>
                </c:pt>
                <c:pt idx="23">
                  <c:v>0.24</c:v>
                </c:pt>
                <c:pt idx="24">
                  <c:v>0.18</c:v>
                </c:pt>
                <c:pt idx="25">
                  <c:v>0.34</c:v>
                </c:pt>
                <c:pt idx="26">
                  <c:v>0.27</c:v>
                </c:pt>
              </c:numCache>
            </c:numRef>
          </c:val>
          <c:extLst>
            <c:ext xmlns:c16="http://schemas.microsoft.com/office/drawing/2014/chart" uri="{C3380CC4-5D6E-409C-BE32-E72D297353CC}">
              <c16:uniqueId val="{00000002-5E33-4DE7-B899-4EDD00149A0C}"/>
            </c:ext>
          </c:extLst>
        </c:ser>
        <c:dLbls>
          <c:showLegendKey val="0"/>
          <c:showVal val="0"/>
          <c:showCatName val="0"/>
          <c:showSerName val="0"/>
          <c:showPercent val="0"/>
          <c:showBubbleSize val="0"/>
        </c:dLbls>
        <c:gapWidth val="150"/>
        <c:axId val="-486950096"/>
        <c:axId val="-486949552"/>
        <c:extLst>
          <c:ext xmlns:c15="http://schemas.microsoft.com/office/drawing/2012/chart" uri="{02D57815-91ED-43cb-92C2-25804820EDAC}">
            <c15:filteredBarSeries>
              <c15:ser>
                <c:idx val="6"/>
                <c:order val="2"/>
                <c:tx>
                  <c:strRef>
                    <c:extLst>
                      <c:ext uri="{02D57815-91ED-43cb-92C2-25804820EDAC}">
                        <c15:formulaRef>
                          <c15:sqref>'S0 EU Serbia'!$I$2</c15:sqref>
                        </c15:formulaRef>
                      </c:ext>
                    </c:extLst>
                    <c:strCache>
                      <c:ptCount val="1"/>
                      <c:pt idx="0">
                        <c:v>S0
2015</c:v>
                      </c:pt>
                    </c:strCache>
                  </c:strRef>
                </c:tx>
                <c:spPr>
                  <a:solidFill>
                    <a:schemeClr val="accent2"/>
                  </a:solidFill>
                  <a:ln>
                    <a:noFill/>
                  </a:ln>
                  <a:effectLst/>
                </c:spPr>
                <c:invertIfNegative val="0"/>
                <c:cat>
                  <c:strRef>
                    <c:extLst>
                      <c:ext uri="{02D57815-91ED-43cb-92C2-25804820EDAC}">
                        <c15:formulaRef>
                          <c15:sqref>'S0 EU Serbia'!$A$3:$A$31</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extLst>
                      <c:ext uri="{02D57815-91ED-43cb-92C2-25804820EDAC}">
                        <c15:formulaRef>
                          <c15:sqref>'S0 EU Serbia'!$I$3:$I$31</c15:sqref>
                        </c15:formulaRef>
                      </c:ext>
                    </c:extLst>
                    <c:numCache>
                      <c:formatCode>0.00</c:formatCode>
                      <c:ptCount val="29"/>
                      <c:pt idx="0">
                        <c:v>7.0000000000000007E-2</c:v>
                      </c:pt>
                      <c:pt idx="1">
                        <c:v>0.1</c:v>
                      </c:pt>
                      <c:pt idx="2">
                        <c:v>0.21</c:v>
                      </c:pt>
                      <c:pt idx="3">
                        <c:v>0.11</c:v>
                      </c:pt>
                      <c:pt idx="4">
                        <c:v>0.26</c:v>
                      </c:pt>
                      <c:pt idx="6">
                        <c:v>0.25</c:v>
                      </c:pt>
                      <c:pt idx="7">
                        <c:v>0.19</c:v>
                      </c:pt>
                      <c:pt idx="8">
                        <c:v>0.22</c:v>
                      </c:pt>
                      <c:pt idx="9">
                        <c:v>0.17</c:v>
                      </c:pt>
                      <c:pt idx="10">
                        <c:v>0.02</c:v>
                      </c:pt>
                      <c:pt idx="11">
                        <c:v>0.16</c:v>
                      </c:pt>
                      <c:pt idx="12">
                        <c:v>0.38</c:v>
                      </c:pt>
                      <c:pt idx="13">
                        <c:v>0.21</c:v>
                      </c:pt>
                      <c:pt idx="14">
                        <c:v>0.34</c:v>
                      </c:pt>
                      <c:pt idx="15">
                        <c:v>0.18</c:v>
                      </c:pt>
                      <c:pt idx="16">
                        <c:v>0.09</c:v>
                      </c:pt>
                      <c:pt idx="17">
                        <c:v>0.13</c:v>
                      </c:pt>
                      <c:pt idx="18">
                        <c:v>0.19</c:v>
                      </c:pt>
                      <c:pt idx="19">
                        <c:v>0.27</c:v>
                      </c:pt>
                      <c:pt idx="20">
                        <c:v>0.24</c:v>
                      </c:pt>
                      <c:pt idx="21">
                        <c:v>0.14000000000000001</c:v>
                      </c:pt>
                      <c:pt idx="22">
                        <c:v>0.36</c:v>
                      </c:pt>
                      <c:pt idx="23">
                        <c:v>0.21</c:v>
                      </c:pt>
                      <c:pt idx="24">
                        <c:v>0.08</c:v>
                      </c:pt>
                      <c:pt idx="25">
                        <c:v>0.21</c:v>
                      </c:pt>
                      <c:pt idx="26">
                        <c:v>0.15</c:v>
                      </c:pt>
                      <c:pt idx="27">
                        <c:v>0.36</c:v>
                      </c:pt>
                    </c:numCache>
                  </c:numRef>
                </c:val>
                <c:extLst>
                  <c:ext xmlns:c16="http://schemas.microsoft.com/office/drawing/2014/chart" uri="{C3380CC4-5D6E-409C-BE32-E72D297353CC}">
                    <c16:uniqueId val="{00000005-5E33-4DE7-B899-4EDD00149A0C}"/>
                  </c:ext>
                </c:extLst>
              </c15:ser>
            </c15:filteredBarSeries>
            <c15:filteredBarSeries>
              <c15:ser>
                <c:idx val="9"/>
                <c:order val="3"/>
                <c:tx>
                  <c:strRef>
                    <c:extLst xmlns:c15="http://schemas.microsoft.com/office/drawing/2012/chart">
                      <c:ext xmlns:c15="http://schemas.microsoft.com/office/drawing/2012/chart" uri="{02D57815-91ED-43cb-92C2-25804820EDAC}">
                        <c15:formulaRef>
                          <c15:sqref>'S0 EU Serbia'!$L$2</c15:sqref>
                        </c15:formulaRef>
                      </c:ext>
                    </c:extLst>
                    <c:strCache>
                      <c:ptCount val="1"/>
                      <c:pt idx="0">
                        <c:v>S0
 2016</c:v>
                      </c:pt>
                    </c:strCache>
                  </c:strRef>
                </c:tx>
                <c:spPr>
                  <a:solidFill>
                    <a:srgbClr val="7030A0"/>
                  </a:solidFill>
                  <a:ln>
                    <a:noFill/>
                  </a:ln>
                  <a:effectLst/>
                </c:spPr>
                <c:invertIfNegative val="0"/>
                <c:dPt>
                  <c:idx val="16"/>
                  <c:invertIfNegative val="0"/>
                  <c:bubble3D val="0"/>
                  <c:spPr>
                    <a:solidFill>
                      <a:srgbClr val="7F7F7F"/>
                    </a:solidFill>
                    <a:ln>
                      <a:noFill/>
                    </a:ln>
                    <a:effectLst/>
                  </c:spPr>
                  <c:extLst xmlns:c15="http://schemas.microsoft.com/office/drawing/2012/chart">
                    <c:ext xmlns:c16="http://schemas.microsoft.com/office/drawing/2014/chart" uri="{C3380CC4-5D6E-409C-BE32-E72D297353CC}">
                      <c16:uniqueId val="{00000007-5E33-4DE7-B899-4EDD00149A0C}"/>
                    </c:ext>
                  </c:extLst>
                </c:dPt>
                <c:cat>
                  <c:strRef>
                    <c:extLst xmlns:c15="http://schemas.microsoft.com/office/drawing/2012/chart">
                      <c:ext xmlns:c15="http://schemas.microsoft.com/office/drawing/2012/chart" uri="{02D57815-91ED-43cb-92C2-25804820EDAC}">
                        <c15:formulaRef>
                          <c15:sqref>'S0 EU Serbia'!$A$3:$A$31</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extLst xmlns:c15="http://schemas.microsoft.com/office/drawing/2012/chart">
                      <c:ext xmlns:c15="http://schemas.microsoft.com/office/drawing/2012/chart" uri="{02D57815-91ED-43cb-92C2-25804820EDAC}">
                        <c15:formulaRef>
                          <c15:sqref>'S0 EU Serbia'!$L$3:$L$31</c15:sqref>
                        </c15:formulaRef>
                      </c:ext>
                    </c:extLst>
                    <c:numCache>
                      <c:formatCode>0.00</c:formatCode>
                      <c:ptCount val="29"/>
                      <c:pt idx="0">
                        <c:v>0.15</c:v>
                      </c:pt>
                      <c:pt idx="1">
                        <c:v>0.42</c:v>
                      </c:pt>
                      <c:pt idx="2">
                        <c:v>0.28000000000000003</c:v>
                      </c:pt>
                      <c:pt idx="3">
                        <c:v>0.19</c:v>
                      </c:pt>
                      <c:pt idx="4">
                        <c:v>0.18</c:v>
                      </c:pt>
                      <c:pt idx="5">
                        <c:v>0.41</c:v>
                      </c:pt>
                      <c:pt idx="6">
                        <c:v>0.19</c:v>
                      </c:pt>
                      <c:pt idx="7">
                        <c:v>0.25</c:v>
                      </c:pt>
                      <c:pt idx="8">
                        <c:v>0.22</c:v>
                      </c:pt>
                      <c:pt idx="9">
                        <c:v>0.31</c:v>
                      </c:pt>
                      <c:pt idx="10">
                        <c:v>0.08</c:v>
                      </c:pt>
                      <c:pt idx="11">
                        <c:v>0.31</c:v>
                      </c:pt>
                      <c:pt idx="12">
                        <c:v>0.28000000000000003</c:v>
                      </c:pt>
                      <c:pt idx="13">
                        <c:v>0.42</c:v>
                      </c:pt>
                      <c:pt idx="14">
                        <c:v>0.28999999999999998</c:v>
                      </c:pt>
                      <c:pt idx="15">
                        <c:v>0.21</c:v>
                      </c:pt>
                      <c:pt idx="16">
                        <c:v>0.28999999999999998</c:v>
                      </c:pt>
                      <c:pt idx="17">
                        <c:v>0.15</c:v>
                      </c:pt>
                      <c:pt idx="18">
                        <c:v>0.2</c:v>
                      </c:pt>
                      <c:pt idx="19">
                        <c:v>0.28999999999999998</c:v>
                      </c:pt>
                      <c:pt idx="20">
                        <c:v>0.41</c:v>
                      </c:pt>
                      <c:pt idx="21">
                        <c:v>0.26</c:v>
                      </c:pt>
                      <c:pt idx="22">
                        <c:v>0.19161676646706588</c:v>
                      </c:pt>
                      <c:pt idx="23">
                        <c:v>0.34</c:v>
                      </c:pt>
                      <c:pt idx="24">
                        <c:v>0.14000000000000001</c:v>
                      </c:pt>
                      <c:pt idx="25">
                        <c:v>0.37</c:v>
                      </c:pt>
                      <c:pt idx="26">
                        <c:v>0.12</c:v>
                      </c:pt>
                      <c:pt idx="27">
                        <c:v>0.41</c:v>
                      </c:pt>
                    </c:numCache>
                  </c:numRef>
                </c:val>
                <c:extLst xmlns:c15="http://schemas.microsoft.com/office/drawing/2012/chart">
                  <c:ext xmlns:c16="http://schemas.microsoft.com/office/drawing/2014/chart" uri="{C3380CC4-5D6E-409C-BE32-E72D297353CC}">
                    <c16:uniqueId val="{00000008-5E33-4DE7-B899-4EDD00149A0C}"/>
                  </c:ext>
                </c:extLst>
              </c15:ser>
            </c15:filteredBarSeries>
            <c15:filteredBarSeries>
              <c15:ser>
                <c:idx val="0"/>
                <c:order val="4"/>
                <c:tx>
                  <c:strRef>
                    <c:extLst xmlns:c15="http://schemas.microsoft.com/office/drawing/2012/chart">
                      <c:ext xmlns:c15="http://schemas.microsoft.com/office/drawing/2012/chart" uri="{02D57815-91ED-43cb-92C2-25804820EDAC}">
                        <c15:formulaRef>
                          <c15:sqref>'S0 EU Serbia'!$O$2</c15:sqref>
                        </c15:formulaRef>
                      </c:ext>
                    </c:extLst>
                    <c:strCache>
                      <c:ptCount val="1"/>
                      <c:pt idx="0">
                        <c:v>S0 2017</c:v>
                      </c:pt>
                    </c:strCache>
                  </c:strRef>
                </c:tx>
                <c:spPr>
                  <a:solidFill>
                    <a:schemeClr val="accent1"/>
                  </a:solidFill>
                  <a:ln>
                    <a:noFill/>
                  </a:ln>
                  <a:effectLst/>
                </c:spPr>
                <c:invertIfNegative val="0"/>
                <c:cat>
                  <c:strRef>
                    <c:extLst xmlns:c15="http://schemas.microsoft.com/office/drawing/2012/chart">
                      <c:ext xmlns:c15="http://schemas.microsoft.com/office/drawing/2012/chart" uri="{02D57815-91ED-43cb-92C2-25804820EDAC}">
                        <c15:formulaRef>
                          <c15:sqref>'S0 EU Serbia'!$A$3:$A$30</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extLst xmlns:c15="http://schemas.microsoft.com/office/drawing/2012/chart">
                      <c:ext xmlns:c15="http://schemas.microsoft.com/office/drawing/2012/chart" uri="{02D57815-91ED-43cb-92C2-25804820EDAC}">
                        <c15:formulaRef>
                          <c15:sqref>'S0 EU Serbia'!$O$3:$O$30</c15:sqref>
                        </c15:formulaRef>
                      </c:ext>
                    </c:extLst>
                    <c:numCache>
                      <c:formatCode>0.00</c:formatCode>
                      <c:ptCount val="28"/>
                      <c:pt idx="0">
                        <c:v>7.0000000000000007E-2</c:v>
                      </c:pt>
                      <c:pt idx="1">
                        <c:v>0.35</c:v>
                      </c:pt>
                      <c:pt idx="2">
                        <c:v>0.25</c:v>
                      </c:pt>
                      <c:pt idx="3">
                        <c:v>0.19</c:v>
                      </c:pt>
                      <c:pt idx="4">
                        <c:v>0.2</c:v>
                      </c:pt>
                      <c:pt idx="5">
                        <c:v>0.44</c:v>
                      </c:pt>
                      <c:pt idx="6">
                        <c:v>0.3</c:v>
                      </c:pt>
                      <c:pt idx="7">
                        <c:v>0.2</c:v>
                      </c:pt>
                      <c:pt idx="8">
                        <c:v>0.1</c:v>
                      </c:pt>
                      <c:pt idx="9">
                        <c:v>0.24</c:v>
                      </c:pt>
                      <c:pt idx="10">
                        <c:v>0.08</c:v>
                      </c:pt>
                      <c:pt idx="11">
                        <c:v>0.39</c:v>
                      </c:pt>
                      <c:pt idx="12">
                        <c:v>0.28000000000000003</c:v>
                      </c:pt>
                      <c:pt idx="13">
                        <c:v>0.36</c:v>
                      </c:pt>
                      <c:pt idx="14">
                        <c:v>0.24</c:v>
                      </c:pt>
                      <c:pt idx="15">
                        <c:v>0.21</c:v>
                      </c:pt>
                      <c:pt idx="16">
                        <c:v>0.12</c:v>
                      </c:pt>
                      <c:pt idx="17">
                        <c:v>0.05</c:v>
                      </c:pt>
                      <c:pt idx="18">
                        <c:v>0.2</c:v>
                      </c:pt>
                      <c:pt idx="19">
                        <c:v>0.25</c:v>
                      </c:pt>
                      <c:pt idx="20">
                        <c:v>0.36</c:v>
                      </c:pt>
                      <c:pt idx="21">
                        <c:v>0.2</c:v>
                      </c:pt>
                      <c:pt idx="22">
                        <c:v>0.17745302713987476</c:v>
                      </c:pt>
                      <c:pt idx="23">
                        <c:v>0.3</c:v>
                      </c:pt>
                      <c:pt idx="24">
                        <c:v>0.13</c:v>
                      </c:pt>
                      <c:pt idx="25">
                        <c:v>0.37</c:v>
                      </c:pt>
                      <c:pt idx="26">
                        <c:v>0.12</c:v>
                      </c:pt>
                      <c:pt idx="27">
                        <c:v>0.42</c:v>
                      </c:pt>
                    </c:numCache>
                  </c:numRef>
                </c:val>
                <c:extLst xmlns:c15="http://schemas.microsoft.com/office/drawing/2012/chart">
                  <c:ext xmlns:c16="http://schemas.microsoft.com/office/drawing/2014/chart" uri="{C3380CC4-5D6E-409C-BE32-E72D297353CC}">
                    <c16:uniqueId val="{00000009-5E33-4DE7-B899-4EDD00149A0C}"/>
                  </c:ext>
                </c:extLst>
              </c15:ser>
            </c15:filteredBarSeries>
            <c15:filteredBarSeries>
              <c15:ser>
                <c:idx val="1"/>
                <c:order val="5"/>
                <c:tx>
                  <c:strRef>
                    <c:extLst xmlns:c15="http://schemas.microsoft.com/office/drawing/2012/chart">
                      <c:ext xmlns:c15="http://schemas.microsoft.com/office/drawing/2012/chart" uri="{02D57815-91ED-43cb-92C2-25804820EDAC}">
                        <c15:formulaRef>
                          <c15:sqref>'S0 EU Serbia'!$R$2</c15:sqref>
                        </c15:formulaRef>
                      </c:ext>
                    </c:extLst>
                    <c:strCache>
                      <c:ptCount val="1"/>
                      <c:pt idx="0">
                        <c:v>S0 2018</c:v>
                      </c:pt>
                    </c:strCache>
                  </c:strRef>
                </c:tx>
                <c:spPr>
                  <a:solidFill>
                    <a:srgbClr val="7030A0"/>
                  </a:solidFill>
                  <a:ln>
                    <a:noFill/>
                  </a:ln>
                  <a:effectLst/>
                </c:spPr>
                <c:invertIfNegative val="0"/>
                <c:cat>
                  <c:strRef>
                    <c:extLst xmlns:c15="http://schemas.microsoft.com/office/drawing/2012/chart">
                      <c:ext xmlns:c15="http://schemas.microsoft.com/office/drawing/2012/chart" uri="{02D57815-91ED-43cb-92C2-25804820EDAC}">
                        <c15:formulaRef>
                          <c15:sqref>'S0 EU Serbia'!$A$3:$A$30</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extLst xmlns:c15="http://schemas.microsoft.com/office/drawing/2012/chart">
                      <c:ext xmlns:c15="http://schemas.microsoft.com/office/drawing/2012/chart" uri="{02D57815-91ED-43cb-92C2-25804820EDAC}">
                        <c15:formulaRef>
                          <c15:sqref>'S0 EU Serbia'!$R$3:$R$30</c15:sqref>
                        </c15:formulaRef>
                      </c:ext>
                    </c:extLst>
                    <c:numCache>
                      <c:formatCode>0.00</c:formatCode>
                      <c:ptCount val="28"/>
                      <c:pt idx="0">
                        <c:v>0.03</c:v>
                      </c:pt>
                      <c:pt idx="1">
                        <c:v>0.22</c:v>
                      </c:pt>
                      <c:pt idx="2">
                        <c:v>0.19</c:v>
                      </c:pt>
                      <c:pt idx="3">
                        <c:v>0.18</c:v>
                      </c:pt>
                      <c:pt idx="4">
                        <c:v>0.24</c:v>
                      </c:pt>
                      <c:pt idx="5">
                        <c:v>0.46</c:v>
                      </c:pt>
                      <c:pt idx="6">
                        <c:v>0.12</c:v>
                      </c:pt>
                      <c:pt idx="7">
                        <c:v>0.17</c:v>
                      </c:pt>
                      <c:pt idx="8">
                        <c:v>0.14000000000000001</c:v>
                      </c:pt>
                      <c:pt idx="9">
                        <c:v>0.28999999999999998</c:v>
                      </c:pt>
                      <c:pt idx="10">
                        <c:v>0</c:v>
                      </c:pt>
                      <c:pt idx="11">
                        <c:v>0.34</c:v>
                      </c:pt>
                      <c:pt idx="12">
                        <c:v>0.21</c:v>
                      </c:pt>
                      <c:pt idx="13">
                        <c:v>0.36</c:v>
                      </c:pt>
                      <c:pt idx="14">
                        <c:v>0.24</c:v>
                      </c:pt>
                      <c:pt idx="15">
                        <c:v>0.21</c:v>
                      </c:pt>
                      <c:pt idx="16">
                        <c:v>0.12</c:v>
                      </c:pt>
                      <c:pt idx="17">
                        <c:v>0.06</c:v>
                      </c:pt>
                      <c:pt idx="18">
                        <c:v>0.08</c:v>
                      </c:pt>
                      <c:pt idx="19">
                        <c:v>0.18</c:v>
                      </c:pt>
                      <c:pt idx="20">
                        <c:v>0.33</c:v>
                      </c:pt>
                      <c:pt idx="21">
                        <c:v>0.3</c:v>
                      </c:pt>
                      <c:pt idx="22">
                        <c:v>0.17745302713987476</c:v>
                      </c:pt>
                      <c:pt idx="23">
                        <c:v>0.27</c:v>
                      </c:pt>
                      <c:pt idx="24">
                        <c:v>0.13</c:v>
                      </c:pt>
                      <c:pt idx="25">
                        <c:v>0.37</c:v>
                      </c:pt>
                      <c:pt idx="26">
                        <c:v>0.2</c:v>
                      </c:pt>
                      <c:pt idx="27">
                        <c:v>0.42</c:v>
                      </c:pt>
                    </c:numCache>
                  </c:numRef>
                </c:val>
                <c:extLst xmlns:c15="http://schemas.microsoft.com/office/drawing/2012/chart">
                  <c:ext xmlns:c16="http://schemas.microsoft.com/office/drawing/2014/chart" uri="{C3380CC4-5D6E-409C-BE32-E72D297353CC}">
                    <c16:uniqueId val="{0000000A-5E33-4DE7-B899-4EDD00149A0C}"/>
                  </c:ext>
                </c:extLst>
              </c15:ser>
            </c15:filteredBarSeries>
            <c15:filteredBarSeries>
              <c15:ser>
                <c:idx val="4"/>
                <c:order val="6"/>
                <c:tx>
                  <c:strRef>
                    <c:extLst xmlns:c15="http://schemas.microsoft.com/office/drawing/2012/chart">
                      <c:ext xmlns:c15="http://schemas.microsoft.com/office/drawing/2012/chart" uri="{02D57815-91ED-43cb-92C2-25804820EDAC}">
                        <c15:formulaRef>
                          <c15:sqref>'S0 EU Serbia'!$U$2</c15:sqref>
                        </c15:formulaRef>
                      </c:ext>
                    </c:extLst>
                    <c:strCache>
                      <c:ptCount val="1"/>
                      <c:pt idx="0">
                        <c:v>S0 2019</c:v>
                      </c:pt>
                    </c:strCache>
                  </c:strRef>
                </c:tx>
                <c:spPr>
                  <a:solidFill>
                    <a:schemeClr val="accent5"/>
                  </a:solidFill>
                  <a:ln>
                    <a:noFill/>
                  </a:ln>
                  <a:effectLst/>
                </c:spPr>
                <c:invertIfNegative val="0"/>
                <c:val>
                  <c:numRef>
                    <c:extLst xmlns:c15="http://schemas.microsoft.com/office/drawing/2012/chart">
                      <c:ext xmlns:c15="http://schemas.microsoft.com/office/drawing/2012/chart" uri="{02D57815-91ED-43cb-92C2-25804820EDAC}">
                        <c15:formulaRef>
                          <c15:sqref>'S0 EU Serbia'!$U$3:$U$29</c15:sqref>
                        </c15:formulaRef>
                      </c:ext>
                    </c:extLst>
                    <c:numCache>
                      <c:formatCode>0.00</c:formatCode>
                      <c:ptCount val="27"/>
                      <c:pt idx="0">
                        <c:v>0.1</c:v>
                      </c:pt>
                      <c:pt idx="1">
                        <c:v>0.17</c:v>
                      </c:pt>
                      <c:pt idx="2">
                        <c:v>0.21</c:v>
                      </c:pt>
                      <c:pt idx="3">
                        <c:v>0.22</c:v>
                      </c:pt>
                      <c:pt idx="4">
                        <c:v>0.24</c:v>
                      </c:pt>
                      <c:pt idx="5">
                        <c:v>0.45</c:v>
                      </c:pt>
                      <c:pt idx="6">
                        <c:v>0.2</c:v>
                      </c:pt>
                      <c:pt idx="7">
                        <c:v>0.2</c:v>
                      </c:pt>
                      <c:pt idx="8">
                        <c:v>0.26</c:v>
                      </c:pt>
                      <c:pt idx="9">
                        <c:v>0.36</c:v>
                      </c:pt>
                      <c:pt idx="10">
                        <c:v>0.08</c:v>
                      </c:pt>
                      <c:pt idx="11">
                        <c:v>0.28999999999999998</c:v>
                      </c:pt>
                      <c:pt idx="12">
                        <c:v>0.14000000000000001</c:v>
                      </c:pt>
                      <c:pt idx="13">
                        <c:v>0.33</c:v>
                      </c:pt>
                      <c:pt idx="14">
                        <c:v>0.24</c:v>
                      </c:pt>
                      <c:pt idx="15">
                        <c:v>0.21</c:v>
                      </c:pt>
                      <c:pt idx="16">
                        <c:v>0.19</c:v>
                      </c:pt>
                      <c:pt idx="17">
                        <c:v>0.06</c:v>
                      </c:pt>
                      <c:pt idx="18">
                        <c:v>0.16</c:v>
                      </c:pt>
                      <c:pt idx="19">
                        <c:v>0.26</c:v>
                      </c:pt>
                      <c:pt idx="20">
                        <c:v>0.33</c:v>
                      </c:pt>
                      <c:pt idx="21">
                        <c:v>0.37</c:v>
                      </c:pt>
                      <c:pt idx="22">
                        <c:v>0.17745302713987476</c:v>
                      </c:pt>
                      <c:pt idx="23">
                        <c:v>0.27</c:v>
                      </c:pt>
                      <c:pt idx="24">
                        <c:v>0.05</c:v>
                      </c:pt>
                      <c:pt idx="25">
                        <c:v>0.37</c:v>
                      </c:pt>
                      <c:pt idx="26">
                        <c:v>0.24</c:v>
                      </c:pt>
                    </c:numCache>
                  </c:numRef>
                </c:val>
                <c:extLst xmlns:c15="http://schemas.microsoft.com/office/drawing/2012/chart">
                  <c:ext xmlns:c16="http://schemas.microsoft.com/office/drawing/2014/chart" uri="{C3380CC4-5D6E-409C-BE32-E72D297353CC}">
                    <c16:uniqueId val="{0000000B-5E33-4DE7-B899-4EDD00149A0C}"/>
                  </c:ext>
                </c:extLst>
              </c15:ser>
            </c15:filteredBarSeries>
          </c:ext>
        </c:extLst>
      </c:barChart>
      <c:lineChart>
        <c:grouping val="standard"/>
        <c:varyColors val="0"/>
        <c:ser>
          <c:idx val="2"/>
          <c:order val="0"/>
          <c:tx>
            <c:strRef>
              <c:f>'S0 EU Serbia'!$E$1</c:f>
              <c:strCache>
                <c:ptCount val="1"/>
                <c:pt idx="0">
                  <c:v>S0 праг</c:v>
                </c:pt>
              </c:strCache>
            </c:strRef>
          </c:tx>
          <c:spPr>
            <a:ln w="22225" cap="rnd">
              <a:solidFill>
                <a:schemeClr val="tx1"/>
              </a:solidFill>
              <a:prstDash val="dash"/>
              <a:round/>
            </a:ln>
            <a:effectLst/>
          </c:spPr>
          <c:marker>
            <c:symbol val="none"/>
          </c:marker>
          <c:dLbls>
            <c:dLbl>
              <c:idx val="15"/>
              <c:layout>
                <c:manualLayout>
                  <c:x val="-1.4785464221260244E-2"/>
                  <c:y val="-0.1087967444436417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E33-4DE7-B899-4EDD00149A0C}"/>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sr-Latn-RS"/>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'S0 EU Serbia'!$A$3:$A$29</c:f>
              <c:strCache>
                <c:ptCount val="27"/>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strCache>
            </c:strRef>
          </c:cat>
          <c:val>
            <c:numRef>
              <c:f>'S0 EU Serbia'!$E$3:$E$29</c:f>
              <c:numCache>
                <c:formatCode>0.00</c:formatCode>
                <c:ptCount val="27"/>
                <c:pt idx="0">
                  <c:v>0.46</c:v>
                </c:pt>
                <c:pt idx="1">
                  <c:v>0.46</c:v>
                </c:pt>
                <c:pt idx="2">
                  <c:v>0.46</c:v>
                </c:pt>
                <c:pt idx="3">
                  <c:v>0.46</c:v>
                </c:pt>
                <c:pt idx="4">
                  <c:v>0.46</c:v>
                </c:pt>
                <c:pt idx="5">
                  <c:v>0.46</c:v>
                </c:pt>
                <c:pt idx="6">
                  <c:v>0.46</c:v>
                </c:pt>
                <c:pt idx="7">
                  <c:v>0.46</c:v>
                </c:pt>
                <c:pt idx="8">
                  <c:v>0.46</c:v>
                </c:pt>
                <c:pt idx="9">
                  <c:v>0.46</c:v>
                </c:pt>
                <c:pt idx="10">
                  <c:v>0.46</c:v>
                </c:pt>
                <c:pt idx="11">
                  <c:v>0.46</c:v>
                </c:pt>
                <c:pt idx="12">
                  <c:v>0.46</c:v>
                </c:pt>
                <c:pt idx="13">
                  <c:v>0.46</c:v>
                </c:pt>
                <c:pt idx="14">
                  <c:v>0.46</c:v>
                </c:pt>
                <c:pt idx="15">
                  <c:v>0.46</c:v>
                </c:pt>
                <c:pt idx="16">
                  <c:v>0.46</c:v>
                </c:pt>
                <c:pt idx="17">
                  <c:v>0.46</c:v>
                </c:pt>
                <c:pt idx="18">
                  <c:v>0.46</c:v>
                </c:pt>
                <c:pt idx="19">
                  <c:v>0.46</c:v>
                </c:pt>
                <c:pt idx="20">
                  <c:v>0.46</c:v>
                </c:pt>
                <c:pt idx="21">
                  <c:v>0.46</c:v>
                </c:pt>
                <c:pt idx="22">
                  <c:v>0.46</c:v>
                </c:pt>
                <c:pt idx="23">
                  <c:v>0.46</c:v>
                </c:pt>
                <c:pt idx="24">
                  <c:v>0.46</c:v>
                </c:pt>
                <c:pt idx="25">
                  <c:v>0.46</c:v>
                </c:pt>
                <c:pt idx="26">
                  <c:v>0.46</c:v>
                </c:pt>
              </c:numCache>
            </c:numRef>
          </c:val>
          <c:smooth val="0"/>
          <c:extLst>
            <c:ext xmlns:c16="http://schemas.microsoft.com/office/drawing/2014/chart" uri="{C3380CC4-5D6E-409C-BE32-E72D297353CC}">
              <c16:uniqueId val="{00000004-5E33-4DE7-B899-4EDD00149A0C}"/>
            </c:ext>
          </c:extLst>
        </c:ser>
        <c:dLbls>
          <c:showLegendKey val="0"/>
          <c:showVal val="0"/>
          <c:showCatName val="0"/>
          <c:showSerName val="0"/>
          <c:showPercent val="0"/>
          <c:showBubbleSize val="0"/>
        </c:dLbls>
        <c:marker val="1"/>
        <c:smooth val="0"/>
        <c:axId val="-486950096"/>
        <c:axId val="-486949552"/>
      </c:lineChart>
      <c:catAx>
        <c:axId val="-486950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crossAx val="-486949552"/>
        <c:crosses val="autoZero"/>
        <c:auto val="1"/>
        <c:lblAlgn val="ctr"/>
        <c:lblOffset val="100"/>
        <c:noMultiLvlLbl val="0"/>
      </c:catAx>
      <c:valAx>
        <c:axId val="-486949552"/>
        <c:scaling>
          <c:orientation val="minMax"/>
          <c:max val="0.9"/>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crossAx val="-4869500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noFill/>
    <a:ln w="9525" cap="flat" cmpd="sng" algn="ctr">
      <a:noFill/>
      <a:round/>
    </a:ln>
    <a:effectLst/>
  </c:spPr>
  <c:txPr>
    <a:bodyPr/>
    <a:lstStyle/>
    <a:p>
      <a:pPr>
        <a:defRPr sz="800"/>
      </a:pPr>
      <a:endParaRPr lang="sr-Latn-RS"/>
    </a:p>
  </c:txPr>
  <c:externalData r:id="rId3">
    <c:autoUpdate val="0"/>
  </c:externalData>
  <c:userShapes r:id="rId4"/>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spc="0" baseline="0">
                <a:solidFill>
                  <a:srgbClr val="002060"/>
                </a:solidFill>
                <a:latin typeface="+mn-lt"/>
                <a:ea typeface="+mn-ea"/>
                <a:cs typeface="+mn-cs"/>
              </a:defRPr>
            </a:pPr>
            <a:r>
              <a:rPr lang="sr-Cyrl-RS" sz="900" b="1">
                <a:solidFill>
                  <a:srgbClr val="002060"/>
                </a:solidFill>
              </a:rPr>
              <a:t>Фискални подиндекс и подиндекс макро-финансијске конкурентности за земље ЕУ и Србију за  20</a:t>
            </a:r>
            <a:r>
              <a:rPr lang="sr-Latn-RS" sz="900" b="1">
                <a:solidFill>
                  <a:srgbClr val="002060"/>
                </a:solidFill>
              </a:rPr>
              <a:t>21</a:t>
            </a:r>
            <a:r>
              <a:rPr lang="sr-Cyrl-RS" sz="900" b="1">
                <a:solidFill>
                  <a:srgbClr val="002060"/>
                </a:solidFill>
              </a:rPr>
              <a:t>. годину</a:t>
            </a:r>
            <a:endParaRPr lang="en-US" sz="900" b="1">
              <a:solidFill>
                <a:srgbClr val="002060"/>
              </a:solidFill>
            </a:endParaRPr>
          </a:p>
        </c:rich>
      </c:tx>
      <c:layout>
        <c:manualLayout>
          <c:xMode val="edge"/>
          <c:yMode val="edge"/>
          <c:x val="0.18268147080983962"/>
          <c:y val="0"/>
        </c:manualLayout>
      </c:layout>
      <c:overlay val="0"/>
      <c:spPr>
        <a:noFill/>
        <a:ln>
          <a:noFill/>
        </a:ln>
        <a:effectLst/>
      </c:spPr>
      <c:txPr>
        <a:bodyPr rot="0" spcFirstLastPara="1" vertOverflow="ellipsis" vert="horz" wrap="square" anchor="ctr" anchorCtr="1"/>
        <a:lstStyle/>
        <a:p>
          <a:pPr>
            <a:defRPr sz="900" b="0" i="0" u="none" strike="noStrike" kern="1200" spc="0" baseline="0">
              <a:solidFill>
                <a:srgbClr val="002060"/>
              </a:solidFill>
              <a:latin typeface="+mn-lt"/>
              <a:ea typeface="+mn-ea"/>
              <a:cs typeface="+mn-cs"/>
            </a:defRPr>
          </a:pPr>
          <a:endParaRPr lang="sr-Latn-RS"/>
        </a:p>
      </c:txPr>
    </c:title>
    <c:autoTitleDeleted val="0"/>
    <c:plotArea>
      <c:layout>
        <c:manualLayout>
          <c:layoutTarget val="inner"/>
          <c:xMode val="edge"/>
          <c:yMode val="edge"/>
          <c:x val="0.12890787490080038"/>
          <c:y val="8.2473495136371477E-2"/>
          <c:w val="0.8350736412725478"/>
          <c:h val="0.81333285058353966"/>
        </c:manualLayout>
      </c:layout>
      <c:scatterChart>
        <c:scatterStyle val="lineMarker"/>
        <c:varyColors val="0"/>
        <c:ser>
          <c:idx val="0"/>
          <c:order val="0"/>
          <c:spPr>
            <a:ln w="28575" cap="rnd">
              <a:noFill/>
              <a:round/>
            </a:ln>
            <a:effectLst/>
          </c:spPr>
          <c:marker>
            <c:symbol val="circle"/>
            <c:size val="5"/>
            <c:spPr>
              <a:solidFill>
                <a:srgbClr val="5297AC"/>
              </a:solidFill>
              <a:ln w="9525">
                <a:noFill/>
              </a:ln>
              <a:effectLst/>
            </c:spPr>
          </c:marker>
          <c:dLbls>
            <c:dLbl>
              <c:idx val="0"/>
              <c:layout>
                <c:manualLayout>
                  <c:x val="1.2766232659233342E-2"/>
                  <c:y val="-9.0121351820277307E-3"/>
                </c:manualLayout>
              </c:layout>
              <c:tx>
                <c:rich>
                  <a:bodyPr/>
                  <a:lstStyle/>
                  <a:p>
                    <a:fld id="{F93F1C82-F423-4B98-A875-D663BF079CA4}"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0-7EA5-4516-8C77-93D0C35C372B}"/>
                </c:ext>
              </c:extLst>
            </c:dLbl>
            <c:dLbl>
              <c:idx val="1"/>
              <c:layout>
                <c:manualLayout>
                  <c:x val="3.5938791092701024E-3"/>
                  <c:y val="4.5376100206726819E-2"/>
                </c:manualLayout>
              </c:layout>
              <c:tx>
                <c:rich>
                  <a:bodyPr/>
                  <a:lstStyle/>
                  <a:p>
                    <a:fld id="{AB9020EA-F6C9-44AB-B5A6-67A04175EC01}"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1-7EA5-4516-8C77-93D0C35C372B}"/>
                </c:ext>
              </c:extLst>
            </c:dLbl>
            <c:dLbl>
              <c:idx val="2"/>
              <c:layout>
                <c:manualLayout>
                  <c:x val="1.0809429674157153E-2"/>
                  <c:y val="9.6898709679296511E-3"/>
                </c:manualLayout>
              </c:layout>
              <c:tx>
                <c:rich>
                  <a:bodyPr/>
                  <a:lstStyle/>
                  <a:p>
                    <a:fld id="{89235DEC-9D70-450F-BBBC-C81C4C431C8D}"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2-7EA5-4516-8C77-93D0C35C372B}"/>
                </c:ext>
              </c:extLst>
            </c:dLbl>
            <c:dLbl>
              <c:idx val="3"/>
              <c:layout>
                <c:manualLayout>
                  <c:x val="-6.2786347084567928E-2"/>
                  <c:y val="7.4523320550741193E-2"/>
                </c:manualLayout>
              </c:layout>
              <c:tx>
                <c:rich>
                  <a:bodyPr/>
                  <a:lstStyle/>
                  <a:p>
                    <a:fld id="{C8C5622B-BB8F-4D10-A6A3-B1D4DFEB789E}"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3-7EA5-4516-8C77-93D0C35C372B}"/>
                </c:ext>
              </c:extLst>
            </c:dLbl>
            <c:dLbl>
              <c:idx val="4"/>
              <c:layout>
                <c:manualLayout>
                  <c:x val="-6.3559149523694417E-2"/>
                  <c:y val="-3.5713111797924649E-2"/>
                </c:manualLayout>
              </c:layout>
              <c:tx>
                <c:rich>
                  <a:bodyPr/>
                  <a:lstStyle/>
                  <a:p>
                    <a:fld id="{6596261E-694C-4918-927B-AEE2683A8369}"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7EA5-4516-8C77-93D0C35C372B}"/>
                </c:ext>
              </c:extLst>
            </c:dLbl>
            <c:dLbl>
              <c:idx val="5"/>
              <c:layout>
                <c:manualLayout>
                  <c:x val="-2.9519651923789324E-2"/>
                  <c:y val="3.867390768193911E-2"/>
                </c:manualLayout>
              </c:layout>
              <c:tx>
                <c:rich>
                  <a:bodyPr/>
                  <a:lstStyle/>
                  <a:p>
                    <a:fld id="{082721EA-186B-4428-8164-34CD6E386DE0}"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7EA5-4516-8C77-93D0C35C372B}"/>
                </c:ext>
              </c:extLst>
            </c:dLbl>
            <c:dLbl>
              <c:idx val="6"/>
              <c:layout>
                <c:manualLayout>
                  <c:x val="7.4412262741547141E-3"/>
                  <c:y val="4.0832612489187223E-2"/>
                </c:manualLayout>
              </c:layout>
              <c:tx>
                <c:rich>
                  <a:bodyPr/>
                  <a:lstStyle/>
                  <a:p>
                    <a:fld id="{EDF6B6A7-ED88-4574-8FBA-DFBE7840C24D}"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7EA5-4516-8C77-93D0C35C372B}"/>
                </c:ext>
              </c:extLst>
            </c:dLbl>
            <c:dLbl>
              <c:idx val="7"/>
              <c:layout>
                <c:manualLayout>
                  <c:x val="3.5179432468333841E-2"/>
                  <c:y val="-8.7698347640588308E-3"/>
                </c:manualLayout>
              </c:layout>
              <c:tx>
                <c:rich>
                  <a:bodyPr/>
                  <a:lstStyle/>
                  <a:p>
                    <a:fld id="{24BFA311-D49A-4815-ADD9-06AF00B42E91}"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7EA5-4516-8C77-93D0C35C372B}"/>
                </c:ext>
              </c:extLst>
            </c:dLbl>
            <c:dLbl>
              <c:idx val="8"/>
              <c:layout>
                <c:manualLayout>
                  <c:x val="-0.11342646626441595"/>
                  <c:y val="4.0277104156562347E-2"/>
                </c:manualLayout>
              </c:layout>
              <c:tx>
                <c:rich>
                  <a:bodyPr/>
                  <a:lstStyle/>
                  <a:p>
                    <a:fld id="{0FD897A3-9786-48C5-9818-B66C9A69A171}"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7EA5-4516-8C77-93D0C35C372B}"/>
                </c:ext>
              </c:extLst>
            </c:dLbl>
            <c:dLbl>
              <c:idx val="9"/>
              <c:layout>
                <c:manualLayout>
                  <c:x val="1.995639888890369E-2"/>
                  <c:y val="1.2672324895787668E-2"/>
                </c:manualLayout>
              </c:layout>
              <c:tx>
                <c:rich>
                  <a:bodyPr/>
                  <a:lstStyle/>
                  <a:p>
                    <a:fld id="{59F1012E-0837-40C3-AC60-0BC661E16047}"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7EA5-4516-8C77-93D0C35C372B}"/>
                </c:ext>
              </c:extLst>
            </c:dLbl>
            <c:dLbl>
              <c:idx val="10"/>
              <c:layout>
                <c:manualLayout>
                  <c:x val="-0.10942138227476156"/>
                  <c:y val="1.0535158027370411E-2"/>
                </c:manualLayout>
              </c:layout>
              <c:tx>
                <c:rich>
                  <a:bodyPr/>
                  <a:lstStyle/>
                  <a:p>
                    <a:fld id="{7311A803-F88B-4D7B-B2F2-0342FE24AECF}"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7EA5-4516-8C77-93D0C35C372B}"/>
                </c:ext>
              </c:extLst>
            </c:dLbl>
            <c:dLbl>
              <c:idx val="11"/>
              <c:layout>
                <c:manualLayout>
                  <c:x val="-8.8402138604946282E-3"/>
                  <c:y val="-3.7069806047090703E-2"/>
                </c:manualLayout>
              </c:layout>
              <c:tx>
                <c:rich>
                  <a:bodyPr/>
                  <a:lstStyle/>
                  <a:p>
                    <a:fld id="{71693296-F249-4C86-83C8-6726E6CDB7FF}"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7EA5-4516-8C77-93D0C35C372B}"/>
                </c:ext>
              </c:extLst>
            </c:dLbl>
            <c:dLbl>
              <c:idx val="12"/>
              <c:layout>
                <c:manualLayout>
                  <c:x val="9.7471942430993538E-3"/>
                  <c:y val="-1.0329550293986685E-3"/>
                </c:manualLayout>
              </c:layout>
              <c:tx>
                <c:rich>
                  <a:bodyPr/>
                  <a:lstStyle/>
                  <a:p>
                    <a:fld id="{77E5CC89-0431-47D0-BC2A-41EA412D6411}"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7EA5-4516-8C77-93D0C35C372B}"/>
                </c:ext>
              </c:extLst>
            </c:dLbl>
            <c:dLbl>
              <c:idx val="13"/>
              <c:layout>
                <c:manualLayout>
                  <c:x val="-5.2737909447343807E-2"/>
                  <c:y val="5.2851671102548771E-2"/>
                </c:manualLayout>
              </c:layout>
              <c:tx>
                <c:rich>
                  <a:bodyPr/>
                  <a:lstStyle/>
                  <a:p>
                    <a:fld id="{527FCB63-D35E-46AB-B908-3D8D1595DA9F}"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7EA5-4516-8C77-93D0C35C372B}"/>
                </c:ext>
              </c:extLst>
            </c:dLbl>
            <c:dLbl>
              <c:idx val="14"/>
              <c:layout>
                <c:manualLayout>
                  <c:x val="-0.1239547612323664"/>
                  <c:y val="9.0063434381454158E-3"/>
                </c:manualLayout>
              </c:layout>
              <c:tx>
                <c:rich>
                  <a:bodyPr/>
                  <a:lstStyle/>
                  <a:p>
                    <a:fld id="{4E300501-9429-4E54-9960-292A1295BC01}"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7EA5-4516-8C77-93D0C35C372B}"/>
                </c:ext>
              </c:extLst>
            </c:dLbl>
            <c:dLbl>
              <c:idx val="15"/>
              <c:layout>
                <c:manualLayout>
                  <c:x val="-3.6899564904737331E-3"/>
                  <c:y val="3.0265078709069866E-2"/>
                </c:manualLayout>
              </c:layout>
              <c:tx>
                <c:rich>
                  <a:bodyPr/>
                  <a:lstStyle/>
                  <a:p>
                    <a:fld id="{C3B522BE-5534-4658-A148-4666528F437D}"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7EA5-4516-8C77-93D0C35C372B}"/>
                </c:ext>
              </c:extLst>
            </c:dLbl>
            <c:dLbl>
              <c:idx val="16"/>
              <c:layout>
                <c:manualLayout>
                  <c:x val="-3.3209608414262987E-2"/>
                  <c:y val="4.0497730363975207E-2"/>
                </c:manualLayout>
              </c:layout>
              <c:tx>
                <c:rich>
                  <a:bodyPr/>
                  <a:lstStyle/>
                  <a:p>
                    <a:fld id="{71405139-B0EA-4CD5-82C6-087CE43C7AF9}"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0-7EA5-4516-8C77-93D0C35C372B}"/>
                </c:ext>
              </c:extLst>
            </c:dLbl>
            <c:dLbl>
              <c:idx val="17"/>
              <c:layout>
                <c:manualLayout>
                  <c:x val="3.011931079592969E-2"/>
                  <c:y val="3.2688180164529797E-2"/>
                </c:manualLayout>
              </c:layout>
              <c:tx>
                <c:rich>
                  <a:bodyPr/>
                  <a:lstStyle/>
                  <a:p>
                    <a:fld id="{48C65203-039D-403E-974F-6312D17ADE0C}"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7EA5-4516-8C77-93D0C35C372B}"/>
                </c:ext>
              </c:extLst>
            </c:dLbl>
            <c:dLbl>
              <c:idx val="18"/>
              <c:layout>
                <c:manualLayout>
                  <c:x val="-4.2136783170389496E-4"/>
                  <c:y val="-1.6646213872523959E-2"/>
                </c:manualLayout>
              </c:layout>
              <c:tx>
                <c:rich>
                  <a:bodyPr/>
                  <a:lstStyle/>
                  <a:p>
                    <a:fld id="{BCCD89EB-4318-4763-A1F9-22B6004EBFCD}"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7EA5-4516-8C77-93D0C35C372B}"/>
                </c:ext>
              </c:extLst>
            </c:dLbl>
            <c:dLbl>
              <c:idx val="19"/>
              <c:layout>
                <c:manualLayout>
                  <c:x val="-4.2645114150338663E-2"/>
                  <c:y val="3.8368148354382646E-2"/>
                </c:manualLayout>
              </c:layout>
              <c:tx>
                <c:rich>
                  <a:bodyPr/>
                  <a:lstStyle/>
                  <a:p>
                    <a:fld id="{9C9BF730-1A36-47D6-AE37-835DF6489B8F}"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7EA5-4516-8C77-93D0C35C372B}"/>
                </c:ext>
              </c:extLst>
            </c:dLbl>
            <c:dLbl>
              <c:idx val="20"/>
              <c:layout>
                <c:manualLayout>
                  <c:x val="1.7976717185980037E-2"/>
                  <c:y val="3.5789253115696203E-2"/>
                </c:manualLayout>
              </c:layout>
              <c:tx>
                <c:rich>
                  <a:bodyPr/>
                  <a:lstStyle/>
                  <a:p>
                    <a:fld id="{8EA49234-79FB-4122-A8E7-B77EC9DB8D41}"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7EA5-4516-8C77-93D0C35C372B}"/>
                </c:ext>
              </c:extLst>
            </c:dLbl>
            <c:dLbl>
              <c:idx val="21"/>
              <c:layout>
                <c:manualLayout>
                  <c:x val="1.3023553266422513E-3"/>
                  <c:y val="-1.8134336538843977E-2"/>
                </c:manualLayout>
              </c:layout>
              <c:tx>
                <c:rich>
                  <a:bodyPr/>
                  <a:lstStyle/>
                  <a:p>
                    <a:fld id="{B1D7D473-FB7D-412E-ABE2-CE388111CC35}"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7EA5-4516-8C77-93D0C35C372B}"/>
                </c:ext>
              </c:extLst>
            </c:dLbl>
            <c:dLbl>
              <c:idx val="22"/>
              <c:layout>
                <c:manualLayout>
                  <c:x val="-0.11685798548317475"/>
                  <c:y val="-3.6766082165014813E-3"/>
                </c:manualLayout>
              </c:layout>
              <c:tx>
                <c:rich>
                  <a:bodyPr/>
                  <a:lstStyle/>
                  <a:p>
                    <a:fld id="{01AA4F0E-F632-4A99-9AFE-F3573492C6BB}" type="CELLRANGE">
                      <a:rPr lang="sr-Cyrl-CS">
                        <a:solidFill>
                          <a:schemeClr val="tx1">
                            <a:lumMod val="50000"/>
                            <a:lumOff val="50000"/>
                          </a:schemeClr>
                        </a:solidFill>
                      </a:rPr>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7EA5-4516-8C77-93D0C35C372B}"/>
                </c:ext>
              </c:extLst>
            </c:dLbl>
            <c:dLbl>
              <c:idx val="23"/>
              <c:layout>
                <c:manualLayout>
                  <c:x val="-1.0859892303700238E-2"/>
                  <c:y val="3.8812582188732833E-2"/>
                </c:manualLayout>
              </c:layout>
              <c:tx>
                <c:rich>
                  <a:bodyPr/>
                  <a:lstStyle/>
                  <a:p>
                    <a:fld id="{9E754691-3CF2-4FE7-BA9A-1C76531E36EE}" type="CELLRANGE">
                      <a:rPr lang="sr-Cyrl-CS">
                        <a:solidFill>
                          <a:schemeClr val="tx1">
                            <a:lumMod val="50000"/>
                            <a:lumOff val="50000"/>
                          </a:schemeClr>
                        </a:solidFill>
                      </a:rPr>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7EA5-4516-8C77-93D0C35C372B}"/>
                </c:ext>
              </c:extLst>
            </c:dLbl>
            <c:dLbl>
              <c:idx val="24"/>
              <c:layout>
                <c:manualLayout>
                  <c:x val="9.2252664000588424E-4"/>
                  <c:y val="-2.0041919220529381E-3"/>
                </c:manualLayout>
              </c:layout>
              <c:tx>
                <c:rich>
                  <a:bodyPr/>
                  <a:lstStyle/>
                  <a:p>
                    <a:r>
                      <a:rPr lang="sr-Cyrl-CS"/>
                      <a:t>Кипар</a:t>
                    </a:r>
                  </a:p>
                </c:rich>
              </c:tx>
              <c:showLegendKey val="0"/>
              <c:showVal val="0"/>
              <c:showCatName val="0"/>
              <c:showSerName val="0"/>
              <c:showPercent val="0"/>
              <c:showBubbleSize val="0"/>
              <c:extLst>
                <c:ext xmlns:c15="http://schemas.microsoft.com/office/drawing/2012/chart" uri="{CE6537A1-D6FC-4f65-9D91-7224C49458BB}">
                  <c15:layout>
                    <c:manualLayout>
                      <c:w val="0.13100275293998009"/>
                      <c:h val="3.706857368218909E-2"/>
                    </c:manualLayout>
                  </c15:layout>
                  <c15:showDataLabelsRange val="0"/>
                </c:ext>
                <c:ext xmlns:c16="http://schemas.microsoft.com/office/drawing/2014/chart" uri="{C3380CC4-5D6E-409C-BE32-E72D297353CC}">
                  <c16:uniqueId val="{00000018-7EA5-4516-8C77-93D0C35C372B}"/>
                </c:ext>
              </c:extLst>
            </c:dLbl>
            <c:dLbl>
              <c:idx val="25"/>
              <c:layout>
                <c:manualLayout>
                  <c:x val="7.4934432371674782E-3"/>
                  <c:y val="2.0292448652572227E-2"/>
                </c:manualLayout>
              </c:layout>
              <c:tx>
                <c:rich>
                  <a:bodyPr/>
                  <a:lstStyle/>
                  <a:p>
                    <a:r>
                      <a:rPr lang="sr-Cyrl-CS"/>
                      <a:t>Португал</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9-7EA5-4516-8C77-93D0C35C372B}"/>
                </c:ext>
              </c:extLst>
            </c:dLbl>
            <c:dLbl>
              <c:idx val="26"/>
              <c:layout>
                <c:manualLayout>
                  <c:x val="1.4986886474334956E-2"/>
                  <c:y val="1.1595684944327016E-2"/>
                </c:manualLayout>
              </c:layout>
              <c:tx>
                <c:rich>
                  <a:bodyPr rot="0" spcFirstLastPara="1" vertOverflow="ellipsis" vert="horz" wrap="square" anchor="ctr" anchorCtr="1"/>
                  <a:lstStyle/>
                  <a:p>
                    <a:pPr>
                      <a:defRPr sz="600" b="0" i="0" u="none" strike="noStrike" kern="1200" baseline="0">
                        <a:solidFill>
                          <a:srgbClr val="FF0000"/>
                        </a:solidFill>
                        <a:latin typeface="+mn-lt"/>
                        <a:ea typeface="+mn-ea"/>
                        <a:cs typeface="+mn-cs"/>
                      </a:defRPr>
                    </a:pPr>
                    <a:r>
                      <a:rPr lang="sr-Cyrl-CS">
                        <a:solidFill>
                          <a:srgbClr val="FF0000"/>
                        </a:solidFill>
                      </a:rPr>
                      <a:t>Србија</a:t>
                    </a:r>
                    <a:r>
                      <a:rPr lang="sr-Cyrl-CS" baseline="0">
                        <a:solidFill>
                          <a:srgbClr val="FF0000"/>
                        </a:solidFill>
                      </a:rPr>
                      <a:t> 2021</a:t>
                    </a:r>
                    <a:endParaRPr lang="sr-Cyrl-CS">
                      <a:solidFill>
                        <a:srgbClr val="FF0000"/>
                      </a:solidFill>
                    </a:endParaRPr>
                  </a:p>
                </c:rich>
              </c:tx>
              <c:spPr>
                <a:noFill/>
                <a:ln>
                  <a:noFill/>
                </a:ln>
                <a:effectLst/>
              </c:spPr>
              <c:txPr>
                <a:bodyPr rot="0" spcFirstLastPara="1" vertOverflow="ellipsis" vert="horz" wrap="square" anchor="ctr" anchorCtr="1"/>
                <a:lstStyle/>
                <a:p>
                  <a:pPr>
                    <a:defRPr sz="600" b="0" i="0" u="none" strike="noStrike" kern="1200" baseline="0">
                      <a:solidFill>
                        <a:srgbClr val="FF0000"/>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A-7EA5-4516-8C77-93D0C35C372B}"/>
                </c:ext>
              </c:extLst>
            </c:dLbl>
            <c:dLbl>
              <c:idx val="27"/>
              <c:delete val="1"/>
              <c:extLst>
                <c:ext xmlns:c15="http://schemas.microsoft.com/office/drawing/2012/chart" uri="{CE6537A1-D6FC-4f65-9D91-7224C49458BB}"/>
                <c:ext xmlns:c16="http://schemas.microsoft.com/office/drawing/2014/chart" uri="{C3380CC4-5D6E-409C-BE32-E72D297353CC}">
                  <c16:uniqueId val="{0000001B-7EA5-4516-8C77-93D0C35C372B}"/>
                </c:ext>
              </c:extLst>
            </c:dLbl>
            <c:dLbl>
              <c:idx val="2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C-7EA5-4516-8C77-93D0C35C372B}"/>
                </c:ext>
              </c:extLst>
            </c:dLbl>
            <c:dLbl>
              <c:idx val="29"/>
              <c:layout>
                <c:manualLayout>
                  <c:x val="0.27121180204981443"/>
                  <c:y val="-0.10981647825182873"/>
                </c:manualLayout>
              </c:layout>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layout>
                    <c:manualLayout>
                      <c:w val="6.4583536111454121E-2"/>
                      <c:h val="3.6566409796610792E-2"/>
                    </c:manualLayout>
                  </c15:layout>
                  <c15:showDataLabelsRange val="0"/>
                </c:ext>
                <c:ext xmlns:c16="http://schemas.microsoft.com/office/drawing/2014/chart" uri="{C3380CC4-5D6E-409C-BE32-E72D297353CC}">
                  <c16:uniqueId val="{0000001D-7EA5-4516-8C77-93D0C35C372B}"/>
                </c:ext>
              </c:extLst>
            </c:dLbl>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sr-Latn-R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'2021'!$D$4:$D$30</c:f>
              <c:numCache>
                <c:formatCode>0.00</c:formatCode>
                <c:ptCount val="27"/>
                <c:pt idx="0">
                  <c:v>0.41</c:v>
                </c:pt>
                <c:pt idx="1">
                  <c:v>0.56999999999999995</c:v>
                </c:pt>
                <c:pt idx="2">
                  <c:v>0.22</c:v>
                </c:pt>
                <c:pt idx="3">
                  <c:v>0.22</c:v>
                </c:pt>
                <c:pt idx="4">
                  <c:v>0.33</c:v>
                </c:pt>
                <c:pt idx="5">
                  <c:v>0.08</c:v>
                </c:pt>
                <c:pt idx="6">
                  <c:v>0.22</c:v>
                </c:pt>
                <c:pt idx="7">
                  <c:v>0.28999999999999998</c:v>
                </c:pt>
                <c:pt idx="8">
                  <c:v>0.69</c:v>
                </c:pt>
                <c:pt idx="9">
                  <c:v>0.56999999999999995</c:v>
                </c:pt>
                <c:pt idx="10">
                  <c:v>0.22</c:v>
                </c:pt>
                <c:pt idx="11">
                  <c:v>0.69</c:v>
                </c:pt>
                <c:pt idx="12">
                  <c:v>0.32</c:v>
                </c:pt>
                <c:pt idx="13">
                  <c:v>0.45</c:v>
                </c:pt>
                <c:pt idx="14">
                  <c:v>0.26</c:v>
                </c:pt>
                <c:pt idx="15">
                  <c:v>0.08</c:v>
                </c:pt>
                <c:pt idx="16">
                  <c:v>0.45</c:v>
                </c:pt>
                <c:pt idx="17">
                  <c:v>0.37</c:v>
                </c:pt>
                <c:pt idx="18">
                  <c:v>0.22</c:v>
                </c:pt>
                <c:pt idx="19">
                  <c:v>0.22</c:v>
                </c:pt>
                <c:pt idx="20">
                  <c:v>0.28000000000000003</c:v>
                </c:pt>
                <c:pt idx="21">
                  <c:v>0.28999999999999998</c:v>
                </c:pt>
                <c:pt idx="22">
                  <c:v>0.56999999999999995</c:v>
                </c:pt>
                <c:pt idx="23">
                  <c:v>0.08</c:v>
                </c:pt>
                <c:pt idx="24">
                  <c:v>0.41</c:v>
                </c:pt>
                <c:pt idx="25">
                  <c:v>0.53</c:v>
                </c:pt>
                <c:pt idx="26">
                  <c:v>0.21560000000000001</c:v>
                </c:pt>
              </c:numCache>
            </c:numRef>
          </c:xVal>
          <c:yVal>
            <c:numRef>
              <c:f>'2021'!$E$4:$E$30</c:f>
              <c:numCache>
                <c:formatCode>0.00</c:formatCode>
                <c:ptCount val="27"/>
                <c:pt idx="0">
                  <c:v>0.06</c:v>
                </c:pt>
                <c:pt idx="1">
                  <c:v>0.18</c:v>
                </c:pt>
                <c:pt idx="2">
                  <c:v>0.38</c:v>
                </c:pt>
                <c:pt idx="3">
                  <c:v>0.25</c:v>
                </c:pt>
                <c:pt idx="4">
                  <c:v>0.41</c:v>
                </c:pt>
                <c:pt idx="5">
                  <c:v>0.24</c:v>
                </c:pt>
                <c:pt idx="6">
                  <c:v>0.22</c:v>
                </c:pt>
                <c:pt idx="7">
                  <c:v>0.24</c:v>
                </c:pt>
                <c:pt idx="8">
                  <c:v>0.33</c:v>
                </c:pt>
                <c:pt idx="9">
                  <c:v>0.22</c:v>
                </c:pt>
                <c:pt idx="10">
                  <c:v>0.43</c:v>
                </c:pt>
                <c:pt idx="11">
                  <c:v>7.0000000000000007E-2</c:v>
                </c:pt>
                <c:pt idx="12">
                  <c:v>0.22</c:v>
                </c:pt>
                <c:pt idx="13">
                  <c:v>0.24</c:v>
                </c:pt>
                <c:pt idx="14">
                  <c:v>0.13</c:v>
                </c:pt>
                <c:pt idx="15">
                  <c:v>0.41</c:v>
                </c:pt>
                <c:pt idx="16">
                  <c:v>0.22</c:v>
                </c:pt>
                <c:pt idx="17">
                  <c:v>0.3</c:v>
                </c:pt>
                <c:pt idx="18">
                  <c:v>0.22</c:v>
                </c:pt>
                <c:pt idx="19">
                  <c:v>0.37</c:v>
                </c:pt>
                <c:pt idx="20">
                  <c:v>0.22</c:v>
                </c:pt>
                <c:pt idx="21">
                  <c:v>0.13</c:v>
                </c:pt>
                <c:pt idx="22">
                  <c:v>0.22</c:v>
                </c:pt>
                <c:pt idx="23">
                  <c:v>0.37</c:v>
                </c:pt>
                <c:pt idx="24">
                  <c:v>0.51</c:v>
                </c:pt>
                <c:pt idx="25">
                  <c:v>0.33</c:v>
                </c:pt>
                <c:pt idx="26">
                  <c:v>0.27239999999999998</c:v>
                </c:pt>
              </c:numCache>
            </c:numRef>
          </c:yVal>
          <c:smooth val="0"/>
          <c:extLst>
            <c:ext xmlns:c15="http://schemas.microsoft.com/office/drawing/2012/chart" uri="{02D57815-91ED-43cb-92C2-25804820EDAC}">
              <c15:datalabelsRange>
                <c15:f>'2021'!$B$4:$B$33</c15:f>
                <c15:dlblRangeCache>
                  <c:ptCount val="30"/>
                  <c:pt idx="0">
                    <c:v>Аустрија</c:v>
                  </c:pt>
                  <c:pt idx="1">
                    <c:v>Белгија</c:v>
                  </c:pt>
                  <c:pt idx="2">
                    <c:v>Бугарска</c:v>
                  </c:pt>
                  <c:pt idx="3">
                    <c:v>Чешка</c:v>
                  </c:pt>
                  <c:pt idx="4">
                    <c:v>Хрватска</c:v>
                  </c:pt>
                  <c:pt idx="5">
                    <c:v>Данска</c:v>
                  </c:pt>
                  <c:pt idx="6">
                    <c:v>Естонија</c:v>
                  </c:pt>
                  <c:pt idx="7">
                    <c:v>Финска</c:v>
                  </c:pt>
                  <c:pt idx="8">
                    <c:v>Француска</c:v>
                  </c:pt>
                  <c:pt idx="9">
                    <c:v>Мађарска</c:v>
                  </c:pt>
                  <c:pt idx="10">
                    <c:v>Ирска</c:v>
                  </c:pt>
                  <c:pt idx="11">
                    <c:v>Италија</c:v>
                  </c:pt>
                  <c:pt idx="12">
                    <c:v>Летонија</c:v>
                  </c:pt>
                  <c:pt idx="13">
                    <c:v>Немачка</c:v>
                  </c:pt>
                  <c:pt idx="14">
                    <c:v>Литванија</c:v>
                  </c:pt>
                  <c:pt idx="15">
                    <c:v>Луксембург</c:v>
                  </c:pt>
                  <c:pt idx="16">
                    <c:v>Малта</c:v>
                  </c:pt>
                  <c:pt idx="17">
                    <c:v>Холандија</c:v>
                  </c:pt>
                  <c:pt idx="18">
                    <c:v>Пољска</c:v>
                  </c:pt>
                  <c:pt idx="19">
                    <c:v>Румунија</c:v>
                  </c:pt>
                  <c:pt idx="20">
                    <c:v>Словачка</c:v>
                  </c:pt>
                  <c:pt idx="21">
                    <c:v>Словенија</c:v>
                  </c:pt>
                  <c:pt idx="22">
                    <c:v>Шпанија</c:v>
                  </c:pt>
                  <c:pt idx="23">
                    <c:v>Шведска</c:v>
                  </c:pt>
                  <c:pt idx="24">
                    <c:v>Кипар</c:v>
                  </c:pt>
                  <c:pt idx="25">
                    <c:v>Португал</c:v>
                  </c:pt>
                  <c:pt idx="26">
                    <c:v>Србија 2021</c:v>
                  </c:pt>
                  <c:pt idx="29">
                    <c:v>Србија 2019,2018,2017</c:v>
                  </c:pt>
                </c15:dlblRangeCache>
              </c15:datalabelsRange>
            </c:ext>
            <c:ext xmlns:c16="http://schemas.microsoft.com/office/drawing/2014/chart" uri="{C3380CC4-5D6E-409C-BE32-E72D297353CC}">
              <c16:uniqueId val="{0000001E-7EA5-4516-8C77-93D0C35C372B}"/>
            </c:ext>
          </c:extLst>
        </c:ser>
        <c:dLbls>
          <c:showLegendKey val="0"/>
          <c:showVal val="0"/>
          <c:showCatName val="0"/>
          <c:showSerName val="0"/>
          <c:showPercent val="0"/>
          <c:showBubbleSize val="0"/>
        </c:dLbls>
        <c:axId val="-262788736"/>
        <c:axId val="-262793088"/>
      </c:scatterChart>
      <c:valAx>
        <c:axId val="-262788736"/>
        <c:scaling>
          <c:orientation val="minMax"/>
        </c:scaling>
        <c:delete val="0"/>
        <c:axPos val="b"/>
        <c:title>
          <c:tx>
            <c:rich>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r>
                  <a:rPr lang="sr-Cyrl-RS"/>
                  <a:t>Фискални подиндекс</a:t>
                </a:r>
                <a:endParaRPr lang="en-US"/>
              </a:p>
            </c:rich>
          </c:tx>
          <c:layout>
            <c:manualLayout>
              <c:xMode val="edge"/>
              <c:yMode val="edge"/>
              <c:x val="0.40828237164360764"/>
              <c:y val="0.94716743140920345"/>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sr-Latn-RS"/>
            </a:p>
          </c:txPr>
        </c:title>
        <c:numFmt formatCode="0.0" sourceLinked="0"/>
        <c:majorTickMark val="none"/>
        <c:minorTickMark val="none"/>
        <c:tickLblPos val="nextTo"/>
        <c:spPr>
          <a:noFill/>
          <a:ln w="6350"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sr-Latn-RS"/>
          </a:p>
        </c:txPr>
        <c:crossAx val="-262793088"/>
        <c:crosses val="autoZero"/>
        <c:crossBetween val="midCat"/>
        <c:minorUnit val="1.0000000000000002E-2"/>
      </c:valAx>
      <c:valAx>
        <c:axId val="-262793088"/>
        <c:scaling>
          <c:orientation val="minMax"/>
        </c:scaling>
        <c:delete val="0"/>
        <c:axPos val="l"/>
        <c:title>
          <c:tx>
            <c:rich>
              <a:bodyPr rot="-54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r>
                  <a:rPr lang="sr-Cyrl-RS"/>
                  <a:t>Подиндекс макро-финансијске конкурентности</a:t>
                </a:r>
                <a:endParaRPr lang="en-US"/>
              </a:p>
            </c:rich>
          </c:tx>
          <c:layout>
            <c:manualLayout>
              <c:xMode val="edge"/>
              <c:yMode val="edge"/>
              <c:x val="7.5252738518095334E-3"/>
              <c:y val="0.26987619353336229"/>
            </c:manualLayout>
          </c:layout>
          <c:overlay val="0"/>
          <c:spPr>
            <a:noFill/>
            <a:ln>
              <a:noFill/>
            </a:ln>
            <a:effectLst/>
          </c:spPr>
          <c:txPr>
            <a:bodyPr rot="-54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sr-Latn-RS"/>
            </a:p>
          </c:txPr>
        </c:title>
        <c:numFmt formatCode="0.0" sourceLinked="0"/>
        <c:majorTickMark val="none"/>
        <c:minorTickMark val="none"/>
        <c:tickLblPos val="nextTo"/>
        <c:spPr>
          <a:noFill/>
          <a:ln w="6350"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sr-Latn-RS"/>
          </a:p>
        </c:txPr>
        <c:crossAx val="-262788736"/>
        <c:crosses val="autoZero"/>
        <c:crossBetween val="midCat"/>
        <c:minorUnit val="1.0000000000000002E-2"/>
      </c:valAx>
      <c:spPr>
        <a:noFill/>
        <a:ln>
          <a:noFill/>
        </a:ln>
        <a:effectLst/>
      </c:spPr>
    </c:plotArea>
    <c:plotVisOnly val="1"/>
    <c:dispBlanksAs val="gap"/>
    <c:showDLblsOverMax val="0"/>
  </c:chart>
  <c:spPr>
    <a:noFill/>
    <a:ln w="9525" cap="flat" cmpd="sng" algn="ctr">
      <a:noFill/>
      <a:round/>
    </a:ln>
    <a:effectLst/>
  </c:spPr>
  <c:txPr>
    <a:bodyPr/>
    <a:lstStyle/>
    <a:p>
      <a:pPr>
        <a:defRPr sz="600"/>
      </a:pPr>
      <a:endParaRPr lang="sr-Latn-RS"/>
    </a:p>
  </c:txPr>
  <c:externalData r:id="rId3">
    <c:autoUpdate val="0"/>
  </c:externalData>
  <c:userShapes r:id="rId4"/>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5"/>
    </mc:Choice>
    <mc:Fallback>
      <c:style val="3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9033714179804967E-2"/>
          <c:y val="7.630573337727263E-2"/>
          <c:w val="0.86085801063022016"/>
          <c:h val="0.69296480415460082"/>
        </c:manualLayout>
      </c:layout>
      <c:barChart>
        <c:barDir val="col"/>
        <c:grouping val="clustered"/>
        <c:varyColors val="0"/>
        <c:ser>
          <c:idx val="0"/>
          <c:order val="0"/>
          <c:tx>
            <c:strRef>
              <c:f>'мемо 2011-2016'!$D$50</c:f>
              <c:strCache>
                <c:ptCount val="1"/>
                <c:pt idx="0">
                  <c:v>дуг</c:v>
                </c:pt>
              </c:strCache>
            </c:strRef>
          </c:tx>
          <c:spPr>
            <a:solidFill>
              <a:schemeClr val="tx2"/>
            </a:solidFill>
          </c:spPr>
          <c:invertIfNegative val="0"/>
          <c:dLbls>
            <c:numFmt formatCode="#,##0.0" sourceLinked="0"/>
            <c:spPr>
              <a:noFill/>
              <a:ln>
                <a:noFill/>
              </a:ln>
              <a:effectLst/>
            </c:spPr>
            <c:txPr>
              <a:bodyPr/>
              <a:lstStyle/>
              <a:p>
                <a:pPr>
                  <a:defRPr sz="750" b="0" baseline="0">
                    <a:solidFill>
                      <a:schemeClr val="bg1"/>
                    </a:solidFill>
                    <a:latin typeface="Calibri" panose="020F0502020204030204" pitchFamily="34" charset="0"/>
                  </a:defRPr>
                </a:pPr>
                <a:endParaRPr lang="sr-Latn-R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'мемо 2011-2016'!$J$48:$T$48</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'мемо 2011-2016'!$J$50:$T$50</c:f>
              <c:numCache>
                <c:formatCode>#,##0.0</c:formatCode>
                <c:ptCount val="11"/>
                <c:pt idx="0">
                  <c:v>71.199826125969352</c:v>
                </c:pt>
                <c:pt idx="1">
                  <c:v>68.7</c:v>
                </c:pt>
                <c:pt idx="2">
                  <c:v>58.6</c:v>
                </c:pt>
                <c:pt idx="3" formatCode="0.0">
                  <c:v>54.353090578805471</c:v>
                </c:pt>
                <c:pt idx="4" formatCode="General">
                  <c:v>52.8</c:v>
                </c:pt>
                <c:pt idx="5" formatCode="General">
                  <c:v>57.8</c:v>
                </c:pt>
                <c:pt idx="6" formatCode="General">
                  <c:v>57.1</c:v>
                </c:pt>
                <c:pt idx="7" formatCode="General">
                  <c:v>54.6</c:v>
                </c:pt>
                <c:pt idx="8" formatCode="General">
                  <c:v>53.1</c:v>
                </c:pt>
                <c:pt idx="9" formatCode="General">
                  <c:v>52</c:v>
                </c:pt>
                <c:pt idx="10" formatCode="General">
                  <c:v>50.7</c:v>
                </c:pt>
              </c:numCache>
            </c:numRef>
          </c:val>
          <c:extLst>
            <c:ext xmlns:c16="http://schemas.microsoft.com/office/drawing/2014/chart" uri="{C3380CC4-5D6E-409C-BE32-E72D297353CC}">
              <c16:uniqueId val="{00000000-BE2C-4E2D-9C1D-BB85074DDA36}"/>
            </c:ext>
          </c:extLst>
        </c:ser>
        <c:dLbls>
          <c:showLegendKey val="0"/>
          <c:showVal val="0"/>
          <c:showCatName val="0"/>
          <c:showSerName val="0"/>
          <c:showPercent val="0"/>
          <c:showBubbleSize val="0"/>
        </c:dLbls>
        <c:gapWidth val="30"/>
        <c:overlap val="50"/>
        <c:axId val="453711216"/>
        <c:axId val="453711608"/>
      </c:barChart>
      <c:lineChart>
        <c:grouping val="standard"/>
        <c:varyColors val="0"/>
        <c:ser>
          <c:idx val="2"/>
          <c:order val="1"/>
          <c:tx>
            <c:strRef>
              <c:f>'мемо 2011-2016'!$D$49</c:f>
              <c:strCache>
                <c:ptCount val="1"/>
                <c:pt idx="0">
                  <c:v>резултат (десна скала)</c:v>
                </c:pt>
              </c:strCache>
            </c:strRef>
          </c:tx>
          <c:spPr>
            <a:ln>
              <a:solidFill>
                <a:srgbClr val="FF0000"/>
              </a:solidFill>
            </a:ln>
          </c:spPr>
          <c:marker>
            <c:symbol val="none"/>
          </c:marker>
          <c:dLbls>
            <c:dLbl>
              <c:idx val="0"/>
              <c:layout>
                <c:manualLayout>
                  <c:x val="-5.895888013998251E-2"/>
                  <c:y val="-0.2303639249011950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E2C-4E2D-9C1D-BB85074DDA36}"/>
                </c:ext>
              </c:extLst>
            </c:dLbl>
            <c:dLbl>
              <c:idx val="1"/>
              <c:layout>
                <c:manualLayout>
                  <c:x val="9.9363021839251227E-3"/>
                  <c:y val="1.5835084857420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E2C-4E2D-9C1D-BB85074DDA36}"/>
                </c:ext>
              </c:extLst>
            </c:dLbl>
            <c:dLbl>
              <c:idx val="2"/>
              <c:layout>
                <c:manualLayout>
                  <c:x val="-1.7054991121933039E-2"/>
                  <c:y val="3.83057586551681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E2C-4E2D-9C1D-BB85074DDA36}"/>
                </c:ext>
              </c:extLst>
            </c:dLbl>
            <c:dLbl>
              <c:idx val="3"/>
              <c:layout>
                <c:manualLayout>
                  <c:x val="7.1653768988248785E-3"/>
                  <c:y val="-1.99203187250996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E2C-4E2D-9C1D-BB85074DDA36}"/>
                </c:ext>
              </c:extLst>
            </c:dLbl>
            <c:dLbl>
              <c:idx val="4"/>
              <c:layout>
                <c:manualLayout>
                  <c:x val="1.2897678417884782E-2"/>
                  <c:y val="3.98406374501992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E2C-4E2D-9C1D-BB85074DDA36}"/>
                </c:ext>
              </c:extLst>
            </c:dLbl>
            <c:dLbl>
              <c:idx val="5"/>
              <c:layout>
                <c:manualLayout>
                  <c:x val="-2.2819738030908168E-2"/>
                  <c:y val="-0.2461274371953505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E2C-4E2D-9C1D-BB85074DDA36}"/>
                </c:ext>
              </c:extLst>
            </c:dLbl>
            <c:dLbl>
              <c:idx val="6"/>
              <c:layout>
                <c:manualLayout>
                  <c:x val="6.6543935298123405E-3"/>
                  <c:y val="-1.61155540042502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E2C-4E2D-9C1D-BB85074DDA36}"/>
                </c:ext>
              </c:extLst>
            </c:dLbl>
            <c:dLbl>
              <c:idx val="7"/>
              <c:layout>
                <c:manualLayout>
                  <c:x val="4.2992261392948219E-3"/>
                  <c:y val="1.99203187250995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E2C-4E2D-9C1D-BB85074DDA36}"/>
                </c:ext>
              </c:extLst>
            </c:dLbl>
            <c:dLbl>
              <c:idx val="8"/>
              <c:layout>
                <c:manualLayout>
                  <c:x val="0"/>
                  <c:y val="1.9841269841269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E2C-4E2D-9C1D-BB85074DDA36}"/>
                </c:ext>
              </c:extLst>
            </c:dLbl>
            <c:dLbl>
              <c:idx val="9"/>
              <c:layout>
                <c:manualLayout>
                  <c:x val="-1.6975112544026657E-16"/>
                  <c:y val="2.37459186702285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E2C-4E2D-9C1D-BB85074DDA36}"/>
                </c:ext>
              </c:extLst>
            </c:dLbl>
            <c:dLbl>
              <c:idx val="10"/>
              <c:layout>
                <c:manualLayout>
                  <c:x val="-3.7037037037037035E-2"/>
                  <c:y val="-7.12377560106856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E2C-4E2D-9C1D-BB85074DDA36}"/>
                </c:ext>
              </c:extLst>
            </c:dLbl>
            <c:numFmt formatCode="#,##0.0" sourceLinked="0"/>
            <c:spPr>
              <a:noFill/>
              <a:ln>
                <a:noFill/>
              </a:ln>
              <a:effectLst/>
            </c:spPr>
            <c:txPr>
              <a:bodyPr wrap="square" lIns="38100" tIns="19050" rIns="38100" bIns="19050" anchor="ctr">
                <a:spAutoFit/>
              </a:bodyPr>
              <a:lstStyle/>
              <a:p>
                <a:pPr>
                  <a:defRPr sz="800" baseline="0">
                    <a:solidFill>
                      <a:sysClr val="windowText" lastClr="000000"/>
                    </a:solidFill>
                    <a:latin typeface="Calibri" panose="020F0502020204030204" pitchFamily="34"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'мемо 2011-2016'!$J$49:$T$49</c:f>
              <c:numCache>
                <c:formatCode>#,##0.0</c:formatCode>
                <c:ptCount val="11"/>
                <c:pt idx="0">
                  <c:v>-3.4574923786243579</c:v>
                </c:pt>
                <c:pt idx="1">
                  <c:v>-1.1977763417297731</c:v>
                </c:pt>
                <c:pt idx="2">
                  <c:v>1.099509271415023</c:v>
                </c:pt>
                <c:pt idx="3" formatCode="0.0">
                  <c:v>0.63691314414627054</c:v>
                </c:pt>
                <c:pt idx="4">
                  <c:v>-0.2</c:v>
                </c:pt>
                <c:pt idx="5">
                  <c:v>-8</c:v>
                </c:pt>
                <c:pt idx="6">
                  <c:v>-4.0999999999999996</c:v>
                </c:pt>
                <c:pt idx="7">
                  <c:v>-3</c:v>
                </c:pt>
                <c:pt idx="8" formatCode="General">
                  <c:v>-1.5</c:v>
                </c:pt>
                <c:pt idx="9" formatCode="General">
                  <c:v>-1</c:v>
                </c:pt>
                <c:pt idx="10" formatCode="General">
                  <c:v>-0.5</c:v>
                </c:pt>
              </c:numCache>
            </c:numRef>
          </c:val>
          <c:smooth val="1"/>
          <c:extLst>
            <c:ext xmlns:c16="http://schemas.microsoft.com/office/drawing/2014/chart" uri="{C3380CC4-5D6E-409C-BE32-E72D297353CC}">
              <c16:uniqueId val="{0000000A-BE2C-4E2D-9C1D-BB85074DDA36}"/>
            </c:ext>
          </c:extLst>
        </c:ser>
        <c:ser>
          <c:idx val="1"/>
          <c:order val="2"/>
          <c:tx>
            <c:strRef>
              <c:f>'мемо 2011-2016'!$D$51</c:f>
              <c:strCache>
                <c:ptCount val="1"/>
                <c:pt idx="0">
                  <c:v>баланс</c:v>
                </c:pt>
              </c:strCache>
            </c:strRef>
          </c:tx>
          <c:spPr>
            <a:ln w="22225">
              <a:solidFill>
                <a:schemeClr val="tx1"/>
              </a:solidFill>
            </a:ln>
          </c:spPr>
          <c:marker>
            <c:symbol val="none"/>
          </c:marker>
          <c:val>
            <c:numRef>
              <c:f>'мемо 2011-2016'!$J$51:$T$51</c:f>
              <c:numCache>
                <c:formatCode>#,##0.0</c:formatCode>
                <c:ptCount val="11"/>
                <c:pt idx="0">
                  <c:v>0</c:v>
                </c:pt>
                <c:pt idx="1">
                  <c:v>0</c:v>
                </c:pt>
                <c:pt idx="2">
                  <c:v>0</c:v>
                </c:pt>
                <c:pt idx="3">
                  <c:v>0</c:v>
                </c:pt>
                <c:pt idx="4">
                  <c:v>0</c:v>
                </c:pt>
                <c:pt idx="5">
                  <c:v>0</c:v>
                </c:pt>
                <c:pt idx="6">
                  <c:v>0</c:v>
                </c:pt>
                <c:pt idx="7">
                  <c:v>0</c:v>
                </c:pt>
                <c:pt idx="8" formatCode="General">
                  <c:v>0</c:v>
                </c:pt>
                <c:pt idx="9" formatCode="General">
                  <c:v>0</c:v>
                </c:pt>
                <c:pt idx="10" formatCode="General">
                  <c:v>0</c:v>
                </c:pt>
              </c:numCache>
            </c:numRef>
          </c:val>
          <c:smooth val="0"/>
          <c:extLst>
            <c:ext xmlns:c16="http://schemas.microsoft.com/office/drawing/2014/chart" uri="{C3380CC4-5D6E-409C-BE32-E72D297353CC}">
              <c16:uniqueId val="{0000000B-BE2C-4E2D-9C1D-BB85074DDA36}"/>
            </c:ext>
          </c:extLst>
        </c:ser>
        <c:dLbls>
          <c:showLegendKey val="0"/>
          <c:showVal val="0"/>
          <c:showCatName val="0"/>
          <c:showSerName val="0"/>
          <c:showPercent val="0"/>
          <c:showBubbleSize val="0"/>
        </c:dLbls>
        <c:marker val="1"/>
        <c:smooth val="0"/>
        <c:axId val="453706904"/>
        <c:axId val="453712000"/>
      </c:lineChart>
      <c:catAx>
        <c:axId val="453711216"/>
        <c:scaling>
          <c:orientation val="minMax"/>
        </c:scaling>
        <c:delete val="0"/>
        <c:axPos val="b"/>
        <c:numFmt formatCode="General" sourceLinked="1"/>
        <c:majorTickMark val="out"/>
        <c:minorTickMark val="none"/>
        <c:tickLblPos val="nextTo"/>
        <c:spPr>
          <a:ln>
            <a:noFill/>
          </a:ln>
        </c:spPr>
        <c:txPr>
          <a:bodyPr/>
          <a:lstStyle/>
          <a:p>
            <a:pPr>
              <a:defRPr sz="800" baseline="0">
                <a:latin typeface="Calibri" panose="020F0502020204030204" pitchFamily="34" charset="0"/>
              </a:defRPr>
            </a:pPr>
            <a:endParaRPr lang="sr-Latn-RS"/>
          </a:p>
        </c:txPr>
        <c:crossAx val="453711608"/>
        <c:crossesAt val="0"/>
        <c:auto val="1"/>
        <c:lblAlgn val="ctr"/>
        <c:lblOffset val="100"/>
        <c:noMultiLvlLbl val="0"/>
      </c:catAx>
      <c:valAx>
        <c:axId val="453711608"/>
        <c:scaling>
          <c:orientation val="minMax"/>
          <c:max val="80"/>
          <c:min val="40"/>
        </c:scaling>
        <c:delete val="0"/>
        <c:axPos val="l"/>
        <c:majorGridlines>
          <c:spPr>
            <a:ln>
              <a:noFill/>
            </a:ln>
          </c:spPr>
        </c:majorGridlines>
        <c:numFmt formatCode="#,##0" sourceLinked="0"/>
        <c:majorTickMark val="out"/>
        <c:minorTickMark val="none"/>
        <c:tickLblPos val="nextTo"/>
        <c:spPr>
          <a:ln>
            <a:noFill/>
          </a:ln>
        </c:spPr>
        <c:txPr>
          <a:bodyPr/>
          <a:lstStyle/>
          <a:p>
            <a:pPr>
              <a:defRPr sz="800" baseline="0">
                <a:solidFill>
                  <a:sysClr val="windowText" lastClr="000000"/>
                </a:solidFill>
              </a:defRPr>
            </a:pPr>
            <a:endParaRPr lang="sr-Latn-RS"/>
          </a:p>
        </c:txPr>
        <c:crossAx val="453711216"/>
        <c:crosses val="autoZero"/>
        <c:crossBetween val="between"/>
        <c:majorUnit val="5"/>
      </c:valAx>
      <c:valAx>
        <c:axId val="453712000"/>
        <c:scaling>
          <c:orientation val="minMax"/>
        </c:scaling>
        <c:delete val="0"/>
        <c:axPos val="r"/>
        <c:numFmt formatCode="#,##0" sourceLinked="0"/>
        <c:majorTickMark val="out"/>
        <c:minorTickMark val="none"/>
        <c:tickLblPos val="nextTo"/>
        <c:spPr>
          <a:ln>
            <a:noFill/>
          </a:ln>
        </c:spPr>
        <c:txPr>
          <a:bodyPr/>
          <a:lstStyle/>
          <a:p>
            <a:pPr>
              <a:defRPr sz="800" baseline="0"/>
            </a:pPr>
            <a:endParaRPr lang="sr-Latn-RS"/>
          </a:p>
        </c:txPr>
        <c:crossAx val="453706904"/>
        <c:crosses val="max"/>
        <c:crossBetween val="between"/>
      </c:valAx>
      <c:catAx>
        <c:axId val="453706904"/>
        <c:scaling>
          <c:orientation val="minMax"/>
        </c:scaling>
        <c:delete val="1"/>
        <c:axPos val="b"/>
        <c:majorTickMark val="out"/>
        <c:minorTickMark val="none"/>
        <c:tickLblPos val="nextTo"/>
        <c:crossAx val="453712000"/>
        <c:crosses val="autoZero"/>
        <c:auto val="1"/>
        <c:lblAlgn val="ctr"/>
        <c:lblOffset val="100"/>
        <c:noMultiLvlLbl val="0"/>
      </c:catAx>
      <c:spPr>
        <a:noFill/>
        <a:ln>
          <a:noFill/>
        </a:ln>
      </c:spPr>
    </c:plotArea>
    <c:legend>
      <c:legendPos val="b"/>
      <c:overlay val="0"/>
      <c:txPr>
        <a:bodyPr/>
        <a:lstStyle/>
        <a:p>
          <a:pPr>
            <a:defRPr sz="800" baseline="0">
              <a:latin typeface="Calibri" panose="020F0502020204030204" pitchFamily="34" charset="0"/>
            </a:defRPr>
          </a:pPr>
          <a:endParaRPr lang="sr-Latn-RS"/>
        </a:p>
      </c:txPr>
    </c:legend>
    <c:plotVisOnly val="1"/>
    <c:dispBlanksAs val="gap"/>
    <c:showDLblsOverMax val="0"/>
  </c:chart>
  <c:spPr>
    <a:ln>
      <a:noFill/>
    </a:ln>
  </c:spPr>
  <c:txPr>
    <a:bodyPr/>
    <a:lstStyle/>
    <a:p>
      <a:pPr>
        <a:defRPr sz="900" baseline="0">
          <a:latin typeface="Cambria Math" pitchFamily="18" charset="0"/>
        </a:defRPr>
      </a:pPr>
      <a:endParaRPr lang="sr-Latn-RS"/>
    </a:p>
  </c:txPr>
  <c:externalData r:id="rId2">
    <c:autoUpdate val="0"/>
  </c:externalData>
  <c:userShapes r:id="rId3"/>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8.5694913857576771E-2"/>
          <c:y val="0.12195169524878018"/>
          <c:w val="0.89742630688838176"/>
          <c:h val="0.72252618511373012"/>
        </c:manualLayout>
      </c:layout>
      <c:areaChart>
        <c:grouping val="stacked"/>
        <c:varyColors val="0"/>
        <c:ser>
          <c:idx val="2"/>
          <c:order val="2"/>
          <c:tx>
            <c:strRef>
              <c:f>'Grafikoni, CAB, Karakter'!$G$10</c:f>
              <c:strCache>
                <c:ptCount val="1"/>
                <c:pt idx="0">
                  <c:v>Производни јаз </c:v>
                </c:pt>
              </c:strCache>
            </c:strRef>
          </c:tx>
          <c:spPr>
            <a:solidFill>
              <a:srgbClr val="29489A"/>
            </a:solidFill>
            <a:ln w="9525" cap="rnd" cmpd="sng" algn="ctr">
              <a:solidFill>
                <a:srgbClr val="29489A"/>
              </a:solidFill>
              <a:prstDash val="solid"/>
              <a:round/>
            </a:ln>
            <a:effectLst/>
          </c:spPr>
          <c:cat>
            <c:numRef>
              <c:f>'Grafikoni, CAB, Karakter'!$F$11:$F$23</c:f>
              <c:numCache>
                <c:formatCode>General</c:formatCode>
                <c:ptCount val="13"/>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numCache>
            </c:numRef>
          </c:cat>
          <c:val>
            <c:numRef>
              <c:f>('Grafikoni, CAB, Karakter'!$G$11:$G$29,'Grafikoni, CAB, Karakter'!$G$30,'Grafikoni, CAB, Karakter'!$G$31)</c:f>
              <c:numCache>
                <c:formatCode>#.##00</c:formatCode>
                <c:ptCount val="21"/>
                <c:pt idx="0">
                  <c:v>3.4939700056136114E-2</c:v>
                </c:pt>
                <c:pt idx="1">
                  <c:v>-2.6832140632075245</c:v>
                </c:pt>
                <c:pt idx="2">
                  <c:v>0.7554630097522238</c:v>
                </c:pt>
                <c:pt idx="3">
                  <c:v>4.0456825224386241</c:v>
                </c:pt>
                <c:pt idx="4">
                  <c:v>-0.38841523007367457</c:v>
                </c:pt>
                <c:pt idx="5">
                  <c:v>-0.71907264608035892</c:v>
                </c:pt>
                <c:pt idx="6">
                  <c:v>0.51693805481845378</c:v>
                </c:pt>
                <c:pt idx="7">
                  <c:v>-0.84638170174673022</c:v>
                </c:pt>
                <c:pt idx="8">
                  <c:v>1.2296957460230202</c:v>
                </c:pt>
                <c:pt idx="9">
                  <c:v>-1.4172368683762937</c:v>
                </c:pt>
                <c:pt idx="10">
                  <c:v>-1.1603398122711222</c:v>
                </c:pt>
                <c:pt idx="11">
                  <c:v>1.0333399227199343E-2</c:v>
                </c:pt>
                <c:pt idx="12">
                  <c:v>-0.52617825858311262</c:v>
                </c:pt>
                <c:pt idx="13">
                  <c:v>0.86995090785417784</c:v>
                </c:pt>
                <c:pt idx="14">
                  <c:v>1.8739818556180539</c:v>
                </c:pt>
                <c:pt idx="15">
                  <c:v>-2.521913654550584</c:v>
                </c:pt>
                <c:pt idx="16">
                  <c:v>0.8273308900412023</c:v>
                </c:pt>
                <c:pt idx="17">
                  <c:v>0.30809371425783211</c:v>
                </c:pt>
                <c:pt idx="18">
                  <c:v>0.13258273994517733</c:v>
                </c:pt>
                <c:pt idx="19">
                  <c:v>-0.14116605852199135</c:v>
                </c:pt>
                <c:pt idx="20">
                  <c:v>4.7497664150099012E-2</c:v>
                </c:pt>
              </c:numCache>
            </c:numRef>
          </c:val>
          <c:extLst>
            <c:ext xmlns:c16="http://schemas.microsoft.com/office/drawing/2014/chart" uri="{C3380CC4-5D6E-409C-BE32-E72D297353CC}">
              <c16:uniqueId val="{00000000-699C-4448-BDD6-6738D21565B5}"/>
            </c:ext>
          </c:extLst>
        </c:ser>
        <c:dLbls>
          <c:showLegendKey val="0"/>
          <c:showVal val="0"/>
          <c:showCatName val="0"/>
          <c:showSerName val="0"/>
          <c:showPercent val="0"/>
          <c:showBubbleSize val="0"/>
        </c:dLbls>
        <c:axId val="342946768"/>
        <c:axId val="410610880"/>
      </c:areaChart>
      <c:lineChart>
        <c:grouping val="standard"/>
        <c:varyColors val="0"/>
        <c:ser>
          <c:idx val="0"/>
          <c:order val="0"/>
          <c:tx>
            <c:strRef>
              <c:f>'Grafikoni, CAB, Karakter'!$H$10</c:f>
              <c:strCache>
                <c:ptCount val="1"/>
                <c:pt idx="0">
                  <c:v>Фискални 
биланс</c:v>
                </c:pt>
              </c:strCache>
            </c:strRef>
          </c:tx>
          <c:spPr>
            <a:ln w="25400" cap="rnd" cmpd="sng" algn="ctr">
              <a:solidFill>
                <a:schemeClr val="accent3">
                  <a:shade val="53000"/>
                  <a:shade val="95000"/>
                  <a:satMod val="105000"/>
                </a:schemeClr>
              </a:solidFill>
              <a:prstDash val="solid"/>
              <a:round/>
            </a:ln>
            <a:effectLst/>
          </c:spPr>
          <c:marker>
            <c:symbol val="none"/>
          </c:marker>
          <c:cat>
            <c:numRef>
              <c:f>('Grafikoni, CAB, Karakter'!$F$11:$F$29,'Grafikoni, CAB, Karakter'!$F$30,'Grafikoni, CAB, Karakter'!$F$31)</c:f>
              <c:numCache>
                <c:formatCode>General</c:formatCode>
                <c:ptCount val="21"/>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numCache>
            </c:numRef>
          </c:cat>
          <c:val>
            <c:numRef>
              <c:f>('Grafikoni, CAB, Karakter'!$H$11:$H$29,'Grafikoni, CAB, Karakter'!$H$30,'Grafikoni, CAB, Karakter'!$H$31)</c:f>
              <c:numCache>
                <c:formatCode>#.##00</c:formatCode>
                <c:ptCount val="21"/>
                <c:pt idx="0">
                  <c:v>1.1229513642911615</c:v>
                </c:pt>
                <c:pt idx="1">
                  <c:v>-1.4151456839897949</c:v>
                </c:pt>
                <c:pt idx="2">
                  <c:v>-1.7846058996685674</c:v>
                </c:pt>
                <c:pt idx="3">
                  <c:v>-2.4768975856092812</c:v>
                </c:pt>
                <c:pt idx="4">
                  <c:v>-4.1655024905891214</c:v>
                </c:pt>
                <c:pt idx="5">
                  <c:v>-4.3381740101726747</c:v>
                </c:pt>
                <c:pt idx="6">
                  <c:v>-4.5257988775356361</c:v>
                </c:pt>
                <c:pt idx="7">
                  <c:v>-6.4352841344073424</c:v>
                </c:pt>
                <c:pt idx="8">
                  <c:v>-5.1464767188637195</c:v>
                </c:pt>
                <c:pt idx="9">
                  <c:v>-6.2041437165115507</c:v>
                </c:pt>
                <c:pt idx="10">
                  <c:v>-3.4561672728767112</c:v>
                </c:pt>
                <c:pt idx="11">
                  <c:v>-1.1926941660681765</c:v>
                </c:pt>
                <c:pt idx="12">
                  <c:v>1.0986349345465762</c:v>
                </c:pt>
                <c:pt idx="13">
                  <c:v>0.63523655395945411</c:v>
                </c:pt>
                <c:pt idx="14">
                  <c:v>-0.20497664525511922</c:v>
                </c:pt>
                <c:pt idx="15">
                  <c:v>-8.0474018723524452</c:v>
                </c:pt>
                <c:pt idx="16">
                  <c:v>-4.9000000000000004</c:v>
                </c:pt>
                <c:pt idx="17">
                  <c:v>-3</c:v>
                </c:pt>
                <c:pt idx="18">
                  <c:v>-1.5</c:v>
                </c:pt>
                <c:pt idx="19">
                  <c:v>-1</c:v>
                </c:pt>
                <c:pt idx="20">
                  <c:v>-0.5</c:v>
                </c:pt>
              </c:numCache>
            </c:numRef>
          </c:val>
          <c:smooth val="0"/>
          <c:extLst>
            <c:ext xmlns:c16="http://schemas.microsoft.com/office/drawing/2014/chart" uri="{C3380CC4-5D6E-409C-BE32-E72D297353CC}">
              <c16:uniqueId val="{00000001-699C-4448-BDD6-6738D21565B5}"/>
            </c:ext>
          </c:extLst>
        </c:ser>
        <c:ser>
          <c:idx val="1"/>
          <c:order val="1"/>
          <c:tx>
            <c:strRef>
              <c:f>'Grafikoni, CAB, Karakter'!$K$10</c:f>
              <c:strCache>
                <c:ptCount val="1"/>
                <c:pt idx="0">
                  <c:v>Циклично 
прилагођени  фискални биланс</c:v>
                </c:pt>
              </c:strCache>
            </c:strRef>
          </c:tx>
          <c:spPr>
            <a:ln w="25400" cap="rnd" cmpd="sng" algn="ctr">
              <a:solidFill>
                <a:schemeClr val="tx1"/>
              </a:solidFill>
              <a:prstDash val="solid"/>
              <a:round/>
            </a:ln>
            <a:effectLst/>
          </c:spPr>
          <c:marker>
            <c:symbol val="none"/>
          </c:marker>
          <c:cat>
            <c:numRef>
              <c:f>('Grafikoni, CAB, Karakter'!$F$11:$F$29,'Grafikoni, CAB, Karakter'!$F$30,'Grafikoni, CAB, Karakter'!$F$31)</c:f>
              <c:numCache>
                <c:formatCode>General</c:formatCode>
                <c:ptCount val="21"/>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numCache>
            </c:numRef>
          </c:cat>
          <c:val>
            <c:numRef>
              <c:f>('Grafikoni, CAB, Karakter'!$K$11:$K$29,'Grafikoni, CAB, Karakter'!$K$30,'Grafikoni, CAB, Karakter'!$K$31)</c:f>
              <c:numCache>
                <c:formatCode>#.##00</c:formatCode>
                <c:ptCount val="21"/>
                <c:pt idx="0">
                  <c:v>1.110553570451444</c:v>
                </c:pt>
                <c:pt idx="1">
                  <c:v>-0.4630500812790973</c:v>
                </c:pt>
                <c:pt idx="2">
                  <c:v>-2.0526698679737496</c:v>
                </c:pt>
                <c:pt idx="3">
                  <c:v>-3.9124433336711371</c:v>
                </c:pt>
                <c:pt idx="4">
                  <c:v>-4.027679557394988</c:v>
                </c:pt>
                <c:pt idx="5">
                  <c:v>-4.0830225804935045</c:v>
                </c:pt>
                <c:pt idx="6">
                  <c:v>-4.7092260798655632</c:v>
                </c:pt>
                <c:pt idx="7">
                  <c:v>-6.134959122140315</c:v>
                </c:pt>
                <c:pt idx="8">
                  <c:v>-5.5828145901183905</c:v>
                </c:pt>
                <c:pt idx="9">
                  <c:v>-5.7012598769838405</c:v>
                </c:pt>
                <c:pt idx="10">
                  <c:v>-3.0444392456343139</c:v>
                </c:pt>
                <c:pt idx="11">
                  <c:v>-1.1963608075412424</c:v>
                </c:pt>
                <c:pt idx="12">
                  <c:v>1.2853408754211146</c:v>
                </c:pt>
                <c:pt idx="13">
                  <c:v>0.32654838580338191</c:v>
                </c:pt>
                <c:pt idx="14">
                  <c:v>-0.86992913963819163</c:v>
                </c:pt>
                <c:pt idx="15">
                  <c:v>-7.1525411402782444</c:v>
                </c:pt>
                <c:pt idx="16">
                  <c:v>-5.1935651363772815</c:v>
                </c:pt>
                <c:pt idx="17">
                  <c:v>-3.109322127738491</c:v>
                </c:pt>
                <c:pt idx="18">
                  <c:v>-1.5470448651220328</c:v>
                </c:pt>
                <c:pt idx="19">
                  <c:v>-0.94990948153792754</c:v>
                </c:pt>
                <c:pt idx="20">
                  <c:v>-0.51685378658245396</c:v>
                </c:pt>
              </c:numCache>
            </c:numRef>
          </c:val>
          <c:smooth val="1"/>
          <c:extLst>
            <c:ext xmlns:c16="http://schemas.microsoft.com/office/drawing/2014/chart" uri="{C3380CC4-5D6E-409C-BE32-E72D297353CC}">
              <c16:uniqueId val="{00000002-699C-4448-BDD6-6738D21565B5}"/>
            </c:ext>
          </c:extLst>
        </c:ser>
        <c:ser>
          <c:idx val="4"/>
          <c:order val="3"/>
          <c:tx>
            <c:strRef>
              <c:f>'Grafikoni, CAB, Karakter'!$N$10</c:f>
              <c:strCache>
                <c:ptCount val="1"/>
                <c:pt idx="0">
                  <c:v>Структурни примарни фискални биланс</c:v>
                </c:pt>
              </c:strCache>
            </c:strRef>
          </c:tx>
          <c:spPr>
            <a:ln w="25400" cap="rnd" cmpd="sng" algn="ctr">
              <a:solidFill>
                <a:srgbClr val="FF0000"/>
              </a:solidFill>
              <a:prstDash val="solid"/>
              <a:round/>
            </a:ln>
            <a:effectLst/>
          </c:spPr>
          <c:marker>
            <c:symbol val="none"/>
          </c:marker>
          <c:cat>
            <c:numRef>
              <c:f>('Grafikoni, CAB, Karakter'!$F$11:$F$29,'Grafikoni, CAB, Karakter'!$F$30,'Grafikoni, CAB, Karakter'!$F$31)</c:f>
              <c:numCache>
                <c:formatCode>General</c:formatCode>
                <c:ptCount val="21"/>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numCache>
            </c:numRef>
          </c:cat>
          <c:val>
            <c:numRef>
              <c:f>('Grafikoni, CAB, Karakter'!$N$11:$N$29,'Grafikoni, CAB, Karakter'!$N$30,'Grafikoni, CAB, Karakter'!$N$31)</c:f>
              <c:numCache>
                <c:formatCode>#.##00</c:formatCode>
                <c:ptCount val="21"/>
                <c:pt idx="0">
                  <c:v>2.2311622467225694</c:v>
                </c:pt>
                <c:pt idx="1">
                  <c:v>1.4769679412007515</c:v>
                </c:pt>
                <c:pt idx="2">
                  <c:v>-1.1703870297410472</c:v>
                </c:pt>
                <c:pt idx="3">
                  <c:v>-3.431530403593483</c:v>
                </c:pt>
                <c:pt idx="4">
                  <c:v>-3.4921985409262635</c:v>
                </c:pt>
                <c:pt idx="5">
                  <c:v>-3.2434011370248319</c:v>
                </c:pt>
                <c:pt idx="6">
                  <c:v>-3.7657144991506777</c:v>
                </c:pt>
                <c:pt idx="7">
                  <c:v>-4.3802833488136219</c:v>
                </c:pt>
                <c:pt idx="8">
                  <c:v>-3.1197600247024408</c:v>
                </c:pt>
                <c:pt idx="9">
                  <c:v>-2.1669091646319623</c:v>
                </c:pt>
                <c:pt idx="10">
                  <c:v>0.77540987741566303</c:v>
                </c:pt>
                <c:pt idx="11">
                  <c:v>1.7781919761133154</c:v>
                </c:pt>
                <c:pt idx="12">
                  <c:v>3.6765399248791826</c:v>
                </c:pt>
                <c:pt idx="13">
                  <c:v>2.2910216683304974</c:v>
                </c:pt>
                <c:pt idx="14">
                  <c:v>0.94407370267341018</c:v>
                </c:pt>
                <c:pt idx="15">
                  <c:v>1.8991767289008283</c:v>
                </c:pt>
                <c:pt idx="16">
                  <c:v>1.3806778626591631</c:v>
                </c:pt>
                <c:pt idx="17">
                  <c:v>-6.1462170109114034E-2</c:v>
                </c:pt>
                <c:pt idx="18">
                  <c:v>2.3735079375038902E-2</c:v>
                </c:pt>
                <c:pt idx="19">
                  <c:v>0.66820292304299467</c:v>
                </c:pt>
                <c:pt idx="20">
                  <c:v>1.054480528920765</c:v>
                </c:pt>
              </c:numCache>
            </c:numRef>
          </c:val>
          <c:smooth val="0"/>
          <c:extLst>
            <c:ext xmlns:c16="http://schemas.microsoft.com/office/drawing/2014/chart" uri="{C3380CC4-5D6E-409C-BE32-E72D297353CC}">
              <c16:uniqueId val="{00000003-699C-4448-BDD6-6738D21565B5}"/>
            </c:ext>
          </c:extLst>
        </c:ser>
        <c:ser>
          <c:idx val="3"/>
          <c:order val="4"/>
          <c:tx>
            <c:strRef>
              <c:f>'Grafikoni, CAB, Karakter'!$M$10</c:f>
              <c:strCache>
                <c:ptCount val="1"/>
                <c:pt idx="0">
                  <c:v>Структурни  фискални биланс</c:v>
                </c:pt>
              </c:strCache>
            </c:strRef>
          </c:tx>
          <c:spPr>
            <a:ln w="28575" cap="rnd" cmpd="sng" algn="ctr">
              <a:solidFill>
                <a:schemeClr val="accent6"/>
              </a:solidFill>
              <a:prstDash val="solid"/>
              <a:round/>
            </a:ln>
            <a:effectLst/>
          </c:spPr>
          <c:marker>
            <c:symbol val="none"/>
          </c:marker>
          <c:cat>
            <c:numRef>
              <c:f>('Grafikoni, CAB, Karakter'!$F$11:$F$29,'Grafikoni, CAB, Karakter'!$F$30,'Grafikoni, CAB, Karakter'!$F$31)</c:f>
              <c:numCache>
                <c:formatCode>General</c:formatCode>
                <c:ptCount val="21"/>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numCache>
            </c:numRef>
          </c:cat>
          <c:val>
            <c:numRef>
              <c:f>('Grafikoni, CAB, Karakter'!$M$11:$M$29,'Grafikoni, CAB, Karakter'!$M$30,'Grafikoni, CAB, Karakter'!$M$31)</c:f>
              <c:numCache>
                <c:formatCode>#.##00</c:formatCode>
                <c:ptCount val="21"/>
                <c:pt idx="0">
                  <c:v>1.3271381895220509</c:v>
                </c:pt>
                <c:pt idx="1">
                  <c:v>0.21094196861596137</c:v>
                </c:pt>
                <c:pt idx="2">
                  <c:v>-1.7158355075829923</c:v>
                </c:pt>
                <c:pt idx="3">
                  <c:v>-3.9708938178263313</c:v>
                </c:pt>
                <c:pt idx="4">
                  <c:v>-4.0997602373252242</c:v>
                </c:pt>
                <c:pt idx="5">
                  <c:v>-4.1999247469595238</c:v>
                </c:pt>
                <c:pt idx="6">
                  <c:v>-4.9196202965084126</c:v>
                </c:pt>
                <c:pt idx="7">
                  <c:v>-6.08771574592412</c:v>
                </c:pt>
                <c:pt idx="8">
                  <c:v>-5.3134755726086009</c:v>
                </c:pt>
                <c:pt idx="9">
                  <c:v>-4.8311822822081325</c:v>
                </c:pt>
                <c:pt idx="10">
                  <c:v>-2.2101442334257477</c:v>
                </c:pt>
                <c:pt idx="11">
                  <c:v>-1.1190672632394116</c:v>
                </c:pt>
                <c:pt idx="12">
                  <c:v>1.1404037908765721</c:v>
                </c:pt>
                <c:pt idx="13">
                  <c:v>0.17870489721862101</c:v>
                </c:pt>
                <c:pt idx="14">
                  <c:v>-1.0525236078373363</c:v>
                </c:pt>
                <c:pt idx="15">
                  <c:v>-0.10265433103629462</c:v>
                </c:pt>
                <c:pt idx="16">
                  <c:v>-1.1145786010209076</c:v>
                </c:pt>
                <c:pt idx="17">
                  <c:v>-1.7855347106322221</c:v>
                </c:pt>
                <c:pt idx="18">
                  <c:v>-1.573835814491958</c:v>
                </c:pt>
                <c:pt idx="19">
                  <c:v>-0.94990948153792754</c:v>
                </c:pt>
                <c:pt idx="20">
                  <c:v>-0.51685378658245396</c:v>
                </c:pt>
              </c:numCache>
            </c:numRef>
          </c:val>
          <c:smooth val="0"/>
          <c:extLst>
            <c:ext xmlns:c16="http://schemas.microsoft.com/office/drawing/2014/chart" uri="{C3380CC4-5D6E-409C-BE32-E72D297353CC}">
              <c16:uniqueId val="{00000004-699C-4448-BDD6-6738D21565B5}"/>
            </c:ext>
          </c:extLst>
        </c:ser>
        <c:dLbls>
          <c:showLegendKey val="0"/>
          <c:showVal val="0"/>
          <c:showCatName val="0"/>
          <c:showSerName val="0"/>
          <c:showPercent val="0"/>
          <c:showBubbleSize val="0"/>
        </c:dLbls>
        <c:marker val="1"/>
        <c:smooth val="0"/>
        <c:axId val="342946768"/>
        <c:axId val="410610880"/>
      </c:lineChart>
      <c:catAx>
        <c:axId val="342946768"/>
        <c:scaling>
          <c:orientation val="minMax"/>
        </c:scaling>
        <c:delete val="0"/>
        <c:axPos val="b"/>
        <c:majorGridlines>
          <c:spPr>
            <a:ln w="9525" cap="flat" cmpd="sng" algn="ctr">
              <a:noFill/>
              <a:prstDash val="sysDot"/>
              <a:round/>
            </a:ln>
            <a:effectLst/>
          </c:spPr>
        </c:majorGridlines>
        <c:numFmt formatCode="General" sourceLinked="1"/>
        <c:majorTickMark val="out"/>
        <c:minorTickMark val="none"/>
        <c:tickLblPos val="nextTo"/>
        <c:spPr>
          <a:noFill/>
          <a:ln w="9525" cap="flat" cmpd="sng" algn="ctr">
            <a:solidFill>
              <a:schemeClr val="dk1">
                <a:tint val="75000"/>
                <a:shade val="95000"/>
                <a:satMod val="105000"/>
              </a:schemeClr>
            </a:solidFill>
            <a:prstDash val="solid"/>
            <a:round/>
          </a:ln>
          <a:effectLst/>
        </c:spPr>
        <c:txPr>
          <a:bodyPr rot="-60000000" spcFirstLastPara="1" vertOverflow="ellipsis" vert="horz" wrap="square" anchor="ctr" anchorCtr="1"/>
          <a:lstStyle/>
          <a:p>
            <a:pPr>
              <a:defRPr sz="600" b="0" i="0" u="none" strike="noStrike" kern="1200" baseline="0">
                <a:solidFill>
                  <a:srgbClr val="44546A"/>
                </a:solidFill>
                <a:latin typeface="+mn-lt"/>
                <a:ea typeface="+mn-ea"/>
                <a:cs typeface="+mn-cs"/>
              </a:defRPr>
            </a:pPr>
            <a:endParaRPr lang="sr-Latn-RS"/>
          </a:p>
        </c:txPr>
        <c:crossAx val="410610880"/>
        <c:crosses val="autoZero"/>
        <c:auto val="1"/>
        <c:lblAlgn val="ctr"/>
        <c:lblOffset val="100"/>
        <c:noMultiLvlLbl val="0"/>
      </c:catAx>
      <c:valAx>
        <c:axId val="410610880"/>
        <c:scaling>
          <c:orientation val="minMax"/>
          <c:max val="5"/>
          <c:min val="-9"/>
        </c:scaling>
        <c:delete val="0"/>
        <c:axPos val="l"/>
        <c:majorGridlines>
          <c:spPr>
            <a:ln w="9525" cap="flat" cmpd="sng" algn="ctr">
              <a:noFill/>
              <a:prstDash val="sysDot"/>
              <a:round/>
            </a:ln>
            <a:effectLst/>
          </c:spPr>
        </c:majorGridlines>
        <c:title>
          <c:tx>
            <c:rich>
              <a:bodyPr rot="-5400000" spcFirstLastPara="1" vertOverflow="ellipsis" vert="horz" wrap="square" anchor="ctr" anchorCtr="1"/>
              <a:lstStyle/>
              <a:p>
                <a:pPr>
                  <a:defRPr sz="800" b="0" i="0" u="none" strike="noStrike" kern="1200" baseline="0">
                    <a:solidFill>
                      <a:srgbClr val="44546A"/>
                    </a:solidFill>
                    <a:latin typeface="+mn-lt"/>
                    <a:ea typeface="+mn-ea"/>
                    <a:cs typeface="+mn-cs"/>
                  </a:defRPr>
                </a:pPr>
                <a:r>
                  <a:rPr lang="sr-Cyrl-CS" sz="800" b="0">
                    <a:solidFill>
                      <a:srgbClr val="44546A"/>
                    </a:solidFill>
                    <a:latin typeface="+mn-lt"/>
                  </a:rPr>
                  <a:t>% БДП</a:t>
                </a:r>
              </a:p>
            </c:rich>
          </c:tx>
          <c:layout>
            <c:manualLayout>
              <c:xMode val="edge"/>
              <c:yMode val="edge"/>
              <c:x val="0.10894497616764057"/>
              <c:y val="9.467553304953491E-2"/>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rgbClr val="44546A"/>
                  </a:solidFill>
                  <a:latin typeface="+mn-lt"/>
                  <a:ea typeface="+mn-ea"/>
                  <a:cs typeface="+mn-cs"/>
                </a:defRPr>
              </a:pPr>
              <a:endParaRPr lang="sr-Latn-RS"/>
            </a:p>
          </c:txPr>
        </c:title>
        <c:numFmt formatCode="#,##0" sourceLinked="0"/>
        <c:majorTickMark val="out"/>
        <c:minorTickMark val="none"/>
        <c:tickLblPos val="nextTo"/>
        <c:spPr>
          <a:noFill/>
          <a:ln w="9525" cap="flat" cmpd="sng" algn="ctr">
            <a:solidFill>
              <a:schemeClr val="dk1">
                <a:tint val="75000"/>
                <a:shade val="95000"/>
                <a:satMod val="105000"/>
              </a:schemeClr>
            </a:solidFill>
            <a:prstDash val="solid"/>
            <a:round/>
          </a:ln>
          <a:effectLst/>
        </c:spPr>
        <c:txPr>
          <a:bodyPr rot="-60000000" spcFirstLastPara="1" vertOverflow="ellipsis" vert="horz" wrap="square" anchor="ctr" anchorCtr="1"/>
          <a:lstStyle/>
          <a:p>
            <a:pPr>
              <a:defRPr sz="750" b="0" i="0" u="none" strike="noStrike" kern="1200" baseline="0">
                <a:solidFill>
                  <a:srgbClr val="44546A"/>
                </a:solidFill>
                <a:latin typeface="+mj-lt"/>
                <a:ea typeface="+mn-ea"/>
                <a:cs typeface="+mn-cs"/>
              </a:defRPr>
            </a:pPr>
            <a:endParaRPr lang="sr-Latn-RS"/>
          </a:p>
        </c:txPr>
        <c:crossAx val="342946768"/>
        <c:crosses val="autoZero"/>
        <c:crossBetween val="between"/>
      </c:valAx>
      <c:spPr>
        <a:noFill/>
        <a:ln>
          <a:noFill/>
        </a:ln>
        <a:effectLst/>
      </c:spPr>
    </c:plotArea>
    <c:legend>
      <c:legendPos val="r"/>
      <c:layout>
        <c:manualLayout>
          <c:xMode val="edge"/>
          <c:yMode val="edge"/>
          <c:x val="3.6840893391664749E-2"/>
          <c:y val="0.69483023102677532"/>
          <c:w val="0.70987796454064023"/>
          <c:h val="0.30516976897322462"/>
        </c:manualLayout>
      </c:layout>
      <c:overlay val="0"/>
      <c:spPr>
        <a:noFill/>
        <a:ln>
          <a:noFill/>
        </a:ln>
        <a:effectLst/>
      </c:spPr>
      <c:txPr>
        <a:bodyPr rot="0" spcFirstLastPara="1" vertOverflow="ellipsis" vert="horz" wrap="square" anchor="ctr" anchorCtr="1"/>
        <a:lstStyle/>
        <a:p>
          <a:pPr>
            <a:defRPr sz="600" b="1" i="0" u="none" strike="noStrike" kern="1200" baseline="0">
              <a:solidFill>
                <a:srgbClr val="44546A"/>
              </a:solidFill>
              <a:latin typeface="+mn-lt"/>
              <a:ea typeface="+mn-ea"/>
              <a:cs typeface="+mn-cs"/>
            </a:defRPr>
          </a:pPr>
          <a:endParaRPr lang="sr-Latn-RS"/>
        </a:p>
      </c:txPr>
    </c:legend>
    <c:plotVisOnly val="1"/>
    <c:dispBlanksAs val="gap"/>
    <c:showDLblsOverMax val="0"/>
  </c:chart>
  <c:spPr>
    <a:solidFill>
      <a:schemeClr val="lt1"/>
    </a:solidFill>
    <a:ln w="9525" cap="flat" cmpd="sng" algn="ctr">
      <a:noFill/>
      <a:prstDash val="solid"/>
      <a:round/>
    </a:ln>
    <a:effectLst/>
  </c:spPr>
  <c:txPr>
    <a:bodyPr/>
    <a:lstStyle/>
    <a:p>
      <a:pPr>
        <a:spcAft>
          <a:spcPts val="600"/>
        </a:spcAft>
        <a:defRPr/>
      </a:pPr>
      <a:endParaRPr lang="sr-Latn-RS"/>
    </a:p>
  </c:txPr>
  <c:externalData r:id="rId3">
    <c:autoUpdate val="0"/>
  </c:externalData>
  <c:userShapes r:id="rId4"/>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618440989179343E-2"/>
          <c:y val="5.7086964129483823E-2"/>
          <c:w val="0.91635877205946437"/>
          <c:h val="0.82967423338395085"/>
        </c:manualLayout>
      </c:layout>
      <c:barChart>
        <c:barDir val="col"/>
        <c:grouping val="clustered"/>
        <c:varyColors val="0"/>
        <c:ser>
          <c:idx val="0"/>
          <c:order val="0"/>
          <c:tx>
            <c:strRef>
              <c:f>'Grafikoni, CAB, Karakter'!$O$10</c:f>
              <c:strCache>
                <c:ptCount val="1"/>
                <c:pt idx="0">
                  <c:v>Фискални импулс</c:v>
                </c:pt>
              </c:strCache>
            </c:strRef>
          </c:tx>
          <c:spPr>
            <a:solidFill>
              <a:srgbClr val="29489A"/>
            </a:solidFill>
            <a:ln w="9525" cap="flat" cmpd="sng" algn="ctr">
              <a:solidFill>
                <a:schemeClr val="accent3">
                  <a:shade val="50000"/>
                  <a:shade val="95000"/>
                  <a:satMod val="105000"/>
                </a:schemeClr>
              </a:solidFill>
              <a:prstDash val="solid"/>
              <a:round/>
            </a:ln>
            <a:effectLst/>
          </c:spPr>
          <c:invertIfNegative val="0"/>
          <c:cat>
            <c:numRef>
              <c:f>'Grafikoni, CAB, Karakter'!$F$12:$F$31</c:f>
              <c:numCache>
                <c:formatCode>General</c:formatCode>
                <c:ptCount val="20"/>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pt idx="16">
                  <c:v>2022</c:v>
                </c:pt>
                <c:pt idx="17">
                  <c:v>2023</c:v>
                </c:pt>
                <c:pt idx="18">
                  <c:v>2024</c:v>
                </c:pt>
                <c:pt idx="19">
                  <c:v>2025</c:v>
                </c:pt>
              </c:numCache>
            </c:numRef>
          </c:cat>
          <c:val>
            <c:numRef>
              <c:f>('Grafikoni, CAB, Karakter'!$O$12:$O$29,'Grafikoni, CAB, Karakter'!$O$30,'Grafikoni, CAB, Karakter'!$O$31)</c:f>
              <c:numCache>
                <c:formatCode>#,##0.0</c:formatCode>
                <c:ptCount val="20"/>
                <c:pt idx="0">
                  <c:v>1.2116017363462697</c:v>
                </c:pt>
                <c:pt idx="1">
                  <c:v>2.3101972814374974</c:v>
                </c:pt>
                <c:pt idx="2">
                  <c:v>1.8658585293064842</c:v>
                </c:pt>
                <c:pt idx="3">
                  <c:v>4.7037941557738439E-2</c:v>
                </c:pt>
                <c:pt idx="4">
                  <c:v>-0.29361889043721501</c:v>
                </c:pt>
                <c:pt idx="5">
                  <c:v>0.42882131194901607</c:v>
                </c:pt>
                <c:pt idx="6">
                  <c:v>0.87220644252198865</c:v>
                </c:pt>
                <c:pt idx="7">
                  <c:v>-1.0384276828175869</c:v>
                </c:pt>
                <c:pt idx="8">
                  <c:v>-0.35211228280455931</c:v>
                </c:pt>
                <c:pt idx="9">
                  <c:v>-2.9781016246147676</c:v>
                </c:pt>
                <c:pt idx="10">
                  <c:v>-1.7597835666043875</c:v>
                </c:pt>
                <c:pt idx="11">
                  <c:v>-2.1205785776122408</c:v>
                </c:pt>
                <c:pt idx="12">
                  <c:v>1.3826118525084667</c:v>
                </c:pt>
                <c:pt idx="13">
                  <c:v>1.3121969860427036</c:v>
                </c:pt>
                <c:pt idx="14">
                  <c:v>6.2773782512136762</c:v>
                </c:pt>
                <c:pt idx="15">
                  <c:v>-2.4524014076439107</c:v>
                </c:pt>
                <c:pt idx="16">
                  <c:v>-1.3130590854818278</c:v>
                </c:pt>
                <c:pt idx="17">
                  <c:v>-1.435775615960347</c:v>
                </c:pt>
                <c:pt idx="18">
                  <c:v>-0.61767689429803063</c:v>
                </c:pt>
                <c:pt idx="19">
                  <c:v>-0.38627760587777038</c:v>
                </c:pt>
              </c:numCache>
            </c:numRef>
          </c:val>
          <c:extLst>
            <c:ext xmlns:c16="http://schemas.microsoft.com/office/drawing/2014/chart" uri="{C3380CC4-5D6E-409C-BE32-E72D297353CC}">
              <c16:uniqueId val="{00000000-629E-4619-904E-DC93748F5E01}"/>
            </c:ext>
          </c:extLst>
        </c:ser>
        <c:dLbls>
          <c:showLegendKey val="0"/>
          <c:showVal val="0"/>
          <c:showCatName val="0"/>
          <c:showSerName val="0"/>
          <c:showPercent val="0"/>
          <c:showBubbleSize val="0"/>
        </c:dLbls>
        <c:gapWidth val="41"/>
        <c:overlap val="-12"/>
        <c:axId val="467546320"/>
        <c:axId val="467537360"/>
      </c:barChart>
      <c:lineChart>
        <c:grouping val="standard"/>
        <c:varyColors val="0"/>
        <c:ser>
          <c:idx val="1"/>
          <c:order val="1"/>
          <c:tx>
            <c:strRef>
              <c:f>'Grafikoni, CAB, Karakter'!$G$10</c:f>
              <c:strCache>
                <c:ptCount val="1"/>
                <c:pt idx="0">
                  <c:v>Производни јаз </c:v>
                </c:pt>
              </c:strCache>
            </c:strRef>
          </c:tx>
          <c:spPr>
            <a:ln w="31750" cap="rnd" cmpd="sng" algn="ctr">
              <a:solidFill>
                <a:srgbClr val="FF0000"/>
              </a:solidFill>
              <a:prstDash val="solid"/>
              <a:round/>
            </a:ln>
            <a:effectLst/>
          </c:spPr>
          <c:marker>
            <c:symbol val="none"/>
          </c:marker>
          <c:cat>
            <c:numRef>
              <c:f>('Grafikoni, CAB, Karakter'!$F$12:$F$29,'Grafikoni, CAB, Karakter'!$F$30,'Grafikoni, CAB, Karakter'!$F$31)</c:f>
              <c:numCache>
                <c:formatCode>General</c:formatCode>
                <c:ptCount val="20"/>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pt idx="16">
                  <c:v>2022</c:v>
                </c:pt>
                <c:pt idx="17">
                  <c:v>2023</c:v>
                </c:pt>
                <c:pt idx="18">
                  <c:v>2024</c:v>
                </c:pt>
                <c:pt idx="19">
                  <c:v>2025</c:v>
                </c:pt>
              </c:numCache>
            </c:numRef>
          </c:cat>
          <c:val>
            <c:numRef>
              <c:f>('Grafikoni, CAB, Karakter'!$G$12:$G$29,'Grafikoni, CAB, Karakter'!$G$30,'Grafikoni, CAB, Karakter'!$G$31)</c:f>
              <c:numCache>
                <c:formatCode>#,##0.0</c:formatCode>
                <c:ptCount val="20"/>
                <c:pt idx="0">
                  <c:v>-2.6832140632075245</c:v>
                </c:pt>
                <c:pt idx="1">
                  <c:v>0.7554630097522238</c:v>
                </c:pt>
                <c:pt idx="2">
                  <c:v>4.0456825224386241</c:v>
                </c:pt>
                <c:pt idx="3">
                  <c:v>-0.38841523007367457</c:v>
                </c:pt>
                <c:pt idx="4">
                  <c:v>-0.71907264608035892</c:v>
                </c:pt>
                <c:pt idx="5">
                  <c:v>0.51693805481845378</c:v>
                </c:pt>
                <c:pt idx="6">
                  <c:v>-0.84638170174673022</c:v>
                </c:pt>
                <c:pt idx="7">
                  <c:v>1.2296957460230202</c:v>
                </c:pt>
                <c:pt idx="8">
                  <c:v>-1.4172368683762937</c:v>
                </c:pt>
                <c:pt idx="9">
                  <c:v>-1.1603398122711222</c:v>
                </c:pt>
                <c:pt idx="10">
                  <c:v>1.0333399227199343E-2</c:v>
                </c:pt>
                <c:pt idx="11">
                  <c:v>-0.52617825858311262</c:v>
                </c:pt>
                <c:pt idx="12">
                  <c:v>0.86995090785417784</c:v>
                </c:pt>
                <c:pt idx="13">
                  <c:v>1.8739818556180539</c:v>
                </c:pt>
                <c:pt idx="14">
                  <c:v>-2.521913654550584</c:v>
                </c:pt>
                <c:pt idx="15">
                  <c:v>0.8273308900412023</c:v>
                </c:pt>
                <c:pt idx="16">
                  <c:v>0.30809371425783211</c:v>
                </c:pt>
                <c:pt idx="17">
                  <c:v>0.13258273994517733</c:v>
                </c:pt>
                <c:pt idx="18">
                  <c:v>-0.14116605852199135</c:v>
                </c:pt>
                <c:pt idx="19">
                  <c:v>4.7497664150099012E-2</c:v>
                </c:pt>
              </c:numCache>
            </c:numRef>
          </c:val>
          <c:smooth val="1"/>
          <c:extLst>
            <c:ext xmlns:c16="http://schemas.microsoft.com/office/drawing/2014/chart" uri="{C3380CC4-5D6E-409C-BE32-E72D297353CC}">
              <c16:uniqueId val="{00000001-629E-4619-904E-DC93748F5E01}"/>
            </c:ext>
          </c:extLst>
        </c:ser>
        <c:dLbls>
          <c:showLegendKey val="0"/>
          <c:showVal val="0"/>
          <c:showCatName val="0"/>
          <c:showSerName val="0"/>
          <c:showPercent val="0"/>
          <c:showBubbleSize val="0"/>
        </c:dLbls>
        <c:marker val="1"/>
        <c:smooth val="0"/>
        <c:axId val="467546320"/>
        <c:axId val="467537360"/>
      </c:lineChart>
      <c:catAx>
        <c:axId val="467546320"/>
        <c:scaling>
          <c:orientation val="minMax"/>
        </c:scaling>
        <c:delete val="0"/>
        <c:axPos val="b"/>
        <c:majorGridlines>
          <c:spPr>
            <a:ln w="9525" cap="flat" cmpd="sng" algn="ctr">
              <a:noFill/>
              <a:prstDash val="solid"/>
              <a:round/>
            </a:ln>
            <a:effectLst/>
          </c:spPr>
        </c:majorGridlines>
        <c:numFmt formatCode="General" sourceLinked="1"/>
        <c:majorTickMark val="out"/>
        <c:minorTickMark val="none"/>
        <c:tickLblPos val="low"/>
        <c:spPr>
          <a:noFill/>
          <a:ln w="6350" cap="flat" cmpd="sng" algn="ctr">
            <a:solidFill>
              <a:srgbClr val="898989"/>
            </a:solidFill>
            <a:prstDash val="solid"/>
            <a:round/>
          </a:ln>
          <a:effectLst/>
        </c:spPr>
        <c:txPr>
          <a:bodyPr rot="-60000000" spcFirstLastPara="1" vertOverflow="ellipsis" vert="horz" wrap="square" anchor="ctr" anchorCtr="1"/>
          <a:lstStyle/>
          <a:p>
            <a:pPr>
              <a:defRPr sz="600" b="0" i="0" u="none" strike="noStrike" kern="1200" baseline="0">
                <a:solidFill>
                  <a:srgbClr val="44546A"/>
                </a:solidFill>
                <a:latin typeface="+mn-lt"/>
                <a:ea typeface="+mn-ea"/>
                <a:cs typeface="+mn-cs"/>
              </a:defRPr>
            </a:pPr>
            <a:endParaRPr lang="sr-Latn-RS"/>
          </a:p>
        </c:txPr>
        <c:crossAx val="467537360"/>
        <c:crosses val="autoZero"/>
        <c:auto val="1"/>
        <c:lblAlgn val="ctr"/>
        <c:lblOffset val="100"/>
        <c:noMultiLvlLbl val="0"/>
      </c:catAx>
      <c:valAx>
        <c:axId val="467537360"/>
        <c:scaling>
          <c:orientation val="minMax"/>
          <c:min val="-9"/>
        </c:scaling>
        <c:delete val="0"/>
        <c:axPos val="l"/>
        <c:majorGridlines>
          <c:spPr>
            <a:ln w="9525" cap="flat" cmpd="sng" algn="ctr">
              <a:noFill/>
              <a:prstDash val="solid"/>
              <a:round/>
            </a:ln>
            <a:effectLst/>
          </c:spPr>
        </c:majorGridlines>
        <c:title>
          <c:tx>
            <c:rich>
              <a:bodyPr rot="-5400000" spcFirstLastPara="1" vertOverflow="ellipsis" vert="horz" wrap="square" anchor="ctr" anchorCtr="1"/>
              <a:lstStyle/>
              <a:p>
                <a:pPr>
                  <a:defRPr sz="750" b="0" i="0" u="none" strike="noStrike" kern="1200" baseline="0">
                    <a:solidFill>
                      <a:srgbClr val="44546A"/>
                    </a:solidFill>
                    <a:latin typeface="+mn-lt"/>
                    <a:ea typeface="+mn-ea"/>
                    <a:cs typeface="+mn-cs"/>
                  </a:defRPr>
                </a:pPr>
                <a:r>
                  <a:rPr lang="sr-Cyrl-CS" sz="750" b="0">
                    <a:solidFill>
                      <a:srgbClr val="44546A"/>
                    </a:solidFill>
                    <a:latin typeface="+mn-lt"/>
                  </a:rPr>
                  <a:t>% БДП</a:t>
                </a:r>
                <a:endParaRPr lang="en-US" sz="750" b="0">
                  <a:solidFill>
                    <a:srgbClr val="44546A"/>
                  </a:solidFill>
                  <a:latin typeface="+mn-lt"/>
                </a:endParaRPr>
              </a:p>
            </c:rich>
          </c:tx>
          <c:layout>
            <c:manualLayout>
              <c:xMode val="edge"/>
              <c:yMode val="edge"/>
              <c:x val="5.3497970745365706E-2"/>
              <c:y val="3.194738988201079E-2"/>
            </c:manualLayout>
          </c:layout>
          <c:overlay val="0"/>
          <c:spPr>
            <a:noFill/>
            <a:ln>
              <a:noFill/>
            </a:ln>
            <a:effectLst/>
          </c:spPr>
          <c:txPr>
            <a:bodyPr rot="-5400000" spcFirstLastPara="1" vertOverflow="ellipsis" vert="horz" wrap="square" anchor="ctr" anchorCtr="1"/>
            <a:lstStyle/>
            <a:p>
              <a:pPr>
                <a:defRPr sz="750" b="0" i="0" u="none" strike="noStrike" kern="1200" baseline="0">
                  <a:solidFill>
                    <a:srgbClr val="44546A"/>
                  </a:solidFill>
                  <a:latin typeface="+mn-lt"/>
                  <a:ea typeface="+mn-ea"/>
                  <a:cs typeface="+mn-cs"/>
                </a:defRPr>
              </a:pPr>
              <a:endParaRPr lang="sr-Latn-RS"/>
            </a:p>
          </c:txPr>
        </c:title>
        <c:numFmt formatCode="0" sourceLinked="0"/>
        <c:majorTickMark val="out"/>
        <c:minorTickMark val="none"/>
        <c:tickLblPos val="nextTo"/>
        <c:spPr>
          <a:noFill/>
          <a:ln w="3175" cap="flat" cmpd="sng" algn="ctr">
            <a:noFill/>
            <a:prstDash val="solid"/>
            <a:round/>
          </a:ln>
          <a:effectLst/>
        </c:spPr>
        <c:txPr>
          <a:bodyPr rot="-60000000" spcFirstLastPara="1" vertOverflow="ellipsis" vert="horz" wrap="square" anchor="ctr" anchorCtr="1"/>
          <a:lstStyle/>
          <a:p>
            <a:pPr>
              <a:defRPr sz="750" b="0" i="0" u="none" strike="noStrike" kern="1200" baseline="0">
                <a:solidFill>
                  <a:srgbClr val="44546A"/>
                </a:solidFill>
                <a:latin typeface="+mn-lt"/>
                <a:ea typeface="+mn-ea"/>
                <a:cs typeface="+mn-cs"/>
              </a:defRPr>
            </a:pPr>
            <a:endParaRPr lang="sr-Latn-RS"/>
          </a:p>
        </c:txPr>
        <c:crossAx val="467546320"/>
        <c:crosses val="autoZero"/>
        <c:crossBetween val="between"/>
      </c:valAx>
      <c:spPr>
        <a:noFill/>
        <a:ln>
          <a:noFill/>
        </a:ln>
        <a:effectLst/>
      </c:spPr>
    </c:plotArea>
    <c:legend>
      <c:legendPos val="r"/>
      <c:layout>
        <c:manualLayout>
          <c:xMode val="edge"/>
          <c:yMode val="edge"/>
          <c:x val="0.10575935617028157"/>
          <c:y val="0.82970027594333029"/>
          <c:w val="0.795961068391148"/>
          <c:h val="4.9573656234147202E-2"/>
        </c:manualLayout>
      </c:layout>
      <c:overlay val="0"/>
      <c:spPr>
        <a:noFill/>
        <a:ln>
          <a:noFill/>
        </a:ln>
        <a:effectLst/>
      </c:spPr>
      <c:txPr>
        <a:bodyPr rot="0" spcFirstLastPara="1" vertOverflow="ellipsis" vert="horz" wrap="square" anchor="ctr" anchorCtr="1"/>
        <a:lstStyle/>
        <a:p>
          <a:pPr>
            <a:defRPr sz="600" b="1" i="0" u="none" strike="noStrike" kern="1200" baseline="0">
              <a:solidFill>
                <a:srgbClr val="44546A"/>
              </a:solidFill>
              <a:latin typeface="+mn-lt"/>
              <a:ea typeface="+mn-ea"/>
              <a:cs typeface="+mn-cs"/>
            </a:defRPr>
          </a:pPr>
          <a:endParaRPr lang="sr-Latn-RS"/>
        </a:p>
      </c:txPr>
    </c:legend>
    <c:plotVisOnly val="1"/>
    <c:dispBlanksAs val="gap"/>
    <c:showDLblsOverMax val="0"/>
  </c:chart>
  <c:spPr>
    <a:solidFill>
      <a:schemeClr val="lt1"/>
    </a:solidFill>
    <a:ln w="9525" cap="flat" cmpd="sng" algn="ctr">
      <a:noFill/>
      <a:prstDash val="solid"/>
      <a:round/>
    </a:ln>
    <a:effectLst/>
  </c:spPr>
  <c:txPr>
    <a:bodyPr/>
    <a:lstStyle/>
    <a:p>
      <a:pPr>
        <a:defRPr sz="900" baseline="0">
          <a:latin typeface="Cambria" pitchFamily="18" charset="0"/>
        </a:defRPr>
      </a:pPr>
      <a:endParaRPr lang="sr-Latn-RS"/>
    </a:p>
  </c:txPr>
  <c:externalData r:id="rId4">
    <c:autoUpdate val="0"/>
  </c:externalData>
  <c:userShapes r:id="rId5"/>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0616161716296222E-2"/>
          <c:y val="4.9007480657224968E-2"/>
          <c:w val="0.93476377952755907"/>
          <c:h val="0.9174795514193721"/>
        </c:manualLayout>
      </c:layout>
      <c:scatterChart>
        <c:scatterStyle val="smoothMarker"/>
        <c:varyColors val="0"/>
        <c:ser>
          <c:idx val="1"/>
          <c:order val="0"/>
          <c:spPr>
            <a:ln w="19050" cap="rnd">
              <a:solidFill>
                <a:srgbClr val="FF0000"/>
              </a:solidFill>
              <a:round/>
            </a:ln>
            <a:effectLst>
              <a:outerShdw blurRad="40000" dist="23000" dir="5400000" rotWithShape="0">
                <a:srgbClr val="000000">
                  <a:alpha val="35000"/>
                </a:srgbClr>
              </a:outerShdw>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cap="rnd">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dLbls>
            <c:dLbl>
              <c:idx val="0"/>
              <c:layout>
                <c:manualLayout>
                  <c:x val="-6.9381423218486976E-2"/>
                  <c:y val="-4.1527671341031656E-2"/>
                </c:manualLayout>
              </c:layout>
              <c:tx>
                <c:rich>
                  <a:bodyPr/>
                  <a:lstStyle/>
                  <a:p>
                    <a:r>
                      <a:rPr lang="en-US"/>
                      <a:t>2006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3C81-487E-9CFA-D9DC877DDFB7}"/>
                </c:ext>
              </c:extLst>
            </c:dLbl>
            <c:dLbl>
              <c:idx val="1"/>
              <c:layout>
                <c:manualLayout>
                  <c:x val="-2.4016646498707127E-2"/>
                  <c:y val="-3.3977185642662298E-2"/>
                </c:manualLayout>
              </c:layout>
              <c:tx>
                <c:rich>
                  <a:bodyPr/>
                  <a:lstStyle/>
                  <a:p>
                    <a:r>
                      <a:rPr lang="en-US"/>
                      <a:t>2007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3C81-487E-9CFA-D9DC877DDFB7}"/>
                </c:ext>
              </c:extLst>
            </c:dLbl>
            <c:dLbl>
              <c:idx val="2"/>
              <c:layout>
                <c:manualLayout>
                  <c:x val="-5.0701809275048172E-2"/>
                  <c:y val="-6.3495592658862496E-2"/>
                </c:manualLayout>
              </c:layout>
              <c:tx>
                <c:rich>
                  <a:bodyPr/>
                  <a:lstStyle/>
                  <a:p>
                    <a:r>
                      <a:rPr lang="en-US"/>
                      <a:t>2008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3C81-487E-9CFA-D9DC877DDFB7}"/>
                </c:ext>
              </c:extLst>
            </c:dLbl>
            <c:dLbl>
              <c:idx val="3"/>
              <c:layout>
                <c:manualLayout>
                  <c:x val="-0.1753445221834031"/>
                  <c:y val="-6.0403989501312337E-2"/>
                </c:manualLayout>
              </c:layout>
              <c:tx>
                <c:rich>
                  <a:bodyPr/>
                  <a:lstStyle/>
                  <a:p>
                    <a:r>
                      <a:rPr lang="en-US"/>
                      <a:t>2009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3C81-487E-9CFA-D9DC877DDFB7}"/>
                </c:ext>
              </c:extLst>
            </c:dLbl>
            <c:dLbl>
              <c:idx val="4"/>
              <c:layout>
                <c:manualLayout>
                  <c:x val="-0.11474619993826693"/>
                  <c:y val="4.8635741754395737E-2"/>
                </c:manualLayout>
              </c:layout>
              <c:tx>
                <c:rich>
                  <a:bodyPr/>
                  <a:lstStyle/>
                  <a:p>
                    <a:r>
                      <a:rPr lang="en-US"/>
                      <a:t>2010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3C81-487E-9CFA-D9DC877DDFB7}"/>
                </c:ext>
              </c:extLst>
            </c:dLbl>
            <c:dLbl>
              <c:idx val="5"/>
              <c:layout>
                <c:manualLayout>
                  <c:x val="8.0055488329023438E-3"/>
                  <c:y val="-3.0523469547407887E-2"/>
                </c:manualLayout>
              </c:layout>
              <c:tx>
                <c:rich>
                  <a:bodyPr/>
                  <a:lstStyle/>
                  <a:p>
                    <a:r>
                      <a:rPr lang="en-US"/>
                      <a:t>2011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3C81-487E-9CFA-D9DC877DDFB7}"/>
                </c:ext>
              </c:extLst>
            </c:dLbl>
            <c:dLbl>
              <c:idx val="6"/>
              <c:layout>
                <c:manualLayout>
                  <c:x val="-6.6712906940852856E-2"/>
                  <c:y val="-4.9078157039401084E-2"/>
                </c:manualLayout>
              </c:layout>
              <c:tx>
                <c:rich>
                  <a:bodyPr/>
                  <a:lstStyle/>
                  <a:p>
                    <a:r>
                      <a:rPr lang="en-US"/>
                      <a:t>2012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3C81-487E-9CFA-D9DC877DDFB7}"/>
                </c:ext>
              </c:extLst>
            </c:dLbl>
            <c:dLbl>
              <c:idx val="7"/>
              <c:layout>
                <c:manualLayout>
                  <c:x val="5.3370325552682292E-3"/>
                  <c:y val="2.6145244036002206E-2"/>
                </c:manualLayout>
              </c:layout>
              <c:tx>
                <c:rich>
                  <a:bodyPr/>
                  <a:lstStyle/>
                  <a:p>
                    <a:r>
                      <a:rPr lang="en-US"/>
                      <a:t>2013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3C81-487E-9CFA-D9DC877DDFB7}"/>
                </c:ext>
              </c:extLst>
            </c:dLbl>
            <c:dLbl>
              <c:idx val="8"/>
              <c:layout>
                <c:manualLayout>
                  <c:x val="-0.10140361855009634"/>
                  <c:y val="7.1367693301288504E-2"/>
                </c:manualLayout>
              </c:layout>
              <c:tx>
                <c:rich>
                  <a:bodyPr/>
                  <a:lstStyle/>
                  <a:p>
                    <a:r>
                      <a:rPr lang="en-US"/>
                      <a:t>2014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3C81-487E-9CFA-D9DC877DDFB7}"/>
                </c:ext>
              </c:extLst>
            </c:dLbl>
            <c:dLbl>
              <c:idx val="9"/>
              <c:tx>
                <c:rich>
                  <a:bodyPr/>
                  <a:lstStyle/>
                  <a:p>
                    <a:r>
                      <a:rPr lang="en-US"/>
                      <a:t>2015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3C81-487E-9CFA-D9DC877DDFB7}"/>
                </c:ext>
              </c:extLst>
            </c:dLbl>
            <c:dLbl>
              <c:idx val="10"/>
              <c:layout>
                <c:manualLayout>
                  <c:x val="-2.1348125735417816E-2"/>
                  <c:y val="7.0193690025747005E-2"/>
                </c:manualLayout>
              </c:layout>
              <c:tx>
                <c:rich>
                  <a:bodyPr/>
                  <a:lstStyle/>
                  <a:p>
                    <a:r>
                      <a:rPr lang="en-US"/>
                      <a:t>2016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3C81-487E-9CFA-D9DC877DDFB7}"/>
                </c:ext>
              </c:extLst>
            </c:dLbl>
            <c:dLbl>
              <c:idx val="11"/>
              <c:layout>
                <c:manualLayout>
                  <c:x val="-5.3370325552682292E-2"/>
                  <c:y val="-4.9078157039401049E-2"/>
                </c:manualLayout>
              </c:layout>
              <c:tx>
                <c:rich>
                  <a:bodyPr/>
                  <a:lstStyle/>
                  <a:p>
                    <a:r>
                      <a:rPr lang="en-US"/>
                      <a:t>2017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3C81-487E-9CFA-D9DC877DDFB7}"/>
                </c:ext>
              </c:extLst>
            </c:dLbl>
            <c:dLbl>
              <c:idx val="12"/>
              <c:layout>
                <c:manualLayout>
                  <c:x val="-8.5392520884291667E-2"/>
                  <c:y val="-2.2410209173716247E-2"/>
                </c:manualLayout>
              </c:layout>
              <c:tx>
                <c:rich>
                  <a:bodyPr/>
                  <a:lstStyle/>
                  <a:p>
                    <a:r>
                      <a:rPr lang="en-US"/>
                      <a:t>2018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3C81-487E-9CFA-D9DC877DDFB7}"/>
                </c:ext>
              </c:extLst>
            </c:dLbl>
            <c:dLbl>
              <c:idx val="13"/>
              <c:layout>
                <c:manualLayout>
                  <c:x val="-4.2696260442145785E-2"/>
                  <c:y val="-7.0965662383434602E-2"/>
                </c:manualLayout>
              </c:layout>
              <c:tx>
                <c:rich>
                  <a:bodyPr/>
                  <a:lstStyle/>
                  <a:p>
                    <a:r>
                      <a:rPr lang="en-US"/>
                      <a:t>2019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3C81-487E-9CFA-D9DC877DDFB7}"/>
                </c:ext>
              </c:extLst>
            </c:dLbl>
            <c:dLbl>
              <c:idx val="14"/>
              <c:tx>
                <c:rich>
                  <a:bodyPr/>
                  <a:lstStyle/>
                  <a:p>
                    <a:r>
                      <a:rPr lang="en-US"/>
                      <a:t>2020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3C81-487E-9CFA-D9DC877DDFB7}"/>
                </c:ext>
              </c:extLst>
            </c:dLbl>
            <c:dLbl>
              <c:idx val="15"/>
              <c:layout>
                <c:manualLayout>
                  <c:x val="1.0674062867708761E-2"/>
                  <c:y val="-3.2622739847777804E-2"/>
                </c:manualLayout>
              </c:layout>
              <c:tx>
                <c:rich>
                  <a:bodyPr/>
                  <a:lstStyle/>
                  <a:p>
                    <a:r>
                      <a:rPr lang="en-US"/>
                      <a:t>2021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3C81-487E-9CFA-D9DC877DDFB7}"/>
                </c:ext>
              </c:extLst>
            </c:dLbl>
            <c:dLbl>
              <c:idx val="16"/>
              <c:tx>
                <c:rich>
                  <a:bodyPr rot="0" spcFirstLastPara="1" vertOverflow="ellipsis" horzOverflow="clip" vert="horz" wrap="square" lIns="38100" tIns="19050" rIns="38100" bIns="19050" anchor="ctr" anchorCtr="1">
                    <a:noAutofit/>
                  </a:bodyPr>
                  <a:lstStyle/>
                  <a:p>
                    <a:pPr>
                      <a:defRPr sz="600" b="1" i="0" u="none" strike="noStrike" kern="1200" baseline="0">
                        <a:solidFill>
                          <a:srgbClr val="44546A"/>
                        </a:solidFill>
                        <a:latin typeface="+mn-lt"/>
                        <a:ea typeface="+mn-ea"/>
                        <a:cs typeface="+mn-cs"/>
                      </a:defRPr>
                    </a:pPr>
                    <a:r>
                      <a:rPr lang="en-US" sz="600"/>
                      <a:t>2022</a:t>
                    </a:r>
                  </a:p>
                </c:rich>
              </c:tx>
              <c:spPr>
                <a:noFill/>
                <a:ln>
                  <a:noFill/>
                </a:ln>
                <a:effectLst/>
              </c:spPr>
              <c:txPr>
                <a:bodyPr rot="0" spcFirstLastPara="1" vertOverflow="ellipsis" horzOverflow="clip" vert="horz" wrap="square" lIns="38100" tIns="19050" rIns="38100" bIns="19050" anchor="ctr" anchorCtr="1">
                  <a:noAutofit/>
                </a:bodyPr>
                <a:lstStyle/>
                <a:p>
                  <a:pPr>
                    <a:defRPr sz="600" b="1" i="0" u="none" strike="noStrike" kern="1200" baseline="0">
                      <a:solidFill>
                        <a:srgbClr val="44546A"/>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15:showDataLabelsRange val="0"/>
                </c:ext>
                <c:ext xmlns:c16="http://schemas.microsoft.com/office/drawing/2014/chart" uri="{C3380CC4-5D6E-409C-BE32-E72D297353CC}">
                  <c16:uniqueId val="{00000010-3C81-487E-9CFA-D9DC877DDFB7}"/>
                </c:ext>
              </c:extLst>
            </c:dLbl>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rgbClr val="44546A"/>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'Grafikoni, CAB, Karakter'!$Z$12:$Z$28</c:f>
              <c:numCache>
                <c:formatCode>#.##00</c:formatCode>
                <c:ptCount val="17"/>
                <c:pt idx="0">
                  <c:v>-2.6832140632075245</c:v>
                </c:pt>
                <c:pt idx="1">
                  <c:v>0.7554630097522238</c:v>
                </c:pt>
                <c:pt idx="2">
                  <c:v>4.0456825224386241</c:v>
                </c:pt>
                <c:pt idx="3">
                  <c:v>-0.38841523007367457</c:v>
                </c:pt>
                <c:pt idx="4">
                  <c:v>-0.71907264608035892</c:v>
                </c:pt>
                <c:pt idx="5">
                  <c:v>0.51693805481845378</c:v>
                </c:pt>
                <c:pt idx="6">
                  <c:v>-0.84638170174673022</c:v>
                </c:pt>
                <c:pt idx="7">
                  <c:v>1.2296957460230202</c:v>
                </c:pt>
                <c:pt idx="8">
                  <c:v>-1.4172368683762937</c:v>
                </c:pt>
                <c:pt idx="9">
                  <c:v>-1.1603398122711222</c:v>
                </c:pt>
                <c:pt idx="10">
                  <c:v>1.0333399227199343E-2</c:v>
                </c:pt>
                <c:pt idx="11">
                  <c:v>-0.52617825858311262</c:v>
                </c:pt>
                <c:pt idx="12">
                  <c:v>0.86995090785417784</c:v>
                </c:pt>
                <c:pt idx="13">
                  <c:v>1.8739818556180539</c:v>
                </c:pt>
                <c:pt idx="14">
                  <c:v>-2.521913654550584</c:v>
                </c:pt>
                <c:pt idx="15">
                  <c:v>0.8273308900412023</c:v>
                </c:pt>
                <c:pt idx="16">
                  <c:v>0.30809371425783211</c:v>
                </c:pt>
              </c:numCache>
            </c:numRef>
          </c:xVal>
          <c:yVal>
            <c:numRef>
              <c:f>'Grafikoni, CAB, Karakter'!$AA$12:$AA$28</c:f>
              <c:numCache>
                <c:formatCode>#.##00</c:formatCode>
                <c:ptCount val="17"/>
                <c:pt idx="0">
                  <c:v>1.2116017363462697</c:v>
                </c:pt>
                <c:pt idx="1">
                  <c:v>2.3101972814374974</c:v>
                </c:pt>
                <c:pt idx="2">
                  <c:v>1.8658585293064842</c:v>
                </c:pt>
                <c:pt idx="3">
                  <c:v>4.7037941557738439E-2</c:v>
                </c:pt>
                <c:pt idx="4">
                  <c:v>-0.29361889043721501</c:v>
                </c:pt>
                <c:pt idx="5">
                  <c:v>0.42882131194901607</c:v>
                </c:pt>
                <c:pt idx="6">
                  <c:v>0.87220644252198865</c:v>
                </c:pt>
                <c:pt idx="7">
                  <c:v>-1.0384276828175869</c:v>
                </c:pt>
                <c:pt idx="8">
                  <c:v>-0.35211228280455931</c:v>
                </c:pt>
                <c:pt idx="9">
                  <c:v>-2.9781016246147676</c:v>
                </c:pt>
                <c:pt idx="10">
                  <c:v>-1.7597835666043875</c:v>
                </c:pt>
                <c:pt idx="11">
                  <c:v>-2.1205785776122408</c:v>
                </c:pt>
                <c:pt idx="12">
                  <c:v>1.3826118525084667</c:v>
                </c:pt>
                <c:pt idx="13">
                  <c:v>1.3121969860427036</c:v>
                </c:pt>
                <c:pt idx="14">
                  <c:v>6.2773782512136762</c:v>
                </c:pt>
                <c:pt idx="15">
                  <c:v>-2.4524014076439107</c:v>
                </c:pt>
                <c:pt idx="16">
                  <c:v>-1.3130590854818278</c:v>
                </c:pt>
              </c:numCache>
            </c:numRef>
          </c:yVal>
          <c:smooth val="1"/>
          <c:extLst>
            <c:ext xmlns:c16="http://schemas.microsoft.com/office/drawing/2014/chart" uri="{C3380CC4-5D6E-409C-BE32-E72D297353CC}">
              <c16:uniqueId val="{00000011-3C81-487E-9CFA-D9DC877DDFB7}"/>
            </c:ext>
          </c:extLst>
        </c:ser>
        <c:dLbls>
          <c:showLegendKey val="0"/>
          <c:showVal val="0"/>
          <c:showCatName val="0"/>
          <c:showSerName val="0"/>
          <c:showPercent val="0"/>
          <c:showBubbleSize val="0"/>
        </c:dLbls>
        <c:axId val="220401872"/>
        <c:axId val="343751600"/>
      </c:scatterChart>
      <c:valAx>
        <c:axId val="220401872"/>
        <c:scaling>
          <c:orientation val="minMax"/>
          <c:min val="-4"/>
        </c:scaling>
        <c:delete val="0"/>
        <c:axPos val="b"/>
        <c:majorGridlines>
          <c:spPr>
            <a:ln w="12700" cap="flat" cmpd="sng" algn="ctr">
              <a:noFill/>
              <a:round/>
            </a:ln>
            <a:effectLst/>
          </c:spPr>
        </c:majorGridlines>
        <c:title>
          <c:tx>
            <c:rich>
              <a:bodyPr rot="0" spcFirstLastPara="1" vertOverflow="ellipsis" vert="horz" wrap="square" anchor="ctr" anchorCtr="1"/>
              <a:lstStyle/>
              <a:p>
                <a:pPr>
                  <a:defRPr sz="700" b="0" i="0" u="none" strike="noStrike" kern="1200" baseline="0">
                    <a:solidFill>
                      <a:srgbClr val="44546A"/>
                    </a:solidFill>
                    <a:latin typeface="+mn-lt"/>
                    <a:ea typeface="+mn-ea"/>
                    <a:cs typeface="+mn-cs"/>
                  </a:defRPr>
                </a:pPr>
                <a:r>
                  <a:rPr lang="sr-Cyrl-CS" sz="700" b="1">
                    <a:solidFill>
                      <a:srgbClr val="44546A"/>
                    </a:solidFill>
                    <a:latin typeface="+mn-lt"/>
                  </a:rPr>
                  <a:t>Производни јаз</a:t>
                </a:r>
              </a:p>
            </c:rich>
          </c:tx>
          <c:layout>
            <c:manualLayout>
              <c:xMode val="edge"/>
              <c:yMode val="edge"/>
              <c:x val="0.81662355366943062"/>
              <c:y val="0.60760870716032656"/>
            </c:manualLayout>
          </c:layout>
          <c:overlay val="0"/>
          <c:spPr>
            <a:noFill/>
            <a:ln>
              <a:noFill/>
            </a:ln>
            <a:effectLst/>
          </c:spPr>
          <c:txPr>
            <a:bodyPr rot="0" spcFirstLastPara="1" vertOverflow="ellipsis" vert="horz" wrap="square" anchor="ctr" anchorCtr="1"/>
            <a:lstStyle/>
            <a:p>
              <a:pPr>
                <a:defRPr sz="700" b="0" i="0" u="none" strike="noStrike" kern="1200" baseline="0">
                  <a:solidFill>
                    <a:srgbClr val="44546A"/>
                  </a:solidFill>
                  <a:latin typeface="+mn-lt"/>
                  <a:ea typeface="+mn-ea"/>
                  <a:cs typeface="+mn-cs"/>
                </a:defRPr>
              </a:pPr>
              <a:endParaRPr lang="sr-Latn-RS"/>
            </a:p>
          </c:txPr>
        </c:title>
        <c:numFmt formatCode="#,##0" sourceLinked="0"/>
        <c:majorTickMark val="none"/>
        <c:minorTickMark val="none"/>
        <c:tickLblPos val="nextTo"/>
        <c:spPr>
          <a:noFill/>
          <a:ln w="9525" cap="flat" cmpd="sng" algn="ctr">
            <a:solidFill>
              <a:srgbClr val="D9D9D9"/>
            </a:solidFill>
            <a:round/>
          </a:ln>
          <a:effectLst/>
        </c:spPr>
        <c:txPr>
          <a:bodyPr rot="-60000000" spcFirstLastPara="1" vertOverflow="ellipsis" vert="horz" wrap="square" anchor="ctr" anchorCtr="1"/>
          <a:lstStyle/>
          <a:p>
            <a:pPr>
              <a:defRPr sz="750" b="0" i="0" u="none" strike="noStrike" kern="1200" baseline="0">
                <a:solidFill>
                  <a:srgbClr val="44546A"/>
                </a:solidFill>
                <a:latin typeface="+mn-lt"/>
                <a:ea typeface="+mn-ea"/>
                <a:cs typeface="+mn-cs"/>
              </a:defRPr>
            </a:pPr>
            <a:endParaRPr lang="sr-Latn-RS"/>
          </a:p>
        </c:txPr>
        <c:crossAx val="343751600"/>
        <c:crosses val="autoZero"/>
        <c:crossBetween val="midCat"/>
      </c:valAx>
      <c:valAx>
        <c:axId val="343751600"/>
        <c:scaling>
          <c:orientation val="minMax"/>
          <c:max val="7.5"/>
          <c:min val="-4"/>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700" b="1" i="0" u="none" strike="noStrike" kern="1200" baseline="0">
                    <a:solidFill>
                      <a:srgbClr val="44546A"/>
                    </a:solidFill>
                    <a:latin typeface="+mn-lt"/>
                    <a:ea typeface="+mn-ea"/>
                    <a:cs typeface="+mn-cs"/>
                  </a:defRPr>
                </a:pPr>
                <a:r>
                  <a:rPr lang="sr-Cyrl-CS" sz="700" b="1">
                    <a:solidFill>
                      <a:srgbClr val="44546A"/>
                    </a:solidFill>
                    <a:latin typeface="+mn-lt"/>
                  </a:rPr>
                  <a:t>Фискални импулс</a:t>
                </a:r>
                <a:endParaRPr lang="en-GB" sz="700" b="1">
                  <a:solidFill>
                    <a:srgbClr val="44546A"/>
                  </a:solidFill>
                  <a:latin typeface="+mn-lt"/>
                </a:endParaRPr>
              </a:p>
            </c:rich>
          </c:tx>
          <c:layout>
            <c:manualLayout>
              <c:xMode val="edge"/>
              <c:yMode val="edge"/>
              <c:x val="2.4160518963451004E-3"/>
              <c:y val="0.40503097112860886"/>
            </c:manualLayout>
          </c:layout>
          <c:overlay val="0"/>
          <c:spPr>
            <a:noFill/>
            <a:ln>
              <a:noFill/>
            </a:ln>
            <a:effectLst/>
          </c:spPr>
          <c:txPr>
            <a:bodyPr rot="-5400000" spcFirstLastPara="1" vertOverflow="ellipsis" vert="horz" wrap="square" anchor="ctr" anchorCtr="1"/>
            <a:lstStyle/>
            <a:p>
              <a:pPr>
                <a:defRPr sz="700" b="1" i="0" u="none" strike="noStrike" kern="1200" baseline="0">
                  <a:solidFill>
                    <a:srgbClr val="44546A"/>
                  </a:solidFill>
                  <a:latin typeface="+mn-lt"/>
                  <a:ea typeface="+mn-ea"/>
                  <a:cs typeface="+mn-cs"/>
                </a:defRPr>
              </a:pPr>
              <a:endParaRPr lang="sr-Latn-RS"/>
            </a:p>
          </c:txPr>
        </c:title>
        <c:numFmt formatCode="#,##0" sourceLinked="0"/>
        <c:majorTickMark val="none"/>
        <c:minorTickMark val="none"/>
        <c:tickLblPos val="nextTo"/>
        <c:spPr>
          <a:noFill/>
          <a:ln w="9525">
            <a:solidFill>
              <a:srgbClr val="D9D9D9"/>
            </a:solidFill>
          </a:ln>
          <a:effectLst/>
        </c:spPr>
        <c:txPr>
          <a:bodyPr rot="-6000000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sr-Latn-RS"/>
          </a:p>
        </c:txPr>
        <c:crossAx val="220401872"/>
        <c:crosses val="autoZero"/>
        <c:crossBetween val="midCat"/>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aseline="0">
          <a:latin typeface="Cambria" panose="02040503050406030204" pitchFamily="18" charset="0"/>
        </a:defRPr>
      </a:pPr>
      <a:endParaRPr lang="sr-Latn-RS"/>
    </a:p>
  </c:txPr>
  <c:externalData r:id="rId4">
    <c:autoUpdate val="0"/>
  </c:externalData>
  <c:userShapes r:id="rId5"/>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960631734295934"/>
          <c:y val="4.2508416483893662E-2"/>
          <c:w val="0.82983786018228267"/>
          <c:h val="0.81374254200939145"/>
        </c:manualLayout>
      </c:layout>
      <c:barChart>
        <c:barDir val="col"/>
        <c:grouping val="clustered"/>
        <c:varyColors val="0"/>
        <c:ser>
          <c:idx val="0"/>
          <c:order val="0"/>
          <c:spPr>
            <a:solidFill>
              <a:schemeClr val="accent1"/>
            </a:solidFill>
            <a:ln w="25400">
              <a:solidFill>
                <a:schemeClr val="accent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'Сценарио 1'!$C$79:$C$93</c:f>
              <c:strCache>
                <c:ptCount val="15"/>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strCache>
            </c:strRef>
          </c:cat>
          <c:val>
            <c:numRef>
              <c:f>'Сценарио 1'!$D$79:$D$93</c:f>
              <c:numCache>
                <c:formatCode>0.0</c:formatCode>
                <c:ptCount val="15"/>
                <c:pt idx="0">
                  <c:v>28.7</c:v>
                </c:pt>
                <c:pt idx="1">
                  <c:v>32.799999999999997</c:v>
                </c:pt>
                <c:pt idx="2">
                  <c:v>41.4</c:v>
                </c:pt>
                <c:pt idx="3">
                  <c:v>44.687403264025434</c:v>
                </c:pt>
                <c:pt idx="4">
                  <c:v>54.584451229535397</c:v>
                </c:pt>
                <c:pt idx="5">
                  <c:v>57.483723765998221</c:v>
                </c:pt>
                <c:pt idx="6">
                  <c:v>67.495119111541086</c:v>
                </c:pt>
                <c:pt idx="7">
                  <c:v>71.199826072534094</c:v>
                </c:pt>
                <c:pt idx="8">
                  <c:v>68.7</c:v>
                </c:pt>
                <c:pt idx="9">
                  <c:v>58.6</c:v>
                </c:pt>
                <c:pt idx="10">
                  <c:v>54.4</c:v>
                </c:pt>
                <c:pt idx="11">
                  <c:v>52.8</c:v>
                </c:pt>
                <c:pt idx="12" formatCode="General">
                  <c:v>57.8</c:v>
                </c:pt>
                <c:pt idx="13" formatCode="General">
                  <c:v>57.1</c:v>
                </c:pt>
                <c:pt idx="14">
                  <c:v>54.6</c:v>
                </c:pt>
              </c:numCache>
            </c:numRef>
          </c:val>
          <c:extLst>
            <c:ext xmlns:c16="http://schemas.microsoft.com/office/drawing/2014/chart" uri="{C3380CC4-5D6E-409C-BE32-E72D297353CC}">
              <c16:uniqueId val="{00000000-6F89-469A-923D-45207114039A}"/>
            </c:ext>
          </c:extLst>
        </c:ser>
        <c:dLbls>
          <c:showLegendKey val="0"/>
          <c:showVal val="0"/>
          <c:showCatName val="0"/>
          <c:showSerName val="0"/>
          <c:showPercent val="0"/>
          <c:showBubbleSize val="0"/>
        </c:dLbls>
        <c:gapWidth val="57"/>
        <c:axId val="582077168"/>
        <c:axId val="582077584"/>
      </c:barChart>
      <c:catAx>
        <c:axId val="582077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sr-Latn-RS"/>
          </a:p>
        </c:txPr>
        <c:crossAx val="582077584"/>
        <c:crosses val="autoZero"/>
        <c:auto val="1"/>
        <c:lblAlgn val="ctr"/>
        <c:lblOffset val="100"/>
        <c:noMultiLvlLbl val="0"/>
      </c:catAx>
      <c:valAx>
        <c:axId val="582077584"/>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sr-Cyrl-RS" sz="800"/>
                  <a:t>% БДП</a:t>
                </a:r>
              </a:p>
            </c:rich>
          </c:tx>
          <c:layout>
            <c:manualLayout>
              <c:xMode val="edge"/>
              <c:yMode val="edge"/>
              <c:x val="3.2322807450127851E-3"/>
              <c:y val="0.40022458062307431"/>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crossAx val="58207716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sr-Latn-R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7162162162162162"/>
          <c:w val="0.91418918918918923"/>
          <c:h val="0.72349849849849845"/>
        </c:manualLayout>
      </c:layout>
      <c:barChart>
        <c:barDir val="col"/>
        <c:grouping val="clustered"/>
        <c:varyColors val="0"/>
        <c:ser>
          <c:idx val="0"/>
          <c:order val="0"/>
          <c:tx>
            <c:strRef>
              <c:f>'Osn. makroekon. agregati'!$B$6</c:f>
              <c:strCache>
                <c:ptCount val="1"/>
                <c:pt idx="0">
                  <c:v>Дефицит текућег рачуна,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D9BB-4947-8261-3A2C6EB314D9}"/>
              </c:ext>
            </c:extLst>
          </c:dPt>
          <c:dPt>
            <c:idx val="1"/>
            <c:invertIfNegative val="0"/>
            <c:bubble3D val="0"/>
            <c:spPr>
              <a:solidFill>
                <a:srgbClr val="ED1C24"/>
              </a:solidFill>
              <a:ln>
                <a:noFill/>
              </a:ln>
              <a:effectLst/>
            </c:spPr>
            <c:extLst>
              <c:ext xmlns:c16="http://schemas.microsoft.com/office/drawing/2014/chart" uri="{C3380CC4-5D6E-409C-BE32-E72D297353CC}">
                <c16:uniqueId val="{00000003-D9BB-4947-8261-3A2C6EB314D9}"/>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9BB-4947-8261-3A2C6EB314D9}"/>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9BB-4947-8261-3A2C6EB314D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agregati'!$C$6,'Osn. makroekon. agregati'!$D$6)</c:f>
              <c:numCache>
                <c:formatCode>0.0</c:formatCode>
                <c:ptCount val="2"/>
                <c:pt idx="0">
                  <c:v>-4.2</c:v>
                </c:pt>
                <c:pt idx="1">
                  <c:v>-6.7</c:v>
                </c:pt>
              </c:numCache>
            </c:numRef>
          </c:val>
          <c:extLst>
            <c:ext xmlns:c16="http://schemas.microsoft.com/office/drawing/2014/chart" uri="{C3380CC4-5D6E-409C-BE32-E72D297353CC}">
              <c16:uniqueId val="{00000004-D9BB-4947-8261-3A2C6EB314D9}"/>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a:t>
                </a:r>
                <a:r>
                  <a:rPr lang="sr-Cyrl-RS" b="1"/>
                  <a:t>2</a:t>
                </a:r>
                <a:endParaRPr lang="en-US" b="1"/>
              </a:p>
            </c:rich>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sr-Latn-R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53440"/>
        <c:crossesAt val="0"/>
        <c:auto val="1"/>
        <c:lblAlgn val="ctr"/>
        <c:lblOffset val="100"/>
        <c:noMultiLvlLbl val="0"/>
      </c:catAx>
      <c:valAx>
        <c:axId val="1768853440"/>
        <c:scaling>
          <c:orientation val="minMax"/>
          <c:max val="0"/>
          <c:min val="-8"/>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sr-Latn-RS"/>
    </a:p>
  </c:txPr>
  <c:externalData r:id="rId4">
    <c:autoUpdate val="0"/>
  </c:externalData>
  <c:userShapes r:id="rId5"/>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21950427967166"/>
          <c:y val="5.0621986652026364E-2"/>
          <c:w val="0.8511653289482034"/>
          <c:h val="0.90664979271278157"/>
        </c:manualLayout>
      </c:layout>
      <c:lineChart>
        <c:grouping val="standard"/>
        <c:varyColors val="0"/>
        <c:ser>
          <c:idx val="0"/>
          <c:order val="0"/>
          <c:tx>
            <c:strRef>
              <c:f>'Quaterly, Yearly'!$CM$5</c:f>
              <c:strCache>
                <c:ptCount val="1"/>
                <c:pt idx="0">
                  <c:v>Примарни резултат који стабилизује учешће дуга у БДП</c:v>
                </c:pt>
              </c:strCache>
            </c:strRef>
          </c:tx>
          <c:spPr>
            <a:ln w="25400" cap="rnd">
              <a:solidFill>
                <a:schemeClr val="accent1"/>
              </a:solidFill>
              <a:round/>
            </a:ln>
            <a:effectLst/>
          </c:spPr>
          <c:marker>
            <c:symbol val="none"/>
          </c:marker>
          <c:cat>
            <c:strRef>
              <c:f>'Quaterly, Yearly'!$DB$7:$DL$8</c:f>
              <c:strCache>
                <c:ptCount val="11"/>
                <c:pt idx="0">
                  <c:v>2015</c:v>
                </c:pt>
                <c:pt idx="1">
                  <c:v>2016</c:v>
                </c:pt>
                <c:pt idx="2">
                  <c:v>2017</c:v>
                </c:pt>
                <c:pt idx="3">
                  <c:v>2018</c:v>
                </c:pt>
                <c:pt idx="4">
                  <c:v>2019</c:v>
                </c:pt>
                <c:pt idx="5">
                  <c:v>2020</c:v>
                </c:pt>
                <c:pt idx="6">
                  <c:v>2021</c:v>
                </c:pt>
                <c:pt idx="7">
                  <c:v>2022</c:v>
                </c:pt>
                <c:pt idx="8">
                  <c:v>2023</c:v>
                </c:pt>
                <c:pt idx="9">
                  <c:v>2024</c:v>
                </c:pt>
                <c:pt idx="10">
                  <c:v>2025</c:v>
                </c:pt>
              </c:strCache>
            </c:strRef>
          </c:cat>
          <c:val>
            <c:numRef>
              <c:f>('Quaterly, Yearly'!$DB$5:$DK$5,'Quaterly, Yearly'!$DL$5)</c:f>
              <c:numCache>
                <c:formatCode>#,##0.00</c:formatCode>
                <c:ptCount val="11"/>
                <c:pt idx="0">
                  <c:v>0.33469487792738534</c:v>
                </c:pt>
                <c:pt idx="1">
                  <c:v>-0.48152612519681304</c:v>
                </c:pt>
                <c:pt idx="2">
                  <c:v>-0.51643690674312936</c:v>
                </c:pt>
                <c:pt idx="3">
                  <c:v>-1.440661646189574</c:v>
                </c:pt>
                <c:pt idx="4">
                  <c:v>-1.563465039272079</c:v>
                </c:pt>
                <c:pt idx="5">
                  <c:v>1.0323662343629321</c:v>
                </c:pt>
                <c:pt idx="6">
                  <c:v>-5.5288863255243372</c:v>
                </c:pt>
                <c:pt idx="7">
                  <c:v>-3.6292692729117069</c:v>
                </c:pt>
                <c:pt idx="8">
                  <c:v>-2.5651278900068473</c:v>
                </c:pt>
                <c:pt idx="9">
                  <c:v>-2.129463634578022</c:v>
                </c:pt>
                <c:pt idx="10">
                  <c:v>-2.223150002086991</c:v>
                </c:pt>
              </c:numCache>
            </c:numRef>
          </c:val>
          <c:smooth val="0"/>
          <c:extLst>
            <c:ext xmlns:c16="http://schemas.microsoft.com/office/drawing/2014/chart" uri="{C3380CC4-5D6E-409C-BE32-E72D297353CC}">
              <c16:uniqueId val="{00000000-7EB6-4524-8116-73234358BF31}"/>
            </c:ext>
          </c:extLst>
        </c:ser>
        <c:ser>
          <c:idx val="1"/>
          <c:order val="1"/>
          <c:tx>
            <c:v>Остварени (пројектовани) примарни фискални резултат</c:v>
          </c:tx>
          <c:spPr>
            <a:ln w="25400" cap="rnd">
              <a:solidFill>
                <a:schemeClr val="accent2"/>
              </a:solidFill>
              <a:prstDash val="sysDash"/>
              <a:round/>
            </a:ln>
            <a:effectLst/>
          </c:spPr>
          <c:marker>
            <c:symbol val="none"/>
          </c:marker>
          <c:cat>
            <c:strRef>
              <c:f>'Quaterly, Yearly'!$DB$7:$DL$8</c:f>
              <c:strCache>
                <c:ptCount val="11"/>
                <c:pt idx="0">
                  <c:v>2015</c:v>
                </c:pt>
                <c:pt idx="1">
                  <c:v>2016</c:v>
                </c:pt>
                <c:pt idx="2">
                  <c:v>2017</c:v>
                </c:pt>
                <c:pt idx="3">
                  <c:v>2018</c:v>
                </c:pt>
                <c:pt idx="4">
                  <c:v>2019</c:v>
                </c:pt>
                <c:pt idx="5">
                  <c:v>2020</c:v>
                </c:pt>
                <c:pt idx="6">
                  <c:v>2021</c:v>
                </c:pt>
                <c:pt idx="7">
                  <c:v>2022</c:v>
                </c:pt>
                <c:pt idx="8">
                  <c:v>2023</c:v>
                </c:pt>
                <c:pt idx="9">
                  <c:v>2024</c:v>
                </c:pt>
                <c:pt idx="10">
                  <c:v>2025</c:v>
                </c:pt>
              </c:strCache>
            </c:strRef>
          </c:cat>
          <c:val>
            <c:numRef>
              <c:f>'Quaterly, Yearly'!$DB$61:$DL$61</c:f>
              <c:numCache>
                <c:formatCode>#,##0.0</c:formatCode>
                <c:ptCount val="11"/>
                <c:pt idx="0">
                  <c:v>-0.47061316203530046</c:v>
                </c:pt>
                <c:pt idx="1">
                  <c:v>1.7045650732845505</c:v>
                </c:pt>
                <c:pt idx="2">
                  <c:v>3.634771068549187</c:v>
                </c:pt>
                <c:pt idx="3">
                  <c:v>2.7475533250713307</c:v>
                </c:pt>
                <c:pt idx="4">
                  <c:v>1.7916206652556272</c:v>
                </c:pt>
                <c:pt idx="5">
                  <c:v>-6.0455708124153222</c:v>
                </c:pt>
                <c:pt idx="6">
                  <c:v>-2.4047435363199292</c:v>
                </c:pt>
                <c:pt idx="7" formatCode="0.00">
                  <c:v>-1.2759274594768921</c:v>
                </c:pt>
                <c:pt idx="8" formatCode="0.00">
                  <c:v>9.7570893866996758E-2</c:v>
                </c:pt>
                <c:pt idx="9" formatCode="0.00">
                  <c:v>0.6181124045809222</c:v>
                </c:pt>
                <c:pt idx="10" formatCode="0.00">
                  <c:v>1.0713343155032191</c:v>
                </c:pt>
              </c:numCache>
            </c:numRef>
          </c:val>
          <c:smooth val="0"/>
          <c:extLst>
            <c:ext xmlns:c16="http://schemas.microsoft.com/office/drawing/2014/chart" uri="{C3380CC4-5D6E-409C-BE32-E72D297353CC}">
              <c16:uniqueId val="{00000001-7EB6-4524-8116-73234358BF31}"/>
            </c:ext>
          </c:extLst>
        </c:ser>
        <c:dLbls>
          <c:showLegendKey val="0"/>
          <c:showVal val="0"/>
          <c:showCatName val="0"/>
          <c:showSerName val="0"/>
          <c:showPercent val="0"/>
          <c:showBubbleSize val="0"/>
        </c:dLbls>
        <c:smooth val="0"/>
        <c:axId val="519226144"/>
        <c:axId val="519226704"/>
      </c:lineChart>
      <c:catAx>
        <c:axId val="51922614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sr-Latn-RS"/>
          </a:p>
        </c:txPr>
        <c:crossAx val="519226704"/>
        <c:crosses val="autoZero"/>
        <c:auto val="1"/>
        <c:lblAlgn val="ctr"/>
        <c:lblOffset val="100"/>
        <c:noMultiLvlLbl val="0"/>
      </c:catAx>
      <c:valAx>
        <c:axId val="519226704"/>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sr-Cyrl-RS" sz="800">
                    <a:latin typeface="+mn-lt"/>
                  </a:rPr>
                  <a:t>% БДП</a:t>
                </a:r>
                <a:endParaRPr lang="en-US" sz="800">
                  <a:latin typeface="+mn-lt"/>
                </a:endParaRPr>
              </a:p>
            </c:rich>
          </c:tx>
          <c:layout>
            <c:manualLayout>
              <c:xMode val="edge"/>
              <c:yMode val="edge"/>
              <c:x val="8.5941536838173849E-3"/>
              <c:y val="0.38828031496062992"/>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crossAx val="519226144"/>
        <c:crosses val="autoZero"/>
        <c:crossBetween val="between"/>
      </c:valAx>
      <c:spPr>
        <a:noFill/>
        <a:ln>
          <a:noFill/>
        </a:ln>
        <a:effectLst/>
      </c:spPr>
    </c:plotArea>
    <c:legend>
      <c:legendPos val="r"/>
      <c:layout>
        <c:manualLayout>
          <c:xMode val="edge"/>
          <c:yMode val="edge"/>
          <c:x val="0.43440888677770906"/>
          <c:y val="4.4762640649801927E-2"/>
          <c:w val="0.5619947748299825"/>
          <c:h val="0.2722461087712873"/>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noFill/>
    <a:ln w="9525" cap="flat" cmpd="sng" algn="ctr">
      <a:noFill/>
      <a:round/>
    </a:ln>
    <a:effectLst/>
  </c:spPr>
  <c:txPr>
    <a:bodyPr/>
    <a:lstStyle/>
    <a:p>
      <a:pPr>
        <a:defRPr/>
      </a:pPr>
      <a:endParaRPr lang="sr-Latn-RS"/>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3127110413107205E-2"/>
          <c:y val="2.9912556166267597E-2"/>
          <c:w val="0.90596905708591458"/>
          <c:h val="0.75838633222079932"/>
        </c:manualLayout>
      </c:layout>
      <c:lineChart>
        <c:grouping val="standard"/>
        <c:varyColors val="0"/>
        <c:ser>
          <c:idx val="3"/>
          <c:order val="0"/>
          <c:tx>
            <c:strRef>
              <c:f>'manje prilg + manji rast'!$B$33</c:f>
              <c:strCache>
                <c:ptCount val="1"/>
                <c:pt idx="0">
                  <c:v>Успорен раст након 2025, фискална експанзија</c:v>
                </c:pt>
              </c:strCache>
            </c:strRef>
          </c:tx>
          <c:spPr>
            <a:ln w="22225" cap="rnd">
              <a:solidFill>
                <a:srgbClr val="FF0000"/>
              </a:solidFill>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0-53D5-4902-8D70-C1A690CF0370}"/>
                </c:ext>
              </c:extLst>
            </c:dLbl>
            <c:dLbl>
              <c:idx val="1"/>
              <c:delete val="1"/>
              <c:extLst>
                <c:ext xmlns:c15="http://schemas.microsoft.com/office/drawing/2012/chart" uri="{CE6537A1-D6FC-4f65-9D91-7224C49458BB}"/>
                <c:ext xmlns:c16="http://schemas.microsoft.com/office/drawing/2014/chart" uri="{C3380CC4-5D6E-409C-BE32-E72D297353CC}">
                  <c16:uniqueId val="{00000001-53D5-4902-8D70-C1A690CF0370}"/>
                </c:ext>
              </c:extLst>
            </c:dLbl>
            <c:dLbl>
              <c:idx val="2"/>
              <c:delete val="1"/>
              <c:extLst>
                <c:ext xmlns:c15="http://schemas.microsoft.com/office/drawing/2012/chart" uri="{CE6537A1-D6FC-4f65-9D91-7224C49458BB}"/>
                <c:ext xmlns:c16="http://schemas.microsoft.com/office/drawing/2014/chart" uri="{C3380CC4-5D6E-409C-BE32-E72D297353CC}">
                  <c16:uniqueId val="{00000002-53D5-4902-8D70-C1A690CF0370}"/>
                </c:ext>
              </c:extLst>
            </c:dLbl>
            <c:dLbl>
              <c:idx val="3"/>
              <c:delete val="1"/>
              <c:extLst>
                <c:ext xmlns:c15="http://schemas.microsoft.com/office/drawing/2012/chart" uri="{CE6537A1-D6FC-4f65-9D91-7224C49458BB}"/>
                <c:ext xmlns:c16="http://schemas.microsoft.com/office/drawing/2014/chart" uri="{C3380CC4-5D6E-409C-BE32-E72D297353CC}">
                  <c16:uniqueId val="{00000003-53D5-4902-8D70-C1A690CF0370}"/>
                </c:ext>
              </c:extLst>
            </c:dLbl>
            <c:dLbl>
              <c:idx val="4"/>
              <c:delete val="1"/>
              <c:extLst>
                <c:ext xmlns:c15="http://schemas.microsoft.com/office/drawing/2012/chart" uri="{CE6537A1-D6FC-4f65-9D91-7224C49458BB}"/>
                <c:ext xmlns:c16="http://schemas.microsoft.com/office/drawing/2014/chart" uri="{C3380CC4-5D6E-409C-BE32-E72D297353CC}">
                  <c16:uniqueId val="{00000004-53D5-4902-8D70-C1A690CF0370}"/>
                </c:ext>
              </c:extLst>
            </c:dLbl>
            <c:dLbl>
              <c:idx val="5"/>
              <c:delete val="1"/>
              <c:extLst>
                <c:ext xmlns:c15="http://schemas.microsoft.com/office/drawing/2012/chart" uri="{CE6537A1-D6FC-4f65-9D91-7224C49458BB}"/>
                <c:ext xmlns:c16="http://schemas.microsoft.com/office/drawing/2014/chart" uri="{C3380CC4-5D6E-409C-BE32-E72D297353CC}">
                  <c16:uniqueId val="{00000005-53D5-4902-8D70-C1A690CF0370}"/>
                </c:ext>
              </c:extLst>
            </c:dLbl>
            <c:dLbl>
              <c:idx val="6"/>
              <c:delete val="1"/>
              <c:extLst>
                <c:ext xmlns:c15="http://schemas.microsoft.com/office/drawing/2012/chart" uri="{CE6537A1-D6FC-4f65-9D91-7224C49458BB}"/>
                <c:ext xmlns:c16="http://schemas.microsoft.com/office/drawing/2014/chart" uri="{C3380CC4-5D6E-409C-BE32-E72D297353CC}">
                  <c16:uniqueId val="{00000006-53D5-4902-8D70-C1A690CF0370}"/>
                </c:ext>
              </c:extLst>
            </c:dLbl>
            <c:dLbl>
              <c:idx val="7"/>
              <c:layout>
                <c:manualLayout>
                  <c:x val="-2.7777777777777776E-2"/>
                  <c:y val="-2.8070175438596533E-2"/>
                </c:manualLayout>
              </c:layout>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3D5-4902-8D70-C1A690CF0370}"/>
                </c:ext>
              </c:extLst>
            </c:dLbl>
            <c:dLbl>
              <c:idx val="8"/>
              <c:layout>
                <c:manualLayout>
                  <c:x val="-1.9170136047587712E-2"/>
                  <c:y val="-3.32071209188460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3D5-4902-8D70-C1A690CF0370}"/>
                </c:ext>
              </c:extLst>
            </c:dLbl>
            <c:dLbl>
              <c:idx val="10"/>
              <c:delete val="1"/>
              <c:extLst>
                <c:ext xmlns:c15="http://schemas.microsoft.com/office/drawing/2012/chart" uri="{CE6537A1-D6FC-4f65-9D91-7224C49458BB}"/>
                <c:ext xmlns:c16="http://schemas.microsoft.com/office/drawing/2014/chart" uri="{C3380CC4-5D6E-409C-BE32-E72D297353CC}">
                  <c16:uniqueId val="{00000009-53D5-4902-8D70-C1A690CF0370}"/>
                </c:ext>
              </c:extLst>
            </c:dLbl>
            <c:dLbl>
              <c:idx val="11"/>
              <c:delete val="1"/>
              <c:extLst>
                <c:ext xmlns:c15="http://schemas.microsoft.com/office/drawing/2012/chart" uri="{CE6537A1-D6FC-4f65-9D91-7224C49458BB}"/>
                <c:ext xmlns:c16="http://schemas.microsoft.com/office/drawing/2014/chart" uri="{C3380CC4-5D6E-409C-BE32-E72D297353CC}">
                  <c16:uniqueId val="{0000000A-53D5-4902-8D70-C1A690CF0370}"/>
                </c:ext>
              </c:extLst>
            </c:dLbl>
            <c:dLbl>
              <c:idx val="12"/>
              <c:delete val="1"/>
              <c:extLst>
                <c:ext xmlns:c15="http://schemas.microsoft.com/office/drawing/2012/chart" uri="{CE6537A1-D6FC-4f65-9D91-7224C49458BB}"/>
                <c:ext xmlns:c16="http://schemas.microsoft.com/office/drawing/2014/chart" uri="{C3380CC4-5D6E-409C-BE32-E72D297353CC}">
                  <c16:uniqueId val="{0000000B-53D5-4902-8D70-C1A690CF0370}"/>
                </c:ext>
              </c:extLst>
            </c:dLbl>
            <c:dLbl>
              <c:idx val="13"/>
              <c:layout>
                <c:manualLayout>
                  <c:x val="-7.4257428637148227E-3"/>
                  <c:y val="-5.741624631117623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3D5-4902-8D70-C1A690CF0370}"/>
                </c:ext>
              </c:extLst>
            </c:dLbl>
            <c:dLbl>
              <c:idx val="14"/>
              <c:layout>
                <c:manualLayout>
                  <c:x val="-1.6042785477262247E-2"/>
                  <c:y val="-3.60992701504515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3D5-4902-8D70-C1A690CF0370}"/>
                </c:ext>
              </c:extLst>
            </c:dLbl>
            <c:dLbl>
              <c:idx val="15"/>
              <c:delete val="1"/>
              <c:extLst>
                <c:ext xmlns:c15="http://schemas.microsoft.com/office/drawing/2012/chart" uri="{CE6537A1-D6FC-4f65-9D91-7224C49458BB}"/>
                <c:ext xmlns:c16="http://schemas.microsoft.com/office/drawing/2014/chart" uri="{C3380CC4-5D6E-409C-BE32-E72D297353CC}">
                  <c16:uniqueId val="{0000000E-53D5-4902-8D70-C1A690CF0370}"/>
                </c:ext>
              </c:extLst>
            </c:dLbl>
            <c:dLbl>
              <c:idx val="16"/>
              <c:delete val="1"/>
              <c:extLst>
                <c:ext xmlns:c15="http://schemas.microsoft.com/office/drawing/2012/chart" uri="{CE6537A1-D6FC-4f65-9D91-7224C49458BB}"/>
                <c:ext xmlns:c16="http://schemas.microsoft.com/office/drawing/2014/chart" uri="{C3380CC4-5D6E-409C-BE32-E72D297353CC}">
                  <c16:uniqueId val="{0000000F-53D5-4902-8D70-C1A690CF0370}"/>
                </c:ext>
              </c:extLst>
            </c:dLbl>
            <c:dLbl>
              <c:idx val="17"/>
              <c:layout>
                <c:manualLayout>
                  <c:x val="-2.4170619721703136E-2"/>
                  <c:y val="-3.91075426629891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3D5-4902-8D70-C1A690CF0370}"/>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'Сценарио 1'!$C$33:$K$33</c:f>
              <c:numCache>
                <c:formatCode>General</c:formatCode>
                <c:ptCount val="9"/>
                <c:pt idx="0">
                  <c:v>2021</c:v>
                </c:pt>
                <c:pt idx="1">
                  <c:v>2022</c:v>
                </c:pt>
                <c:pt idx="2">
                  <c:v>2023</c:v>
                </c:pt>
                <c:pt idx="3">
                  <c:v>2024</c:v>
                </c:pt>
                <c:pt idx="4">
                  <c:v>2025</c:v>
                </c:pt>
                <c:pt idx="5">
                  <c:v>2026</c:v>
                </c:pt>
                <c:pt idx="6">
                  <c:v>2027</c:v>
                </c:pt>
                <c:pt idx="7">
                  <c:v>2028</c:v>
                </c:pt>
                <c:pt idx="8">
                  <c:v>2029</c:v>
                </c:pt>
              </c:numCache>
            </c:numRef>
          </c:cat>
          <c:val>
            <c:numRef>
              <c:f>'manje prilg + manji rast'!$C$39:$J$39</c:f>
              <c:numCache>
                <c:formatCode>#,##0.0</c:formatCode>
                <c:ptCount val="8"/>
                <c:pt idx="0">
                  <c:v>57.1</c:v>
                </c:pt>
                <c:pt idx="1">
                  <c:v>54.6</c:v>
                </c:pt>
                <c:pt idx="2">
                  <c:v>53.1</c:v>
                </c:pt>
                <c:pt idx="3">
                  <c:v>52</c:v>
                </c:pt>
                <c:pt idx="4">
                  <c:v>50.7</c:v>
                </c:pt>
                <c:pt idx="5">
                  <c:v>51.568874928612225</c:v>
                </c:pt>
                <c:pt idx="6">
                  <c:v>53.403952732301171</c:v>
                </c:pt>
                <c:pt idx="7">
                  <c:v>55.327099316489274</c:v>
                </c:pt>
              </c:numCache>
            </c:numRef>
          </c:val>
          <c:smooth val="1"/>
          <c:extLst>
            <c:ext xmlns:c16="http://schemas.microsoft.com/office/drawing/2014/chart" uri="{C3380CC4-5D6E-409C-BE32-E72D297353CC}">
              <c16:uniqueId val="{00000011-53D5-4902-8D70-C1A690CF0370}"/>
            </c:ext>
          </c:extLst>
        </c:ser>
        <c:ser>
          <c:idx val="2"/>
          <c:order val="1"/>
          <c:tx>
            <c:strRef>
              <c:f>'manji rast'!$B$33</c:f>
              <c:strCache>
                <c:ptCount val="1"/>
                <c:pt idx="0">
                  <c:v>Успорен раст након 2025</c:v>
                </c:pt>
              </c:strCache>
            </c:strRef>
          </c:tx>
          <c:spPr>
            <a:ln w="22225" cap="rnd">
              <a:solidFill>
                <a:schemeClr val="accent3"/>
              </a:solidFill>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12-53D5-4902-8D70-C1A690CF0370}"/>
                </c:ext>
              </c:extLst>
            </c:dLbl>
            <c:dLbl>
              <c:idx val="1"/>
              <c:delete val="1"/>
              <c:extLst>
                <c:ext xmlns:c15="http://schemas.microsoft.com/office/drawing/2012/chart" uri="{CE6537A1-D6FC-4f65-9D91-7224C49458BB}"/>
                <c:ext xmlns:c16="http://schemas.microsoft.com/office/drawing/2014/chart" uri="{C3380CC4-5D6E-409C-BE32-E72D297353CC}">
                  <c16:uniqueId val="{00000013-53D5-4902-8D70-C1A690CF0370}"/>
                </c:ext>
              </c:extLst>
            </c:dLbl>
            <c:dLbl>
              <c:idx val="2"/>
              <c:delete val="1"/>
              <c:extLst>
                <c:ext xmlns:c15="http://schemas.microsoft.com/office/drawing/2012/chart" uri="{CE6537A1-D6FC-4f65-9D91-7224C49458BB}"/>
                <c:ext xmlns:c16="http://schemas.microsoft.com/office/drawing/2014/chart" uri="{C3380CC4-5D6E-409C-BE32-E72D297353CC}">
                  <c16:uniqueId val="{00000014-53D5-4902-8D70-C1A690CF0370}"/>
                </c:ext>
              </c:extLst>
            </c:dLbl>
            <c:dLbl>
              <c:idx val="3"/>
              <c:delete val="1"/>
              <c:extLst>
                <c:ext xmlns:c15="http://schemas.microsoft.com/office/drawing/2012/chart" uri="{CE6537A1-D6FC-4f65-9D91-7224C49458BB}"/>
                <c:ext xmlns:c16="http://schemas.microsoft.com/office/drawing/2014/chart" uri="{C3380CC4-5D6E-409C-BE32-E72D297353CC}">
                  <c16:uniqueId val="{00000015-53D5-4902-8D70-C1A690CF0370}"/>
                </c:ext>
              </c:extLst>
            </c:dLbl>
            <c:dLbl>
              <c:idx val="4"/>
              <c:delete val="1"/>
              <c:extLst>
                <c:ext xmlns:c15="http://schemas.microsoft.com/office/drawing/2012/chart" uri="{CE6537A1-D6FC-4f65-9D91-7224C49458BB}"/>
                <c:ext xmlns:c16="http://schemas.microsoft.com/office/drawing/2014/chart" uri="{C3380CC4-5D6E-409C-BE32-E72D297353CC}">
                  <c16:uniqueId val="{00000016-53D5-4902-8D70-C1A690CF0370}"/>
                </c:ext>
              </c:extLst>
            </c:dLbl>
            <c:dLbl>
              <c:idx val="5"/>
              <c:delete val="1"/>
              <c:extLst>
                <c:ext xmlns:c15="http://schemas.microsoft.com/office/drawing/2012/chart" uri="{CE6537A1-D6FC-4f65-9D91-7224C49458BB}"/>
                <c:ext xmlns:c16="http://schemas.microsoft.com/office/drawing/2014/chart" uri="{C3380CC4-5D6E-409C-BE32-E72D297353CC}">
                  <c16:uniqueId val="{00000017-53D5-4902-8D70-C1A690CF0370}"/>
                </c:ext>
              </c:extLst>
            </c:dLbl>
            <c:dLbl>
              <c:idx val="6"/>
              <c:delete val="1"/>
              <c:extLst>
                <c:ext xmlns:c15="http://schemas.microsoft.com/office/drawing/2012/chart" uri="{CE6537A1-D6FC-4f65-9D91-7224C49458BB}"/>
                <c:ext xmlns:c16="http://schemas.microsoft.com/office/drawing/2014/chart" uri="{C3380CC4-5D6E-409C-BE32-E72D297353CC}">
                  <c16:uniqueId val="{00000018-53D5-4902-8D70-C1A690CF0370}"/>
                </c:ext>
              </c:extLst>
            </c:dLbl>
            <c:dLbl>
              <c:idx val="8"/>
              <c:layout>
                <c:manualLayout>
                  <c:x val="-6.3900453491960085E-3"/>
                  <c:y val="-5.5344562186304932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53D5-4902-8D70-C1A690CF0370}"/>
                </c:ext>
              </c:extLst>
            </c:dLbl>
            <c:dLbl>
              <c:idx val="9"/>
              <c:layout>
                <c:manualLayout>
                  <c:x val="-4.6379919466930384E-3"/>
                  <c:y val="2.7169462569964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53D5-4902-8D70-C1A690CF0370}"/>
                </c:ext>
              </c:extLst>
            </c:dLbl>
            <c:dLbl>
              <c:idx val="10"/>
              <c:delete val="1"/>
              <c:extLst>
                <c:ext xmlns:c15="http://schemas.microsoft.com/office/drawing/2012/chart" uri="{CE6537A1-D6FC-4f65-9D91-7224C49458BB}"/>
                <c:ext xmlns:c16="http://schemas.microsoft.com/office/drawing/2014/chart" uri="{C3380CC4-5D6E-409C-BE32-E72D297353CC}">
                  <c16:uniqueId val="{0000001C-53D5-4902-8D70-C1A690CF0370}"/>
                </c:ext>
              </c:extLst>
            </c:dLbl>
            <c:dLbl>
              <c:idx val="11"/>
              <c:delete val="1"/>
              <c:extLst>
                <c:ext xmlns:c15="http://schemas.microsoft.com/office/drawing/2012/chart" uri="{CE6537A1-D6FC-4f65-9D91-7224C49458BB}"/>
                <c:ext xmlns:c16="http://schemas.microsoft.com/office/drawing/2014/chart" uri="{C3380CC4-5D6E-409C-BE32-E72D297353CC}">
                  <c16:uniqueId val="{0000001D-53D5-4902-8D70-C1A690CF0370}"/>
                </c:ext>
              </c:extLst>
            </c:dLbl>
            <c:dLbl>
              <c:idx val="12"/>
              <c:delete val="1"/>
              <c:extLst>
                <c:ext xmlns:c15="http://schemas.microsoft.com/office/drawing/2012/chart" uri="{CE6537A1-D6FC-4f65-9D91-7224C49458BB}"/>
                <c:ext xmlns:c16="http://schemas.microsoft.com/office/drawing/2014/chart" uri="{C3380CC4-5D6E-409C-BE32-E72D297353CC}">
                  <c16:uniqueId val="{0000001E-53D5-4902-8D70-C1A690CF0370}"/>
                </c:ext>
              </c:extLst>
            </c:dLbl>
            <c:dLbl>
              <c:idx val="13"/>
              <c:layout>
                <c:manualLayout>
                  <c:x val="-7.4257428637148227E-3"/>
                  <c:y val="-8.612436946676356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53D5-4902-8D70-C1A690CF0370}"/>
                </c:ext>
              </c:extLst>
            </c:dLbl>
            <c:dLbl>
              <c:idx val="14"/>
              <c:layout>
                <c:manualLayout>
                  <c:x val="-1.7647064024988345E-2"/>
                  <c:y val="-4.81323602006020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53D5-4902-8D70-C1A690CF0370}"/>
                </c:ext>
              </c:extLst>
            </c:dLbl>
            <c:dLbl>
              <c:idx val="15"/>
              <c:delete val="1"/>
              <c:extLst>
                <c:ext xmlns:c15="http://schemas.microsoft.com/office/drawing/2012/chart" uri="{CE6537A1-D6FC-4f65-9D91-7224C49458BB}"/>
                <c:ext xmlns:c16="http://schemas.microsoft.com/office/drawing/2014/chart" uri="{C3380CC4-5D6E-409C-BE32-E72D297353CC}">
                  <c16:uniqueId val="{00000021-53D5-4902-8D70-C1A690CF0370}"/>
                </c:ext>
              </c:extLst>
            </c:dLbl>
            <c:dLbl>
              <c:idx val="16"/>
              <c:delete val="1"/>
              <c:extLst>
                <c:ext xmlns:c15="http://schemas.microsoft.com/office/drawing/2012/chart" uri="{CE6537A1-D6FC-4f65-9D91-7224C49458BB}"/>
                <c:ext xmlns:c16="http://schemas.microsoft.com/office/drawing/2014/chart" uri="{C3380CC4-5D6E-409C-BE32-E72D297353CC}">
                  <c16:uniqueId val="{00000022-53D5-4902-8D70-C1A690CF0370}"/>
                </c:ext>
              </c:extLst>
            </c:dLbl>
            <c:dLbl>
              <c:idx val="17"/>
              <c:layout>
                <c:manualLayout>
                  <c:x val="-2.2748818561602949E-2"/>
                  <c:y val="-4.21158151755267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53D5-4902-8D70-C1A690CF0370}"/>
                </c:ext>
              </c:extLst>
            </c:dLbl>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'Сценарио 1'!$C$33:$K$33</c:f>
              <c:numCache>
                <c:formatCode>General</c:formatCode>
                <c:ptCount val="9"/>
                <c:pt idx="0">
                  <c:v>2021</c:v>
                </c:pt>
                <c:pt idx="1">
                  <c:v>2022</c:v>
                </c:pt>
                <c:pt idx="2">
                  <c:v>2023</c:v>
                </c:pt>
                <c:pt idx="3">
                  <c:v>2024</c:v>
                </c:pt>
                <c:pt idx="4">
                  <c:v>2025</c:v>
                </c:pt>
                <c:pt idx="5">
                  <c:v>2026</c:v>
                </c:pt>
                <c:pt idx="6">
                  <c:v>2027</c:v>
                </c:pt>
                <c:pt idx="7">
                  <c:v>2028</c:v>
                </c:pt>
                <c:pt idx="8">
                  <c:v>2029</c:v>
                </c:pt>
              </c:numCache>
            </c:numRef>
          </c:cat>
          <c:val>
            <c:numRef>
              <c:f>'manji rast'!$C$39:$J$39</c:f>
              <c:numCache>
                <c:formatCode>#,##0.0</c:formatCode>
                <c:ptCount val="8"/>
                <c:pt idx="0">
                  <c:v>57.1</c:v>
                </c:pt>
                <c:pt idx="1">
                  <c:v>54.6</c:v>
                </c:pt>
                <c:pt idx="2">
                  <c:v>53.1</c:v>
                </c:pt>
                <c:pt idx="3">
                  <c:v>52</c:v>
                </c:pt>
                <c:pt idx="4">
                  <c:v>50.7</c:v>
                </c:pt>
                <c:pt idx="5">
                  <c:v>49.406727584237579</c:v>
                </c:pt>
                <c:pt idx="6">
                  <c:v>48.631071809064437</c:v>
                </c:pt>
                <c:pt idx="7">
                  <c:v>47.992999989571672</c:v>
                </c:pt>
              </c:numCache>
            </c:numRef>
          </c:val>
          <c:smooth val="1"/>
          <c:extLst>
            <c:ext xmlns:c16="http://schemas.microsoft.com/office/drawing/2014/chart" uri="{C3380CC4-5D6E-409C-BE32-E72D297353CC}">
              <c16:uniqueId val="{00000024-53D5-4902-8D70-C1A690CF0370}"/>
            </c:ext>
          </c:extLst>
        </c:ser>
        <c:ser>
          <c:idx val="4"/>
          <c:order val="2"/>
          <c:tx>
            <c:strRef>
              <c:f>'manje prilagodjavanje'!$B$33</c:f>
              <c:strCache>
                <c:ptCount val="1"/>
                <c:pt idx="0">
                  <c:v>Фискална експанзија након 2025</c:v>
                </c:pt>
              </c:strCache>
            </c:strRef>
          </c:tx>
          <c:spPr>
            <a:ln w="22225" cap="rnd">
              <a:solidFill>
                <a:srgbClr val="FFC000"/>
              </a:solidFill>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25-53D5-4902-8D70-C1A690CF0370}"/>
                </c:ext>
              </c:extLst>
            </c:dLbl>
            <c:dLbl>
              <c:idx val="1"/>
              <c:delete val="1"/>
              <c:extLst>
                <c:ext xmlns:c15="http://schemas.microsoft.com/office/drawing/2012/chart" uri="{CE6537A1-D6FC-4f65-9D91-7224C49458BB}"/>
                <c:ext xmlns:c16="http://schemas.microsoft.com/office/drawing/2014/chart" uri="{C3380CC4-5D6E-409C-BE32-E72D297353CC}">
                  <c16:uniqueId val="{00000026-53D5-4902-8D70-C1A690CF0370}"/>
                </c:ext>
              </c:extLst>
            </c:dLbl>
            <c:dLbl>
              <c:idx val="2"/>
              <c:delete val="1"/>
              <c:extLst>
                <c:ext xmlns:c15="http://schemas.microsoft.com/office/drawing/2012/chart" uri="{CE6537A1-D6FC-4f65-9D91-7224C49458BB}"/>
                <c:ext xmlns:c16="http://schemas.microsoft.com/office/drawing/2014/chart" uri="{C3380CC4-5D6E-409C-BE32-E72D297353CC}">
                  <c16:uniqueId val="{00000027-53D5-4902-8D70-C1A690CF0370}"/>
                </c:ext>
              </c:extLst>
            </c:dLbl>
            <c:dLbl>
              <c:idx val="3"/>
              <c:delete val="1"/>
              <c:extLst>
                <c:ext xmlns:c15="http://schemas.microsoft.com/office/drawing/2012/chart" uri="{CE6537A1-D6FC-4f65-9D91-7224C49458BB}"/>
                <c:ext xmlns:c16="http://schemas.microsoft.com/office/drawing/2014/chart" uri="{C3380CC4-5D6E-409C-BE32-E72D297353CC}">
                  <c16:uniqueId val="{00000028-53D5-4902-8D70-C1A690CF0370}"/>
                </c:ext>
              </c:extLst>
            </c:dLbl>
            <c:dLbl>
              <c:idx val="4"/>
              <c:delete val="1"/>
              <c:extLst>
                <c:ext xmlns:c15="http://schemas.microsoft.com/office/drawing/2012/chart" uri="{CE6537A1-D6FC-4f65-9D91-7224C49458BB}"/>
                <c:ext xmlns:c16="http://schemas.microsoft.com/office/drawing/2014/chart" uri="{C3380CC4-5D6E-409C-BE32-E72D297353CC}">
                  <c16:uniqueId val="{00000029-53D5-4902-8D70-C1A690CF0370}"/>
                </c:ext>
              </c:extLst>
            </c:dLbl>
            <c:dLbl>
              <c:idx val="5"/>
              <c:delete val="1"/>
              <c:extLst>
                <c:ext xmlns:c15="http://schemas.microsoft.com/office/drawing/2012/chart" uri="{CE6537A1-D6FC-4f65-9D91-7224C49458BB}"/>
                <c:ext xmlns:c16="http://schemas.microsoft.com/office/drawing/2014/chart" uri="{C3380CC4-5D6E-409C-BE32-E72D297353CC}">
                  <c16:uniqueId val="{0000002A-53D5-4902-8D70-C1A690CF0370}"/>
                </c:ext>
              </c:extLst>
            </c:dLbl>
            <c:dLbl>
              <c:idx val="6"/>
              <c:delete val="1"/>
              <c:extLst>
                <c:ext xmlns:c15="http://schemas.microsoft.com/office/drawing/2012/chart" uri="{CE6537A1-D6FC-4f65-9D91-7224C49458BB}"/>
                <c:ext xmlns:c16="http://schemas.microsoft.com/office/drawing/2014/chart" uri="{C3380CC4-5D6E-409C-BE32-E72D297353CC}">
                  <c16:uniqueId val="{0000002B-53D5-4902-8D70-C1A690CF0370}"/>
                </c:ext>
              </c:extLst>
            </c:dLbl>
            <c:dLbl>
              <c:idx val="7"/>
              <c:layout>
                <c:manualLayout>
                  <c:x val="0"/>
                  <c:y val="-2.339181286549712E-2"/>
                </c:manualLayout>
              </c:layout>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53D5-4902-8D70-C1A690CF0370}"/>
                </c:ext>
              </c:extLst>
            </c:dLbl>
            <c:dLbl>
              <c:idx val="8"/>
              <c:layout>
                <c:manualLayout>
                  <c:x val="-6.3900453491960085E-3"/>
                  <c:y val="-6.037658348881123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53D5-4902-8D70-C1A690CF0370}"/>
                </c:ext>
              </c:extLst>
            </c:dLbl>
            <c:dLbl>
              <c:idx val="9"/>
              <c:layout>
                <c:manualLayout>
                  <c:x val="-9.0700068881669951E-3"/>
                  <c:y val="-3.32071209188460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53D5-4902-8D70-C1A690CF0370}"/>
                </c:ext>
              </c:extLst>
            </c:dLbl>
            <c:dLbl>
              <c:idx val="10"/>
              <c:delete val="1"/>
              <c:extLst>
                <c:ext xmlns:c15="http://schemas.microsoft.com/office/drawing/2012/chart" uri="{CE6537A1-D6FC-4f65-9D91-7224C49458BB}"/>
                <c:ext xmlns:c16="http://schemas.microsoft.com/office/drawing/2014/chart" uri="{C3380CC4-5D6E-409C-BE32-E72D297353CC}">
                  <c16:uniqueId val="{0000002F-53D5-4902-8D70-C1A690CF0370}"/>
                </c:ext>
              </c:extLst>
            </c:dLbl>
            <c:dLbl>
              <c:idx val="11"/>
              <c:delete val="1"/>
              <c:extLst>
                <c:ext xmlns:c15="http://schemas.microsoft.com/office/drawing/2012/chart" uri="{CE6537A1-D6FC-4f65-9D91-7224C49458BB}"/>
                <c:ext xmlns:c16="http://schemas.microsoft.com/office/drawing/2014/chart" uri="{C3380CC4-5D6E-409C-BE32-E72D297353CC}">
                  <c16:uniqueId val="{00000030-53D5-4902-8D70-C1A690CF0370}"/>
                </c:ext>
              </c:extLst>
            </c:dLbl>
            <c:dLbl>
              <c:idx val="12"/>
              <c:delete val="1"/>
              <c:extLst>
                <c:ext xmlns:c15="http://schemas.microsoft.com/office/drawing/2012/chart" uri="{CE6537A1-D6FC-4f65-9D91-7224C49458BB}"/>
                <c:ext xmlns:c16="http://schemas.microsoft.com/office/drawing/2014/chart" uri="{C3380CC4-5D6E-409C-BE32-E72D297353CC}">
                  <c16:uniqueId val="{00000031-53D5-4902-8D70-C1A690CF0370}"/>
                </c:ext>
              </c:extLst>
            </c:dLbl>
            <c:dLbl>
              <c:idx val="13"/>
              <c:layout>
                <c:manualLayout>
                  <c:x val="-8.9108914364579191E-3"/>
                  <c:y val="-1.43540615777940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53D5-4902-8D70-C1A690CF0370}"/>
                </c:ext>
              </c:extLst>
            </c:dLbl>
            <c:dLbl>
              <c:idx val="14"/>
              <c:layout>
                <c:manualLayout>
                  <c:x val="-1.6042785477262012E-2"/>
                  <c:y val="-4.21158151755268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53D5-4902-8D70-C1A690CF0370}"/>
                </c:ext>
              </c:extLst>
            </c:dLbl>
            <c:dLbl>
              <c:idx val="15"/>
              <c:delete val="1"/>
              <c:extLst>
                <c:ext xmlns:c15="http://schemas.microsoft.com/office/drawing/2012/chart" uri="{CE6537A1-D6FC-4f65-9D91-7224C49458BB}"/>
                <c:ext xmlns:c16="http://schemas.microsoft.com/office/drawing/2014/chart" uri="{C3380CC4-5D6E-409C-BE32-E72D297353CC}">
                  <c16:uniqueId val="{00000034-53D5-4902-8D70-C1A690CF0370}"/>
                </c:ext>
              </c:extLst>
            </c:dLbl>
            <c:dLbl>
              <c:idx val="16"/>
              <c:delete val="1"/>
              <c:extLst>
                <c:ext xmlns:c15="http://schemas.microsoft.com/office/drawing/2012/chart" uri="{CE6537A1-D6FC-4f65-9D91-7224C49458BB}"/>
                <c:ext xmlns:c16="http://schemas.microsoft.com/office/drawing/2014/chart" uri="{C3380CC4-5D6E-409C-BE32-E72D297353CC}">
                  <c16:uniqueId val="{00000035-53D5-4902-8D70-C1A690CF0370}"/>
                </c:ext>
              </c:extLst>
            </c:dLbl>
            <c:dLbl>
              <c:idx val="17"/>
              <c:layout>
                <c:manualLayout>
                  <c:x val="-2.4170619721703136E-2"/>
                  <c:y val="4.21158151755267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53D5-4902-8D70-C1A690CF0370}"/>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'Сценарио 1'!$C$33:$K$33</c:f>
              <c:numCache>
                <c:formatCode>General</c:formatCode>
                <c:ptCount val="9"/>
                <c:pt idx="0">
                  <c:v>2021</c:v>
                </c:pt>
                <c:pt idx="1">
                  <c:v>2022</c:v>
                </c:pt>
                <c:pt idx="2">
                  <c:v>2023</c:v>
                </c:pt>
                <c:pt idx="3">
                  <c:v>2024</c:v>
                </c:pt>
                <c:pt idx="4">
                  <c:v>2025</c:v>
                </c:pt>
                <c:pt idx="5">
                  <c:v>2026</c:v>
                </c:pt>
                <c:pt idx="6">
                  <c:v>2027</c:v>
                </c:pt>
                <c:pt idx="7">
                  <c:v>2028</c:v>
                </c:pt>
                <c:pt idx="8">
                  <c:v>2029</c:v>
                </c:pt>
              </c:numCache>
            </c:numRef>
          </c:cat>
          <c:val>
            <c:numRef>
              <c:f>'manje prilagodjavanje'!$C$39:$J$39</c:f>
              <c:numCache>
                <c:formatCode>#,##0.0</c:formatCode>
                <c:ptCount val="8"/>
                <c:pt idx="0">
                  <c:v>57.1</c:v>
                </c:pt>
                <c:pt idx="1">
                  <c:v>54.6</c:v>
                </c:pt>
                <c:pt idx="2">
                  <c:v>53.1</c:v>
                </c:pt>
                <c:pt idx="3">
                  <c:v>52</c:v>
                </c:pt>
                <c:pt idx="4">
                  <c:v>50.7</c:v>
                </c:pt>
                <c:pt idx="5">
                  <c:v>50.466213592233004</c:v>
                </c:pt>
                <c:pt idx="6">
                  <c:v>50.745033143122299</c:v>
                </c:pt>
                <c:pt idx="7">
                  <c:v>51.008818510610389</c:v>
                </c:pt>
              </c:numCache>
            </c:numRef>
          </c:val>
          <c:smooth val="1"/>
          <c:extLst>
            <c:ext xmlns:c16="http://schemas.microsoft.com/office/drawing/2014/chart" uri="{C3380CC4-5D6E-409C-BE32-E72D297353CC}">
              <c16:uniqueId val="{00000037-53D5-4902-8D70-C1A690CF0370}"/>
            </c:ext>
          </c:extLst>
        </c:ser>
        <c:ser>
          <c:idx val="0"/>
          <c:order val="3"/>
          <c:tx>
            <c:strRef>
              <c:f>'Сценарио 1'!$B$33</c:f>
              <c:strCache>
                <c:ptCount val="1"/>
                <c:pt idx="0">
                  <c:v>Основни сценарио</c:v>
                </c:pt>
              </c:strCache>
            </c:strRef>
          </c:tx>
          <c:spPr>
            <a:ln w="28575" cap="rnd">
              <a:solidFill>
                <a:schemeClr val="accent1"/>
              </a:solidFill>
              <a:round/>
            </a:ln>
            <a:effectLst/>
          </c:spPr>
          <c:marker>
            <c:symbol val="none"/>
          </c:marker>
          <c:dLbls>
            <c:dLbl>
              <c:idx val="0"/>
              <c:layout>
                <c:manualLayout>
                  <c:x val="-4.0927384076990397E-2"/>
                  <c:y val="6.38746985895055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53D5-4902-8D70-C1A690CF0370}"/>
                </c:ext>
              </c:extLst>
            </c:dLbl>
            <c:dLbl>
              <c:idx val="1"/>
              <c:layout>
                <c:manualLayout>
                  <c:x val="-7.6599227179935836E-2"/>
                  <c:y val="7.054605979130657E-2"/>
                </c:manualLayout>
              </c:layout>
              <c:showLegendKey val="0"/>
              <c:showVal val="1"/>
              <c:showCatName val="0"/>
              <c:showSerName val="0"/>
              <c:showPercent val="0"/>
              <c:showBubbleSize val="0"/>
              <c:extLst>
                <c:ext xmlns:c15="http://schemas.microsoft.com/office/drawing/2012/chart" uri="{CE6537A1-D6FC-4f65-9D91-7224C49458BB}">
                  <c15:layout>
                    <c:manualLayout>
                      <c:w val="0.10688575386410032"/>
                      <c:h val="7.4738706442182529E-2"/>
                    </c:manualLayout>
                  </c15:layout>
                </c:ext>
                <c:ext xmlns:c16="http://schemas.microsoft.com/office/drawing/2014/chart" uri="{C3380CC4-5D6E-409C-BE32-E72D297353CC}">
                  <c16:uniqueId val="{00000039-53D5-4902-8D70-C1A690CF0370}"/>
                </c:ext>
              </c:extLst>
            </c:dLbl>
            <c:dLbl>
              <c:idx val="2"/>
              <c:layout>
                <c:manualLayout>
                  <c:x val="-1.5837267033541045E-3"/>
                  <c:y val="4.79973432453149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53D5-4902-8D70-C1A690CF0370}"/>
                </c:ext>
              </c:extLst>
            </c:dLbl>
            <c:dLbl>
              <c:idx val="3"/>
              <c:layout>
                <c:manualLayout>
                  <c:x val="-1.1708710893877721E-2"/>
                  <c:y val="8.4066530670641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53D5-4902-8D70-C1A690CF0370}"/>
                </c:ext>
              </c:extLst>
            </c:dLbl>
            <c:dLbl>
              <c:idx val="4"/>
              <c:layout>
                <c:manualLayout>
                  <c:x val="-2.1608647542540962E-2"/>
                  <c:y val="6.01654502507525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53D5-4902-8D70-C1A690CF0370}"/>
                </c:ext>
              </c:extLst>
            </c:dLbl>
            <c:dLbl>
              <c:idx val="5"/>
              <c:delete val="1"/>
              <c:extLst>
                <c:ext xmlns:c15="http://schemas.microsoft.com/office/drawing/2012/chart" uri="{CE6537A1-D6FC-4f65-9D91-7224C49458BB}"/>
                <c:ext xmlns:c16="http://schemas.microsoft.com/office/drawing/2014/chart" uri="{C3380CC4-5D6E-409C-BE32-E72D297353CC}">
                  <c16:uniqueId val="{0000003D-53D5-4902-8D70-C1A690CF0370}"/>
                </c:ext>
              </c:extLst>
            </c:dLbl>
            <c:dLbl>
              <c:idx val="6"/>
              <c:delete val="1"/>
              <c:extLst>
                <c:ext xmlns:c15="http://schemas.microsoft.com/office/drawing/2012/chart" uri="{CE6537A1-D6FC-4f65-9D91-7224C49458BB}"/>
                <c:ext xmlns:c16="http://schemas.microsoft.com/office/drawing/2014/chart" uri="{C3380CC4-5D6E-409C-BE32-E72D297353CC}">
                  <c16:uniqueId val="{0000003E-53D5-4902-8D70-C1A690CF0370}"/>
                </c:ext>
              </c:extLst>
            </c:dLbl>
            <c:dLbl>
              <c:idx val="8"/>
              <c:layout>
                <c:manualLayout>
                  <c:x val="-1.2780090698391705E-2"/>
                  <c:y val="2.4150633395524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53D5-4902-8D70-C1A690CF0370}"/>
                </c:ext>
              </c:extLst>
            </c:dLbl>
            <c:dLbl>
              <c:idx val="10"/>
              <c:delete val="1"/>
              <c:extLst>
                <c:ext xmlns:c15="http://schemas.microsoft.com/office/drawing/2012/chart" uri="{CE6537A1-D6FC-4f65-9D91-7224C49458BB}"/>
                <c:ext xmlns:c16="http://schemas.microsoft.com/office/drawing/2014/chart" uri="{C3380CC4-5D6E-409C-BE32-E72D297353CC}">
                  <c16:uniqueId val="{00000041-53D5-4902-8D70-C1A690CF0370}"/>
                </c:ext>
              </c:extLst>
            </c:dLbl>
            <c:dLbl>
              <c:idx val="11"/>
              <c:delete val="1"/>
              <c:extLst>
                <c:ext xmlns:c15="http://schemas.microsoft.com/office/drawing/2012/chart" uri="{CE6537A1-D6FC-4f65-9D91-7224C49458BB}"/>
                <c:ext xmlns:c16="http://schemas.microsoft.com/office/drawing/2014/chart" uri="{C3380CC4-5D6E-409C-BE32-E72D297353CC}">
                  <c16:uniqueId val="{00000042-53D5-4902-8D70-C1A690CF0370}"/>
                </c:ext>
              </c:extLst>
            </c:dLbl>
            <c:dLbl>
              <c:idx val="12"/>
              <c:delete val="1"/>
              <c:extLst>
                <c:ext xmlns:c15="http://schemas.microsoft.com/office/drawing/2012/chart" uri="{CE6537A1-D6FC-4f65-9D91-7224C49458BB}"/>
                <c:ext xmlns:c16="http://schemas.microsoft.com/office/drawing/2014/chart" uri="{C3380CC4-5D6E-409C-BE32-E72D297353CC}">
                  <c16:uniqueId val="{00000043-53D5-4902-8D70-C1A690CF0370}"/>
                </c:ext>
              </c:extLst>
            </c:dLbl>
            <c:dLbl>
              <c:idx val="13"/>
              <c:layout>
                <c:manualLayout>
                  <c:x val="-1.1881188581944001E-2"/>
                  <c:y val="-2.29664985244702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4-53D5-4902-8D70-C1A690CF0370}"/>
                </c:ext>
              </c:extLst>
            </c:dLbl>
            <c:dLbl>
              <c:idx val="14"/>
              <c:layout>
                <c:manualLayout>
                  <c:x val="-2.2459899668166864E-2"/>
                  <c:y val="3.91075426629890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5-53D5-4902-8D70-C1A690CF0370}"/>
                </c:ext>
              </c:extLst>
            </c:dLbl>
            <c:dLbl>
              <c:idx val="15"/>
              <c:delete val="1"/>
              <c:extLst>
                <c:ext xmlns:c15="http://schemas.microsoft.com/office/drawing/2012/chart" uri="{CE6537A1-D6FC-4f65-9D91-7224C49458BB}"/>
                <c:ext xmlns:c16="http://schemas.microsoft.com/office/drawing/2014/chart" uri="{C3380CC4-5D6E-409C-BE32-E72D297353CC}">
                  <c16:uniqueId val="{00000046-53D5-4902-8D70-C1A690CF0370}"/>
                </c:ext>
              </c:extLst>
            </c:dLbl>
            <c:dLbl>
              <c:idx val="16"/>
              <c:delete val="1"/>
              <c:extLst>
                <c:ext xmlns:c15="http://schemas.microsoft.com/office/drawing/2012/chart" uri="{CE6537A1-D6FC-4f65-9D91-7224C49458BB}"/>
                <c:ext xmlns:c16="http://schemas.microsoft.com/office/drawing/2014/chart" uri="{C3380CC4-5D6E-409C-BE32-E72D297353CC}">
                  <c16:uniqueId val="{00000047-53D5-4902-8D70-C1A690CF0370}"/>
                </c:ext>
              </c:extLst>
            </c:dLbl>
            <c:dLbl>
              <c:idx val="17"/>
              <c:layout>
                <c:manualLayout>
                  <c:x val="-2.1327017401502765E-2"/>
                  <c:y val="-4.21158151755267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8-53D5-4902-8D70-C1A690CF0370}"/>
                </c:ext>
              </c:extLst>
            </c:dLbl>
            <c:numFmt formatCode="#,##0.0" sourceLinked="0"/>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'Сценарио 1'!$C$33:$K$33</c:f>
              <c:numCache>
                <c:formatCode>General</c:formatCode>
                <c:ptCount val="9"/>
                <c:pt idx="0">
                  <c:v>2021</c:v>
                </c:pt>
                <c:pt idx="1">
                  <c:v>2022</c:v>
                </c:pt>
                <c:pt idx="2">
                  <c:v>2023</c:v>
                </c:pt>
                <c:pt idx="3">
                  <c:v>2024</c:v>
                </c:pt>
                <c:pt idx="4">
                  <c:v>2025</c:v>
                </c:pt>
                <c:pt idx="5">
                  <c:v>2026</c:v>
                </c:pt>
                <c:pt idx="6">
                  <c:v>2027</c:v>
                </c:pt>
                <c:pt idx="7">
                  <c:v>2028</c:v>
                </c:pt>
                <c:pt idx="8">
                  <c:v>2029</c:v>
                </c:pt>
              </c:numCache>
            </c:numRef>
          </c:cat>
          <c:val>
            <c:numRef>
              <c:f>'Сценарио 1'!$C$39:$J$39</c:f>
              <c:numCache>
                <c:formatCode>#,##0.0</c:formatCode>
                <c:ptCount val="8"/>
                <c:pt idx="0">
                  <c:v>57.1</c:v>
                </c:pt>
                <c:pt idx="1">
                  <c:v>54.6</c:v>
                </c:pt>
                <c:pt idx="2">
                  <c:v>53.1</c:v>
                </c:pt>
                <c:pt idx="3">
                  <c:v>52</c:v>
                </c:pt>
                <c:pt idx="4">
                  <c:v>50.7</c:v>
                </c:pt>
                <c:pt idx="5">
                  <c:v>48.420776699029133</c:v>
                </c:pt>
                <c:pt idx="6">
                  <c:v>46.266493644728357</c:v>
                </c:pt>
                <c:pt idx="7">
                  <c:v>44.230301984143544</c:v>
                </c:pt>
              </c:numCache>
            </c:numRef>
          </c:val>
          <c:smooth val="1"/>
          <c:extLst>
            <c:ext xmlns:c16="http://schemas.microsoft.com/office/drawing/2014/chart" uri="{C3380CC4-5D6E-409C-BE32-E72D297353CC}">
              <c16:uniqueId val="{00000049-53D5-4902-8D70-C1A690CF0370}"/>
            </c:ext>
          </c:extLst>
        </c:ser>
        <c:dLbls>
          <c:showLegendKey val="0"/>
          <c:showVal val="0"/>
          <c:showCatName val="0"/>
          <c:showSerName val="0"/>
          <c:showPercent val="0"/>
          <c:showBubbleSize val="0"/>
        </c:dLbls>
        <c:smooth val="0"/>
        <c:axId val="248069424"/>
        <c:axId val="248068304"/>
      </c:lineChart>
      <c:catAx>
        <c:axId val="248069424"/>
        <c:scaling>
          <c:orientation val="minMax"/>
        </c:scaling>
        <c:delete val="0"/>
        <c:axPos val="b"/>
        <c:majorGridlines>
          <c:spPr>
            <a:ln w="9525" cap="flat" cmpd="sng" algn="ctr">
              <a:no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crossAx val="248068304"/>
        <c:crosses val="autoZero"/>
        <c:auto val="1"/>
        <c:lblAlgn val="ctr"/>
        <c:lblOffset val="100"/>
        <c:noMultiLvlLbl val="0"/>
      </c:catAx>
      <c:valAx>
        <c:axId val="248068304"/>
        <c:scaling>
          <c:orientation val="minMax"/>
          <c:max val="65"/>
          <c:min val="35"/>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sr-Cyrl-RS" sz="900">
                    <a:latin typeface="+mn-lt"/>
                  </a:rPr>
                  <a:t>% </a:t>
                </a:r>
                <a:r>
                  <a:rPr lang="en-US" sz="900">
                    <a:latin typeface="+mn-lt"/>
                  </a:rPr>
                  <a:t> </a:t>
                </a:r>
                <a:r>
                  <a:rPr lang="sr-Cyrl-RS" sz="900">
                    <a:latin typeface="+mn-lt"/>
                  </a:rPr>
                  <a:t>БДП </a:t>
                </a:r>
                <a:endParaRPr lang="en-US" sz="900">
                  <a:latin typeface="+mn-lt"/>
                </a:endParaRPr>
              </a:p>
            </c:rich>
          </c:tx>
          <c:layout>
            <c:manualLayout>
              <c:xMode val="edge"/>
              <c:yMode val="edge"/>
              <c:x val="5.7038859725867599E-2"/>
              <c:y val="0.3636152323064879"/>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crossAx val="248069424"/>
        <c:crosses val="autoZero"/>
        <c:crossBetween val="between"/>
        <c:majorUnit val="5"/>
      </c:valAx>
      <c:spPr>
        <a:noFill/>
        <a:ln>
          <a:noFill/>
        </a:ln>
        <a:effectLst/>
      </c:spPr>
    </c:plotArea>
    <c:legend>
      <c:legendPos val="b"/>
      <c:layout>
        <c:manualLayout>
          <c:xMode val="edge"/>
          <c:yMode val="edge"/>
          <c:x val="5.039698162729659E-2"/>
          <c:y val="0.85161250635001273"/>
          <c:w val="0.89992266535667942"/>
          <c:h val="0.14745340365858328"/>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800">
          <a:latin typeface="+mj-lt"/>
        </a:defRPr>
      </a:pPr>
      <a:endParaRPr lang="sr-Latn-RS"/>
    </a:p>
  </c:txPr>
  <c:externalData r:id="rId3">
    <c:autoUpdate val="0"/>
  </c:externalData>
  <c:userShapes r:id="rId4"/>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252053796081997E-2"/>
          <c:y val="0"/>
          <c:w val="0.90916365972175073"/>
          <c:h val="0.72302156709708654"/>
        </c:manualLayout>
      </c:layout>
      <c:barChart>
        <c:barDir val="col"/>
        <c:grouping val="stacked"/>
        <c:varyColors val="0"/>
        <c:ser>
          <c:idx val="0"/>
          <c:order val="0"/>
          <c:tx>
            <c:strRef>
              <c:f>ucesce!$A$5</c:f>
              <c:strCache>
                <c:ptCount val="1"/>
                <c:pt idx="0">
                  <c:v>Директне обавезе</c:v>
                </c:pt>
              </c:strCache>
            </c:strRef>
          </c:tx>
          <c:spPr>
            <a:solidFill>
              <a:srgbClr val="10103C"/>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ucesce!$B$4:$E$4</c:f>
              <c:strCache>
                <c:ptCount val="4"/>
                <c:pt idx="0">
                  <c:v>2019</c:v>
                </c:pt>
                <c:pt idx="1">
                  <c:v>2020</c:v>
                </c:pt>
                <c:pt idx="2">
                  <c:v>2021</c:v>
                </c:pt>
                <c:pt idx="3">
                  <c:v>2022/III</c:v>
                </c:pt>
              </c:strCache>
            </c:strRef>
          </c:cat>
          <c:val>
            <c:numRef>
              <c:f>ucesce!$B$5:$E$5</c:f>
              <c:numCache>
                <c:formatCode>0.0%</c:formatCode>
                <c:ptCount val="4"/>
                <c:pt idx="0">
                  <c:v>0.48703631728674002</c:v>
                </c:pt>
                <c:pt idx="1">
                  <c:v>0.53950089745388596</c:v>
                </c:pt>
                <c:pt idx="2">
                  <c:v>0.53930070758052395</c:v>
                </c:pt>
                <c:pt idx="3">
                  <c:v>0.49400451345625102</c:v>
                </c:pt>
              </c:numCache>
            </c:numRef>
          </c:val>
          <c:extLst>
            <c:ext xmlns:c16="http://schemas.microsoft.com/office/drawing/2014/chart" uri="{C3380CC4-5D6E-409C-BE32-E72D297353CC}">
              <c16:uniqueId val="{00000000-F18C-4C8B-A003-5788A9FA361B}"/>
            </c:ext>
          </c:extLst>
        </c:ser>
        <c:ser>
          <c:idx val="1"/>
          <c:order val="1"/>
          <c:tx>
            <c:strRef>
              <c:f>ucesce!$A$6</c:f>
              <c:strCache>
                <c:ptCount val="1"/>
                <c:pt idx="0">
                  <c:v>Индиректне обавезе</c:v>
                </c:pt>
              </c:strCache>
            </c:strRef>
          </c:tx>
          <c:spPr>
            <a:solidFill>
              <a:srgbClr val="2F3E9A"/>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lt1"/>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ucesce!$B$4:$E$4</c:f>
              <c:strCache>
                <c:ptCount val="4"/>
                <c:pt idx="0">
                  <c:v>2019</c:v>
                </c:pt>
                <c:pt idx="1">
                  <c:v>2020</c:v>
                </c:pt>
                <c:pt idx="2">
                  <c:v>2021</c:v>
                </c:pt>
                <c:pt idx="3">
                  <c:v>2022/III</c:v>
                </c:pt>
              </c:strCache>
            </c:strRef>
          </c:cat>
          <c:val>
            <c:numRef>
              <c:f>ucesce!$B$6:$E$6</c:f>
              <c:numCache>
                <c:formatCode>0.0%</c:formatCode>
                <c:ptCount val="4"/>
                <c:pt idx="0">
                  <c:v>3.2277635808694902E-2</c:v>
                </c:pt>
                <c:pt idx="1">
                  <c:v>3.0412233763241901E-2</c:v>
                </c:pt>
                <c:pt idx="2">
                  <c:v>2.59253510761864E-2</c:v>
                </c:pt>
                <c:pt idx="3">
                  <c:v>2.7805109115309399E-2</c:v>
                </c:pt>
              </c:numCache>
            </c:numRef>
          </c:val>
          <c:extLst>
            <c:ext xmlns:c16="http://schemas.microsoft.com/office/drawing/2014/chart" uri="{C3380CC4-5D6E-409C-BE32-E72D297353CC}">
              <c16:uniqueId val="{00000001-F18C-4C8B-A003-5788A9FA361B}"/>
            </c:ext>
          </c:extLst>
        </c:ser>
        <c:ser>
          <c:idx val="2"/>
          <c:order val="2"/>
          <c:tx>
            <c:strRef>
              <c:f>ucesce!$A$7</c:f>
              <c:strCache>
                <c:ptCount val="1"/>
                <c:pt idx="0">
                  <c:v>Негарантовани дуг јединица локалне самоуправе, ЈП Путеви Србије и Коридори Србије д.о.о.</c:v>
                </c:pt>
              </c:strCache>
            </c:strRef>
          </c:tx>
          <c:spPr>
            <a:solidFill>
              <a:srgbClr val="51BBE7">
                <a:alpha val="50000"/>
              </a:srgbClr>
            </a:solidFill>
            <a:ln>
              <a:noFill/>
            </a:ln>
            <a:effectLst/>
          </c:spPr>
          <c:invertIfNegative val="0"/>
          <c:dLbls>
            <c:dLbl>
              <c:idx val="0"/>
              <c:layout>
                <c:manualLayout>
                  <c:x val="-2.8032302694319029E-17"/>
                  <c:y val="-2.830189380030056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18C-4C8B-A003-5788A9FA361B}"/>
                </c:ext>
              </c:extLst>
            </c:dLbl>
            <c:dLbl>
              <c:idx val="1"/>
              <c:layout>
                <c:manualLayout>
                  <c:x val="-3.0581047119132925E-3"/>
                  <c:y val="-3.773585840040073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18C-4C8B-A003-5788A9FA361B}"/>
                </c:ext>
              </c:extLst>
            </c:dLbl>
            <c:dLbl>
              <c:idx val="2"/>
              <c:layout>
                <c:manualLayout>
                  <c:x val="0"/>
                  <c:y val="-3.144654866700061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18C-4C8B-A003-5788A9FA361B}"/>
                </c:ext>
              </c:extLst>
            </c:dLbl>
            <c:dLbl>
              <c:idx val="3"/>
              <c:layout>
                <c:manualLayout>
                  <c:x val="0"/>
                  <c:y val="-2.830189380030057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18C-4C8B-A003-5788A9FA361B}"/>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2"/>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ucesce!$B$4:$E$4</c:f>
              <c:strCache>
                <c:ptCount val="4"/>
                <c:pt idx="0">
                  <c:v>2019</c:v>
                </c:pt>
                <c:pt idx="1">
                  <c:v>2020</c:v>
                </c:pt>
                <c:pt idx="2">
                  <c:v>2021</c:v>
                </c:pt>
                <c:pt idx="3">
                  <c:v>2022/III</c:v>
                </c:pt>
              </c:strCache>
            </c:strRef>
          </c:cat>
          <c:val>
            <c:numRef>
              <c:f>ucesce!$B$7:$E$7</c:f>
              <c:numCache>
                <c:formatCode>0.0%</c:formatCode>
                <c:ptCount val="4"/>
                <c:pt idx="0">
                  <c:v>8.9106896628719096E-3</c:v>
                </c:pt>
                <c:pt idx="1">
                  <c:v>8.2586611523361702E-3</c:v>
                </c:pt>
                <c:pt idx="2">
                  <c:v>6.1455925661035903E-3</c:v>
                </c:pt>
                <c:pt idx="3">
                  <c:v>5.3549884031382899E-3</c:v>
                </c:pt>
              </c:numCache>
            </c:numRef>
          </c:val>
          <c:extLst>
            <c:ext xmlns:c16="http://schemas.microsoft.com/office/drawing/2014/chart" uri="{C3380CC4-5D6E-409C-BE32-E72D297353CC}">
              <c16:uniqueId val="{00000006-F18C-4C8B-A003-5788A9FA361B}"/>
            </c:ext>
          </c:extLst>
        </c:ser>
        <c:dLbls>
          <c:dLblPos val="ctr"/>
          <c:showLegendKey val="0"/>
          <c:showVal val="1"/>
          <c:showCatName val="0"/>
          <c:showSerName val="0"/>
          <c:showPercent val="0"/>
          <c:showBubbleSize val="0"/>
        </c:dLbls>
        <c:gapWidth val="79"/>
        <c:overlap val="100"/>
        <c:axId val="244077856"/>
        <c:axId val="244088736"/>
      </c:barChart>
      <c:catAx>
        <c:axId val="244077856"/>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750" b="0" i="0" u="none" strike="noStrike" kern="1200" cap="all" spc="120" normalizeH="0" baseline="0">
                <a:solidFill>
                  <a:srgbClr val="44546A"/>
                </a:solidFill>
                <a:latin typeface="+mn-lt"/>
                <a:ea typeface="+mn-ea"/>
                <a:cs typeface="+mn-cs"/>
              </a:defRPr>
            </a:pPr>
            <a:endParaRPr lang="sr-Latn-RS"/>
          </a:p>
        </c:txPr>
        <c:crossAx val="244088736"/>
        <c:crosses val="autoZero"/>
        <c:auto val="1"/>
        <c:lblAlgn val="ctr"/>
        <c:lblOffset val="100"/>
        <c:noMultiLvlLbl val="0"/>
      </c:catAx>
      <c:valAx>
        <c:axId val="244088736"/>
        <c:scaling>
          <c:orientation val="minMax"/>
          <c:max val="0.75000000000000011"/>
          <c:min val="0"/>
        </c:scaling>
        <c:delete val="1"/>
        <c:axPos val="l"/>
        <c:numFmt formatCode="0%" sourceLinked="0"/>
        <c:majorTickMark val="none"/>
        <c:minorTickMark val="none"/>
        <c:tickLblPos val="nextTo"/>
        <c:crossAx val="244077856"/>
        <c:crosses val="autoZero"/>
        <c:crossBetween val="between"/>
      </c:valAx>
      <c:spPr>
        <a:noFill/>
        <a:ln>
          <a:noFill/>
        </a:ln>
        <a:effectLst/>
      </c:spPr>
    </c:plotArea>
    <c:legend>
      <c:legendPos val="t"/>
      <c:layout>
        <c:manualLayout>
          <c:xMode val="edge"/>
          <c:yMode val="edge"/>
          <c:x val="0"/>
          <c:y val="0.79516925336101485"/>
          <c:w val="0.98266107645635203"/>
          <c:h val="0.20324201838114284"/>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lt1"/>
    </a:solidFill>
    <a:ln w="9525" cap="flat" cmpd="sng" algn="ctr">
      <a:noFill/>
      <a:round/>
    </a:ln>
    <a:effectLst/>
  </c:spPr>
  <c:txPr>
    <a:bodyPr/>
    <a:lstStyle/>
    <a:p>
      <a:pPr>
        <a:defRPr/>
      </a:pPr>
      <a:endParaRPr lang="sr-Latn-RS"/>
    </a:p>
  </c:txPr>
  <c:externalData r:id="rId2">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7289336635108885E-2"/>
          <c:y val="7.4689633864290325E-2"/>
          <c:w val="0.91606508156755739"/>
          <c:h val="0.67908619975134676"/>
        </c:manualLayout>
      </c:layout>
      <c:barChart>
        <c:barDir val="col"/>
        <c:grouping val="stacked"/>
        <c:varyColors val="0"/>
        <c:ser>
          <c:idx val="0"/>
          <c:order val="0"/>
          <c:tx>
            <c:strRef>
              <c:f>valutna!$A$5</c:f>
              <c:strCache>
                <c:ptCount val="1"/>
                <c:pt idx="0">
                  <c:v>EUR</c:v>
                </c:pt>
              </c:strCache>
            </c:strRef>
          </c:tx>
          <c:spPr>
            <a:solidFill>
              <a:srgbClr val="10103C"/>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valutna!$B$4:$E$4</c:f>
              <c:strCache>
                <c:ptCount val="4"/>
                <c:pt idx="0">
                  <c:v>2019</c:v>
                </c:pt>
                <c:pt idx="1">
                  <c:v>2020</c:v>
                </c:pt>
                <c:pt idx="2">
                  <c:v>2021</c:v>
                </c:pt>
                <c:pt idx="3">
                  <c:v>2022/III</c:v>
                </c:pt>
              </c:strCache>
            </c:strRef>
          </c:cat>
          <c:val>
            <c:numRef>
              <c:f>valutna!$B$5:$E$5</c:f>
              <c:numCache>
                <c:formatCode>0.0%</c:formatCode>
                <c:ptCount val="4"/>
                <c:pt idx="0">
                  <c:v>0.44833301051551283</c:v>
                </c:pt>
                <c:pt idx="1">
                  <c:v>0.5</c:v>
                </c:pt>
                <c:pt idx="2">
                  <c:v>0.58070343168642191</c:v>
                </c:pt>
                <c:pt idx="3">
                  <c:v>0.58236870008952824</c:v>
                </c:pt>
              </c:numCache>
            </c:numRef>
          </c:val>
          <c:extLst>
            <c:ext xmlns:c16="http://schemas.microsoft.com/office/drawing/2014/chart" uri="{C3380CC4-5D6E-409C-BE32-E72D297353CC}">
              <c16:uniqueId val="{00000000-3037-49A6-9DA7-80A528B1245B}"/>
            </c:ext>
          </c:extLst>
        </c:ser>
        <c:ser>
          <c:idx val="1"/>
          <c:order val="1"/>
          <c:tx>
            <c:strRef>
              <c:f>valutna!$A$6</c:f>
              <c:strCache>
                <c:ptCount val="1"/>
                <c:pt idx="0">
                  <c:v>USD</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valutna!$B$4:$E$4</c:f>
              <c:strCache>
                <c:ptCount val="4"/>
                <c:pt idx="0">
                  <c:v>2019</c:v>
                </c:pt>
                <c:pt idx="1">
                  <c:v>2020</c:v>
                </c:pt>
                <c:pt idx="2">
                  <c:v>2021</c:v>
                </c:pt>
                <c:pt idx="3">
                  <c:v>2022/III</c:v>
                </c:pt>
              </c:strCache>
            </c:strRef>
          </c:cat>
          <c:val>
            <c:numRef>
              <c:f>valutna!$B$6:$E$6</c:f>
              <c:numCache>
                <c:formatCode>0.0%</c:formatCode>
                <c:ptCount val="4"/>
                <c:pt idx="0">
                  <c:v>0.19781774415122602</c:v>
                </c:pt>
                <c:pt idx="1">
                  <c:v>0.13</c:v>
                </c:pt>
                <c:pt idx="2">
                  <c:v>0.10724614446641026</c:v>
                </c:pt>
                <c:pt idx="3">
                  <c:v>0.10762464030961234</c:v>
                </c:pt>
              </c:numCache>
            </c:numRef>
          </c:val>
          <c:extLst>
            <c:ext xmlns:c16="http://schemas.microsoft.com/office/drawing/2014/chart" uri="{C3380CC4-5D6E-409C-BE32-E72D297353CC}">
              <c16:uniqueId val="{00000001-3037-49A6-9DA7-80A528B1245B}"/>
            </c:ext>
          </c:extLst>
        </c:ser>
        <c:ser>
          <c:idx val="2"/>
          <c:order val="2"/>
          <c:tx>
            <c:strRef>
              <c:f>valutna!$A$7</c:f>
              <c:strCache>
                <c:ptCount val="1"/>
                <c:pt idx="0">
                  <c:v>RSD</c:v>
                </c:pt>
              </c:strCache>
            </c:strRef>
          </c:tx>
          <c:spPr>
            <a:solidFill>
              <a:srgbClr val="2F3E9A"/>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valutna!$B$4:$E$4</c:f>
              <c:strCache>
                <c:ptCount val="4"/>
                <c:pt idx="0">
                  <c:v>2019</c:v>
                </c:pt>
                <c:pt idx="1">
                  <c:v>2020</c:v>
                </c:pt>
                <c:pt idx="2">
                  <c:v>2021</c:v>
                </c:pt>
                <c:pt idx="3">
                  <c:v>2022/III</c:v>
                </c:pt>
              </c:strCache>
            </c:strRef>
          </c:cat>
          <c:val>
            <c:numRef>
              <c:f>valutna!$B$7:$E$7</c:f>
              <c:numCache>
                <c:formatCode>0.0%</c:formatCode>
                <c:ptCount val="4"/>
                <c:pt idx="0">
                  <c:v>0.27573155342039779</c:v>
                </c:pt>
                <c:pt idx="1">
                  <c:v>0.30399999999999999</c:v>
                </c:pt>
                <c:pt idx="2">
                  <c:v>0.28279889544694981</c:v>
                </c:pt>
                <c:pt idx="3">
                  <c:v>0.25917911746583489</c:v>
                </c:pt>
              </c:numCache>
            </c:numRef>
          </c:val>
          <c:extLst>
            <c:ext xmlns:c16="http://schemas.microsoft.com/office/drawing/2014/chart" uri="{C3380CC4-5D6E-409C-BE32-E72D297353CC}">
              <c16:uniqueId val="{00000002-3037-49A6-9DA7-80A528B1245B}"/>
            </c:ext>
          </c:extLst>
        </c:ser>
        <c:ser>
          <c:idx val="3"/>
          <c:order val="3"/>
          <c:tx>
            <c:strRef>
              <c:f>valutna!$A$8</c:f>
              <c:strCache>
                <c:ptCount val="1"/>
                <c:pt idx="0">
                  <c:v>SDR</c:v>
                </c:pt>
              </c:strCache>
            </c:strRef>
          </c:tx>
          <c:spPr>
            <a:solidFill>
              <a:srgbClr val="51BBE7"/>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valutna!$B$4:$E$4</c:f>
              <c:strCache>
                <c:ptCount val="4"/>
                <c:pt idx="0">
                  <c:v>2019</c:v>
                </c:pt>
                <c:pt idx="1">
                  <c:v>2020</c:v>
                </c:pt>
                <c:pt idx="2">
                  <c:v>2021</c:v>
                </c:pt>
                <c:pt idx="3">
                  <c:v>2022/III</c:v>
                </c:pt>
              </c:strCache>
            </c:strRef>
          </c:cat>
          <c:val>
            <c:numRef>
              <c:f>valutna!$B$8:$E$8</c:f>
              <c:numCache>
                <c:formatCode>0.0%</c:formatCode>
                <c:ptCount val="4"/>
                <c:pt idx="0">
                  <c:v>2.8895120057216048E-2</c:v>
                </c:pt>
                <c:pt idx="1">
                  <c:v>2.3E-2</c:v>
                </c:pt>
                <c:pt idx="2">
                  <c:v>1.9290279679134919E-2</c:v>
                </c:pt>
                <c:pt idx="3">
                  <c:v>4.1058718416833194E-2</c:v>
                </c:pt>
              </c:numCache>
            </c:numRef>
          </c:val>
          <c:extLst>
            <c:ext xmlns:c16="http://schemas.microsoft.com/office/drawing/2014/chart" uri="{C3380CC4-5D6E-409C-BE32-E72D297353CC}">
              <c16:uniqueId val="{00000003-3037-49A6-9DA7-80A528B1245B}"/>
            </c:ext>
          </c:extLst>
        </c:ser>
        <c:ser>
          <c:idx val="4"/>
          <c:order val="4"/>
          <c:tx>
            <c:strRef>
              <c:f>valutna!$A$9</c:f>
              <c:strCache>
                <c:ptCount val="1"/>
                <c:pt idx="0">
                  <c:v>Остале валуте</c:v>
                </c:pt>
              </c:strCache>
            </c:strRef>
          </c:tx>
          <c:spPr>
            <a:solidFill>
              <a:srgbClr val="C9E4EB"/>
            </a:solidFill>
            <a:ln>
              <a:noFill/>
            </a:ln>
            <a:effectLst/>
          </c:spPr>
          <c:invertIfNegative val="0"/>
          <c:dLbls>
            <c:dLbl>
              <c:idx val="0"/>
              <c:spPr>
                <a:noFill/>
                <a:ln>
                  <a:noFill/>
                </a:ln>
                <a:effectLst/>
              </c:spPr>
              <c:txPr>
                <a:bodyPr rot="0" spcFirstLastPara="1" vertOverflow="ellipsis" horzOverflow="clip" vert="horz" wrap="square" lIns="38100" tIns="19050" rIns="38100" bIns="19050" anchor="ctr" anchorCtr="1">
                  <a:noAutofit/>
                </a:bodyPr>
                <a:lstStyle/>
                <a:p>
                  <a:pPr>
                    <a:defRPr sz="750" b="1" i="0" u="none" strike="noStrike" kern="1200" baseline="0">
                      <a:solidFill>
                        <a:schemeClr val="tx2"/>
                      </a:solidFill>
                      <a:latin typeface="+mn-lt"/>
                      <a:ea typeface="+mn-ea"/>
                      <a:cs typeface="+mn-cs"/>
                    </a:defRPr>
                  </a:pPr>
                  <a:endParaRPr lang="sr-Latn-R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4-3037-49A6-9DA7-80A528B1245B}"/>
                </c:ext>
              </c:extLst>
            </c:dLbl>
            <c:dLbl>
              <c:idx val="1"/>
              <c:layout>
                <c:manualLayout>
                  <c:x val="4.6296296296295869E-3"/>
                  <c:y val="-1.909992958197298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037-49A6-9DA7-80A528B1245B}"/>
                </c:ext>
              </c:extLst>
            </c:dLbl>
            <c:dLbl>
              <c:idx val="2"/>
              <c:layout>
                <c:manualLayout>
                  <c:x val="0"/>
                  <c:y val="-1.66821586326099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037-49A6-9DA7-80A528B1245B}"/>
                </c:ext>
              </c:extLst>
            </c:dLbl>
            <c:dLbl>
              <c:idx val="3"/>
              <c:layout>
                <c:manualLayout>
                  <c:x val="0"/>
                  <c:y val="-2.273606043147045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037-49A6-9DA7-80A528B1245B}"/>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tx2"/>
                    </a:solidFill>
                    <a:latin typeface="+mn-lt"/>
                    <a:ea typeface="+mn-ea"/>
                    <a:cs typeface="+mn-cs"/>
                  </a:defRPr>
                </a:pPr>
                <a:endParaRPr lang="sr-Latn-R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valutna!$B$4:$E$4</c:f>
              <c:strCache>
                <c:ptCount val="4"/>
                <c:pt idx="0">
                  <c:v>2019</c:v>
                </c:pt>
                <c:pt idx="1">
                  <c:v>2020</c:v>
                </c:pt>
                <c:pt idx="2">
                  <c:v>2021</c:v>
                </c:pt>
                <c:pt idx="3">
                  <c:v>2022/III</c:v>
                </c:pt>
              </c:strCache>
            </c:strRef>
          </c:cat>
          <c:val>
            <c:numRef>
              <c:f>valutna!$B$9:$E$9</c:f>
              <c:numCache>
                <c:formatCode>0.0%</c:formatCode>
                <c:ptCount val="4"/>
                <c:pt idx="0">
                  <c:v>4.9222571855647254E-2</c:v>
                </c:pt>
                <c:pt idx="1">
                  <c:v>4.2999999999999997E-2</c:v>
                </c:pt>
                <c:pt idx="2">
                  <c:v>9.9612487210832441E-3</c:v>
                </c:pt>
                <c:pt idx="3">
                  <c:v>9.7688237181914519E-3</c:v>
                </c:pt>
              </c:numCache>
            </c:numRef>
          </c:val>
          <c:extLst>
            <c:ext xmlns:c16="http://schemas.microsoft.com/office/drawing/2014/chart" uri="{C3380CC4-5D6E-409C-BE32-E72D297353CC}">
              <c16:uniqueId val="{00000008-3037-49A6-9DA7-80A528B1245B}"/>
            </c:ext>
          </c:extLst>
        </c:ser>
        <c:dLbls>
          <c:dLblPos val="ctr"/>
          <c:showLegendKey val="0"/>
          <c:showVal val="1"/>
          <c:showCatName val="0"/>
          <c:showSerName val="0"/>
          <c:showPercent val="0"/>
          <c:showBubbleSize val="0"/>
        </c:dLbls>
        <c:gapWidth val="79"/>
        <c:overlap val="100"/>
        <c:axId val="244059360"/>
        <c:axId val="244059904"/>
      </c:barChart>
      <c:catAx>
        <c:axId val="244059360"/>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750" b="0" i="0" u="none" strike="noStrike" kern="1200" cap="all" spc="120" normalizeH="0" baseline="0">
                <a:solidFill>
                  <a:schemeClr val="tx2"/>
                </a:solidFill>
                <a:latin typeface="+mn-lt"/>
                <a:ea typeface="+mn-ea"/>
                <a:cs typeface="+mn-cs"/>
              </a:defRPr>
            </a:pPr>
            <a:endParaRPr lang="sr-Latn-RS"/>
          </a:p>
        </c:txPr>
        <c:crossAx val="244059904"/>
        <c:crosses val="autoZero"/>
        <c:auto val="1"/>
        <c:lblAlgn val="ctr"/>
        <c:lblOffset val="100"/>
        <c:noMultiLvlLbl val="0"/>
      </c:catAx>
      <c:valAx>
        <c:axId val="244059904"/>
        <c:scaling>
          <c:orientation val="minMax"/>
          <c:max val="1"/>
          <c:min val="0"/>
        </c:scaling>
        <c:delete val="1"/>
        <c:axPos val="l"/>
        <c:numFmt formatCode="0%" sourceLinked="0"/>
        <c:majorTickMark val="none"/>
        <c:minorTickMark val="none"/>
        <c:tickLblPos val="nextTo"/>
        <c:crossAx val="244059360"/>
        <c:crosses val="autoZero"/>
        <c:crossBetween val="between"/>
      </c:valAx>
      <c:spPr>
        <a:noFill/>
        <a:ln>
          <a:noFill/>
        </a:ln>
        <a:effectLst/>
      </c:spPr>
    </c:plotArea>
    <c:legend>
      <c:legendPos val="t"/>
      <c:layout>
        <c:manualLayout>
          <c:xMode val="edge"/>
          <c:yMode val="edge"/>
          <c:x val="0.20007148448250597"/>
          <c:y val="0.91044274071004283"/>
          <c:w val="0.69327573636628759"/>
          <c:h val="4.4164415256261261E-2"/>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lt1"/>
    </a:solidFill>
    <a:ln w="9525" cap="flat" cmpd="sng" algn="ctr">
      <a:noFill/>
      <a:round/>
    </a:ln>
    <a:effectLst/>
  </c:spPr>
  <c:txPr>
    <a:bodyPr/>
    <a:lstStyle/>
    <a:p>
      <a:pPr>
        <a:defRPr/>
      </a:pPr>
      <a:endParaRPr lang="sr-Latn-RS"/>
    </a:p>
  </c:txPr>
  <c:externalData r:id="rId2">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4313099041539137E-2"/>
          <c:y val="0.11697286155107009"/>
          <c:w val="0.92201738463599303"/>
          <c:h val="0.69105764014135107"/>
        </c:manualLayout>
      </c:layout>
      <c:barChart>
        <c:barDir val="col"/>
        <c:grouping val="stacked"/>
        <c:varyColors val="0"/>
        <c:ser>
          <c:idx val="0"/>
          <c:order val="0"/>
          <c:tx>
            <c:strRef>
              <c:f>kamatna!$A$5</c:f>
              <c:strCache>
                <c:ptCount val="1"/>
                <c:pt idx="0">
                  <c:v>Фиксне каматне стопе</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kamatna!$B$4:$E$4</c:f>
              <c:strCache>
                <c:ptCount val="4"/>
                <c:pt idx="0">
                  <c:v>2019</c:v>
                </c:pt>
                <c:pt idx="1">
                  <c:v>2020</c:v>
                </c:pt>
                <c:pt idx="2">
                  <c:v>2021</c:v>
                </c:pt>
                <c:pt idx="3">
                  <c:v>2022/III</c:v>
                </c:pt>
              </c:strCache>
            </c:strRef>
          </c:cat>
          <c:val>
            <c:numRef>
              <c:f>kamatna!$B$5:$E$5</c:f>
              <c:numCache>
                <c:formatCode>0.0%</c:formatCode>
                <c:ptCount val="4"/>
                <c:pt idx="0">
                  <c:v>0.83150687493433895</c:v>
                </c:pt>
                <c:pt idx="1">
                  <c:v>0.85479439479257957</c:v>
                </c:pt>
                <c:pt idx="2">
                  <c:v>0.85813723844161272</c:v>
                </c:pt>
                <c:pt idx="3">
                  <c:v>0.82911670299011453</c:v>
                </c:pt>
              </c:numCache>
            </c:numRef>
          </c:val>
          <c:extLst>
            <c:ext xmlns:c16="http://schemas.microsoft.com/office/drawing/2014/chart" uri="{C3380CC4-5D6E-409C-BE32-E72D297353CC}">
              <c16:uniqueId val="{00000000-D966-4F78-8402-C0FCD04799F7}"/>
            </c:ext>
          </c:extLst>
        </c:ser>
        <c:ser>
          <c:idx val="1"/>
          <c:order val="1"/>
          <c:tx>
            <c:strRef>
              <c:f>kamatna!$A$6</c:f>
              <c:strCache>
                <c:ptCount val="1"/>
                <c:pt idx="0">
                  <c:v>Варијабилне каматне стопе</c:v>
                </c:pt>
              </c:strCache>
            </c:strRef>
          </c:tx>
          <c:spPr>
            <a:solidFill>
              <a:srgbClr val="2F3E9A"/>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kamatna!$B$4:$E$4</c:f>
              <c:strCache>
                <c:ptCount val="4"/>
                <c:pt idx="0">
                  <c:v>2019</c:v>
                </c:pt>
                <c:pt idx="1">
                  <c:v>2020</c:v>
                </c:pt>
                <c:pt idx="2">
                  <c:v>2021</c:v>
                </c:pt>
                <c:pt idx="3">
                  <c:v>2022/III</c:v>
                </c:pt>
              </c:strCache>
            </c:strRef>
          </c:cat>
          <c:val>
            <c:numRef>
              <c:f>kamatna!$B$6:$E$6</c:f>
              <c:numCache>
                <c:formatCode>0.0%</c:formatCode>
                <c:ptCount val="4"/>
                <c:pt idx="0">
                  <c:v>0.16849312506566114</c:v>
                </c:pt>
                <c:pt idx="1">
                  <c:v>0.14520560520742037</c:v>
                </c:pt>
                <c:pt idx="2">
                  <c:v>0.14186276155838728</c:v>
                </c:pt>
                <c:pt idx="3">
                  <c:v>0.17088329700988544</c:v>
                </c:pt>
              </c:numCache>
            </c:numRef>
          </c:val>
          <c:extLst>
            <c:ext xmlns:c16="http://schemas.microsoft.com/office/drawing/2014/chart" uri="{C3380CC4-5D6E-409C-BE32-E72D297353CC}">
              <c16:uniqueId val="{00000001-D966-4F78-8402-C0FCD04799F7}"/>
            </c:ext>
          </c:extLst>
        </c:ser>
        <c:dLbls>
          <c:dLblPos val="ctr"/>
          <c:showLegendKey val="0"/>
          <c:showVal val="1"/>
          <c:showCatName val="0"/>
          <c:showSerName val="0"/>
          <c:showPercent val="0"/>
          <c:showBubbleSize val="0"/>
        </c:dLbls>
        <c:gapWidth val="79"/>
        <c:overlap val="100"/>
        <c:axId val="244061536"/>
        <c:axId val="244062080"/>
      </c:barChart>
      <c:catAx>
        <c:axId val="244061536"/>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800" b="0" i="0" u="none" strike="noStrike" kern="1200" cap="all" spc="120" normalizeH="0" baseline="0">
                <a:solidFill>
                  <a:schemeClr val="tx2"/>
                </a:solidFill>
                <a:latin typeface="+mn-lt"/>
                <a:ea typeface="+mn-ea"/>
                <a:cs typeface="+mn-cs"/>
              </a:defRPr>
            </a:pPr>
            <a:endParaRPr lang="sr-Latn-RS"/>
          </a:p>
        </c:txPr>
        <c:crossAx val="244062080"/>
        <c:crosses val="autoZero"/>
        <c:auto val="1"/>
        <c:lblAlgn val="ctr"/>
        <c:lblOffset val="100"/>
        <c:noMultiLvlLbl val="0"/>
      </c:catAx>
      <c:valAx>
        <c:axId val="244062080"/>
        <c:scaling>
          <c:orientation val="minMax"/>
          <c:max val="1"/>
          <c:min val="0"/>
        </c:scaling>
        <c:delete val="1"/>
        <c:axPos val="l"/>
        <c:numFmt formatCode="0%" sourceLinked="0"/>
        <c:majorTickMark val="none"/>
        <c:minorTickMark val="none"/>
        <c:tickLblPos val="nextTo"/>
        <c:crossAx val="244061536"/>
        <c:crosses val="autoZero"/>
        <c:crossBetween val="between"/>
      </c:valAx>
      <c:spPr>
        <a:noFill/>
        <a:ln w="25400">
          <a:noFill/>
        </a:ln>
        <a:effectLst/>
      </c:spPr>
    </c:plotArea>
    <c:legend>
      <c:legendPos val="t"/>
      <c:layout>
        <c:manualLayout>
          <c:xMode val="edge"/>
          <c:yMode val="edge"/>
          <c:x val="7.915879265091863E-2"/>
          <c:y val="0.93890499194846999"/>
          <c:w val="0.8083490813648293"/>
          <c:h val="6.0789430306718906E-2"/>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lt1"/>
    </a:solidFill>
    <a:ln w="9525" cap="flat" cmpd="sng" algn="ctr">
      <a:noFill/>
      <a:round/>
    </a:ln>
    <a:effectLst/>
  </c:spPr>
  <c:txPr>
    <a:bodyPr/>
    <a:lstStyle/>
    <a:p>
      <a:pPr>
        <a:defRPr/>
      </a:pPr>
      <a:endParaRPr lang="sr-Latn-RS"/>
    </a:p>
  </c:txPr>
  <c:externalData r:id="rId2">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663675761460051"/>
          <c:y val="6.1565790344303539E-2"/>
          <c:w val="0.81432965065413332"/>
          <c:h val="0.73096767748322122"/>
        </c:manualLayout>
      </c:layout>
      <c:lineChart>
        <c:grouping val="standard"/>
        <c:varyColors val="0"/>
        <c:ser>
          <c:idx val="0"/>
          <c:order val="0"/>
          <c:tx>
            <c:strRef>
              <c:f>'[Chart in Microsoft Word (00000003).xlsx]PP izvrsne stope RSD'!$C$4</c:f>
              <c:strCache>
                <c:ptCount val="1"/>
                <c:pt idx="0">
                  <c:v>3M</c:v>
                </c:pt>
              </c:strCache>
            </c:strRef>
          </c:tx>
          <c:marker>
            <c:symbol val="square"/>
            <c:size val="3"/>
          </c:marker>
          <c:dLbls>
            <c:dLbl>
              <c:idx val="0"/>
              <c:layout>
                <c:manualLayout>
                  <c:x val="-2.4806201550387597E-2"/>
                  <c:y val="-2.7107154367773664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00-E2E0-468A-B615-A1D81C27D736}"/>
                </c:ext>
              </c:extLst>
            </c:dLbl>
            <c:dLbl>
              <c:idx val="1"/>
              <c:layout>
                <c:manualLayout>
                  <c:x val="-3.9276485788113734E-2"/>
                  <c:y val="-2.3718760071802004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01-E2E0-468A-B615-A1D81C27D736}"/>
                </c:ext>
              </c:extLst>
            </c:dLbl>
            <c:dLbl>
              <c:idx val="2"/>
              <c:layout>
                <c:manualLayout>
                  <c:x val="-6.6149870801033628E-2"/>
                  <c:y val="-1.0165182887915118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02-E2E0-468A-B615-A1D81C27D736}"/>
                </c:ext>
              </c:extLst>
            </c:dLbl>
            <c:dLbl>
              <c:idx val="3"/>
              <c:layout>
                <c:manualLayout>
                  <c:x val="-4.3410852713178294E-2"/>
                  <c:y val="-2.0330365775830236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03-E2E0-468A-B615-A1D81C27D736}"/>
                </c:ext>
              </c:extLst>
            </c:dLbl>
            <c:dLbl>
              <c:idx val="4"/>
              <c:layout>
                <c:manualLayout>
                  <c:x val="-8.7649184563385593E-2"/>
                  <c:y val="-5.8210762367614265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04-E2E0-468A-B615-A1D81C27D736}"/>
                </c:ext>
              </c:extLst>
            </c:dLbl>
            <c:dLbl>
              <c:idx val="5"/>
              <c:layout>
                <c:manualLayout>
                  <c:x val="-3.7209302325581395E-2"/>
                  <c:y val="-3.0495548663745355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05-E2E0-468A-B615-A1D81C27D736}"/>
                </c:ext>
              </c:extLst>
            </c:dLbl>
            <c:dLbl>
              <c:idx val="6"/>
              <c:delete val="1"/>
              <c:extLst xmlns:c15="http://schemas.microsoft.com/office/drawing/2012/chart">
                <c:ext xmlns:c15="http://schemas.microsoft.com/office/drawing/2012/chart" uri="{CE6537A1-D6FC-4f65-9D91-7224C49458BB}"/>
                <c:ext xmlns:c16="http://schemas.microsoft.com/office/drawing/2014/chart" uri="{C3380CC4-5D6E-409C-BE32-E72D297353CC}">
                  <c16:uniqueId val="{00000006-E2E0-468A-B615-A1D81C27D736}"/>
                </c:ext>
              </c:extLst>
            </c:dLbl>
            <c:dLbl>
              <c:idx val="7"/>
              <c:layout>
                <c:manualLayout>
                  <c:x val="-5.1679586563307643E-2"/>
                  <c:y val="-2.3718760071801952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07-E2E0-468A-B615-A1D81C27D736}"/>
                </c:ext>
              </c:extLst>
            </c:dLbl>
            <c:spPr>
              <a:noFill/>
              <a:ln>
                <a:noFill/>
              </a:ln>
              <a:effectLst/>
            </c:spP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0"/>
              </c:ext>
            </c:extLst>
          </c:dLbls>
          <c:cat>
            <c:strRef>
              <c:f>'[Chart in Microsoft Word (00000003).xlsx]PP izvrsne stope RSD'!$D$3:$O$3</c:f>
              <c:strCache>
                <c:ptCount val="12"/>
                <c:pt idx="0">
                  <c:v>2011</c:v>
                </c:pt>
                <c:pt idx="1">
                  <c:v>2012</c:v>
                </c:pt>
                <c:pt idx="2">
                  <c:v>2013</c:v>
                </c:pt>
                <c:pt idx="3">
                  <c:v>2014</c:v>
                </c:pt>
                <c:pt idx="4">
                  <c:v>2015</c:v>
                </c:pt>
                <c:pt idx="5">
                  <c:v>2016</c:v>
                </c:pt>
                <c:pt idx="6">
                  <c:v>2017</c:v>
                </c:pt>
                <c:pt idx="7">
                  <c:v>2018</c:v>
                </c:pt>
                <c:pt idx="8">
                  <c:v>2019</c:v>
                </c:pt>
                <c:pt idx="9">
                  <c:v>2020</c:v>
                </c:pt>
                <c:pt idx="10">
                  <c:v>2021</c:v>
                </c:pt>
                <c:pt idx="11">
                  <c:v>III/2022</c:v>
                </c:pt>
              </c:strCache>
            </c:strRef>
          </c:cat>
          <c:val>
            <c:numRef>
              <c:f>'[Chart in Microsoft Word (00000003).xlsx]PP izvrsne stope RSD'!$D$4:$O$4</c:f>
              <c:numCache>
                <c:formatCode>0.00%</c:formatCode>
                <c:ptCount val="12"/>
                <c:pt idx="0">
                  <c:v>0.13818647322081362</c:v>
                </c:pt>
                <c:pt idx="1">
                  <c:v>0.1239</c:v>
                </c:pt>
                <c:pt idx="2">
                  <c:v>9.5200000000000007E-2</c:v>
                </c:pt>
                <c:pt idx="3">
                  <c:v>7.3468533707053724E-2</c:v>
                </c:pt>
                <c:pt idx="4">
                  <c:v>4.9599999999999998E-2</c:v>
                </c:pt>
                <c:pt idx="5">
                  <c:v>2.7828542094455851E-2</c:v>
                </c:pt>
              </c:numCache>
            </c:numRef>
          </c:val>
          <c:smooth val="0"/>
          <c:extLst xmlns:c15="http://schemas.microsoft.com/office/drawing/2012/chart">
            <c:ext xmlns:c16="http://schemas.microsoft.com/office/drawing/2014/chart" uri="{C3380CC4-5D6E-409C-BE32-E72D297353CC}">
              <c16:uniqueId val="{00000008-E2E0-468A-B615-A1D81C27D736}"/>
            </c:ext>
          </c:extLst>
        </c:ser>
        <c:ser>
          <c:idx val="1"/>
          <c:order val="1"/>
          <c:tx>
            <c:strRef>
              <c:f>'[Chart in Microsoft Word (00000003).xlsx]PP izvrsne stope RSD'!$C$5</c:f>
              <c:strCache>
                <c:ptCount val="1"/>
                <c:pt idx="0">
                  <c:v>6M</c:v>
                </c:pt>
              </c:strCache>
            </c:strRef>
          </c:tx>
          <c:marker>
            <c:symbol val="square"/>
            <c:size val="3"/>
          </c:marker>
          <c:dLbls>
            <c:dLbl>
              <c:idx val="0"/>
              <c:layout>
                <c:manualLayout>
                  <c:x val="-4.3410852713178294E-2"/>
                  <c:y val="-1.0165182887915118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09-E2E0-468A-B615-A1D81C27D736}"/>
                </c:ext>
              </c:extLst>
            </c:dLbl>
            <c:dLbl>
              <c:idx val="1"/>
              <c:layout>
                <c:manualLayout>
                  <c:x val="2.0671834625322618E-3"/>
                  <c:y val="-3.3883942959716442E-3"/>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0A-E2E0-468A-B615-A1D81C27D736}"/>
                </c:ext>
              </c:extLst>
            </c:dLbl>
            <c:dLbl>
              <c:idx val="2"/>
              <c:layout>
                <c:manualLayout>
                  <c:x val="-1.6537467700258397E-2"/>
                  <c:y val="1.3553577183886762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0B-E2E0-468A-B615-A1D81C27D736}"/>
                </c:ext>
              </c:extLst>
            </c:dLbl>
            <c:dLbl>
              <c:idx val="3"/>
              <c:layout>
                <c:manualLayout>
                  <c:x val="-5.1679586563307491E-2"/>
                  <c:y val="-4.0660731551660473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0C-E2E0-468A-B615-A1D81C27D736}"/>
                </c:ext>
              </c:extLst>
            </c:dLbl>
            <c:dLbl>
              <c:idx val="4"/>
              <c:layout>
                <c:manualLayout>
                  <c:x val="-2.8940568475452271E-2"/>
                  <c:y val="-3.0495548663745355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0D-E2E0-468A-B615-A1D81C27D736}"/>
                </c:ext>
              </c:extLst>
            </c:dLbl>
            <c:dLbl>
              <c:idx val="5"/>
              <c:layout>
                <c:manualLayout>
                  <c:x val="6.2015503875967474E-3"/>
                  <c:y val="-4.0660731551660473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0E-E2E0-468A-B615-A1D81C27D736}"/>
                </c:ext>
              </c:extLst>
            </c:dLbl>
            <c:dLbl>
              <c:idx val="6"/>
              <c:layout>
                <c:manualLayout>
                  <c:x val="-4.9612403100775193E-2"/>
                  <c:y val="-2.3718760071801959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0F-E2E0-468A-B615-A1D81C27D736}"/>
                </c:ext>
              </c:extLst>
            </c:dLbl>
            <c:spPr>
              <a:noFill/>
            </c:spP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0"/>
              </c:ext>
            </c:extLst>
          </c:dLbls>
          <c:cat>
            <c:strRef>
              <c:f>'[Chart in Microsoft Word (00000003).xlsx]PP izvrsne stope RSD'!$D$3:$O$3</c:f>
              <c:strCache>
                <c:ptCount val="12"/>
                <c:pt idx="0">
                  <c:v>2011</c:v>
                </c:pt>
                <c:pt idx="1">
                  <c:v>2012</c:v>
                </c:pt>
                <c:pt idx="2">
                  <c:v>2013</c:v>
                </c:pt>
                <c:pt idx="3">
                  <c:v>2014</c:v>
                </c:pt>
                <c:pt idx="4">
                  <c:v>2015</c:v>
                </c:pt>
                <c:pt idx="5">
                  <c:v>2016</c:v>
                </c:pt>
                <c:pt idx="6">
                  <c:v>2017</c:v>
                </c:pt>
                <c:pt idx="7">
                  <c:v>2018</c:v>
                </c:pt>
                <c:pt idx="8">
                  <c:v>2019</c:v>
                </c:pt>
                <c:pt idx="9">
                  <c:v>2020</c:v>
                </c:pt>
                <c:pt idx="10">
                  <c:v>2021</c:v>
                </c:pt>
                <c:pt idx="11">
                  <c:v>III/2022</c:v>
                </c:pt>
              </c:strCache>
            </c:strRef>
          </c:cat>
          <c:val>
            <c:numRef>
              <c:f>'[Chart in Microsoft Word (00000003).xlsx]PP izvrsne stope RSD'!$D$5:$O$5</c:f>
              <c:numCache>
                <c:formatCode>0.00%</c:formatCode>
                <c:ptCount val="12"/>
                <c:pt idx="0">
                  <c:v>0.12444535153264406</c:v>
                </c:pt>
                <c:pt idx="1">
                  <c:v>0.1195</c:v>
                </c:pt>
                <c:pt idx="2">
                  <c:v>9.3799999999999994E-2</c:v>
                </c:pt>
                <c:pt idx="3">
                  <c:v>7.5380391763085336E-2</c:v>
                </c:pt>
                <c:pt idx="4">
                  <c:v>4.4200000000000003E-2</c:v>
                </c:pt>
                <c:pt idx="5">
                  <c:v>3.134348238444587E-2</c:v>
                </c:pt>
                <c:pt idx="6">
                  <c:v>2.64E-2</c:v>
                </c:pt>
              </c:numCache>
            </c:numRef>
          </c:val>
          <c:smooth val="0"/>
          <c:extLst xmlns:c15="http://schemas.microsoft.com/office/drawing/2012/chart">
            <c:ext xmlns:c16="http://schemas.microsoft.com/office/drawing/2014/chart" uri="{C3380CC4-5D6E-409C-BE32-E72D297353CC}">
              <c16:uniqueId val="{00000010-E2E0-468A-B615-A1D81C27D736}"/>
            </c:ext>
          </c:extLst>
        </c:ser>
        <c:ser>
          <c:idx val="2"/>
          <c:order val="2"/>
          <c:tx>
            <c:strRef>
              <c:f>'[Chart in Microsoft Word (00000003).xlsx]PP izvrsne stope RSD'!$C$6</c:f>
              <c:strCache>
                <c:ptCount val="1"/>
                <c:pt idx="0">
                  <c:v>53Н</c:v>
                </c:pt>
              </c:strCache>
            </c:strRef>
          </c:tx>
          <c:marker>
            <c:symbol val="square"/>
            <c:size val="3"/>
          </c:marker>
          <c:dLbls>
            <c:dLbl>
              <c:idx val="0"/>
              <c:layout>
                <c:manualLayout>
                  <c:x val="-3.7209302325581395E-2"/>
                  <c:y val="3.0495548663745355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11-E2E0-468A-B615-A1D81C27D736}"/>
                </c:ext>
              </c:extLst>
            </c:dLbl>
            <c:dLbl>
              <c:idx val="1"/>
              <c:layout>
                <c:manualLayout>
                  <c:x val="-4.3410852713178336E-2"/>
                  <c:y val="-3.7272337255688827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12-E2E0-468A-B615-A1D81C27D736}"/>
                </c:ext>
              </c:extLst>
            </c:dLbl>
            <c:dLbl>
              <c:idx val="2"/>
              <c:layout>
                <c:manualLayout>
                  <c:x val="-3.5142118863049097E-2"/>
                  <c:y val="-2.0330365775830299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13-E2E0-468A-B615-A1D81C27D736}"/>
                </c:ext>
              </c:extLst>
            </c:dLbl>
            <c:dLbl>
              <c:idx val="3"/>
              <c:layout>
                <c:manualLayout>
                  <c:x val="-4.7545219638242896E-2"/>
                  <c:y val="-3.3883942959717091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14-E2E0-468A-B615-A1D81C27D736}"/>
                </c:ext>
              </c:extLst>
            </c:dLbl>
            <c:dLbl>
              <c:idx val="4"/>
              <c:layout>
                <c:manualLayout>
                  <c:x val="-4.9612403100775269E-2"/>
                  <c:y val="-3.3883942959717028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15-E2E0-468A-B615-A1D81C27D736}"/>
                </c:ext>
              </c:extLst>
            </c:dLbl>
            <c:dLbl>
              <c:idx val="5"/>
              <c:layout>
                <c:manualLayout>
                  <c:x val="-5.5813953488372092E-2"/>
                  <c:y val="-2.7107154367773587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16-E2E0-468A-B615-A1D81C27D736}"/>
                </c:ext>
              </c:extLst>
            </c:dLbl>
            <c:dLbl>
              <c:idx val="6"/>
              <c:layout>
                <c:manualLayout>
                  <c:x val="-3.3074935400516793E-2"/>
                  <c:y val="-2.3718760071801941E-2"/>
                </c:manualLayout>
              </c:layout>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17-E2E0-468A-B615-A1D81C27D736}"/>
                </c:ext>
              </c:extLst>
            </c:dLbl>
            <c:spPr>
              <a:noFill/>
              <a:ln>
                <a:noFill/>
              </a:ln>
              <a:effectLst/>
            </c:spP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0"/>
              </c:ext>
            </c:extLst>
          </c:dLbls>
          <c:cat>
            <c:strRef>
              <c:f>'[Chart in Microsoft Word (00000003).xlsx]PP izvrsne stope RSD'!$D$3:$O$3</c:f>
              <c:strCache>
                <c:ptCount val="12"/>
                <c:pt idx="0">
                  <c:v>2011</c:v>
                </c:pt>
                <c:pt idx="1">
                  <c:v>2012</c:v>
                </c:pt>
                <c:pt idx="2">
                  <c:v>2013</c:v>
                </c:pt>
                <c:pt idx="3">
                  <c:v>2014</c:v>
                </c:pt>
                <c:pt idx="4">
                  <c:v>2015</c:v>
                </c:pt>
                <c:pt idx="5">
                  <c:v>2016</c:v>
                </c:pt>
                <c:pt idx="6">
                  <c:v>2017</c:v>
                </c:pt>
                <c:pt idx="7">
                  <c:v>2018</c:v>
                </c:pt>
                <c:pt idx="8">
                  <c:v>2019</c:v>
                </c:pt>
                <c:pt idx="9">
                  <c:v>2020</c:v>
                </c:pt>
                <c:pt idx="10">
                  <c:v>2021</c:v>
                </c:pt>
                <c:pt idx="11">
                  <c:v>III/2022</c:v>
                </c:pt>
              </c:strCache>
            </c:strRef>
          </c:cat>
          <c:val>
            <c:numRef>
              <c:f>'[Chart in Microsoft Word (00000003).xlsx]PP izvrsne stope RSD'!$D$6:$O$6</c:f>
              <c:numCache>
                <c:formatCode>0.00%</c:formatCode>
                <c:ptCount val="12"/>
                <c:pt idx="0">
                  <c:v>0.12766972692180226</c:v>
                </c:pt>
                <c:pt idx="1">
                  <c:v>0.13039999999999999</c:v>
                </c:pt>
                <c:pt idx="2">
                  <c:v>0.10100000000000001</c:v>
                </c:pt>
                <c:pt idx="3">
                  <c:v>8.4879368443006004E-2</c:v>
                </c:pt>
                <c:pt idx="4">
                  <c:v>5.9400000000000001E-2</c:v>
                </c:pt>
                <c:pt idx="5">
                  <c:v>3.9337242154189392E-2</c:v>
                </c:pt>
                <c:pt idx="6">
                  <c:v>3.4799999999999998E-2</c:v>
                </c:pt>
                <c:pt idx="9">
                  <c:v>1.7999999999999999E-2</c:v>
                </c:pt>
              </c:numCache>
            </c:numRef>
          </c:val>
          <c:smooth val="0"/>
          <c:extLst xmlns:c15="http://schemas.microsoft.com/office/drawing/2012/chart">
            <c:ext xmlns:c16="http://schemas.microsoft.com/office/drawing/2014/chart" uri="{C3380CC4-5D6E-409C-BE32-E72D297353CC}">
              <c16:uniqueId val="{00000018-E2E0-468A-B615-A1D81C27D736}"/>
            </c:ext>
          </c:extLst>
        </c:ser>
        <c:ser>
          <c:idx val="3"/>
          <c:order val="3"/>
          <c:tx>
            <c:strRef>
              <c:f>'[Chart in Microsoft Word (00000003).xlsx]PP izvrsne stope RSD'!$C$7</c:f>
              <c:strCache>
                <c:ptCount val="1"/>
                <c:pt idx="0">
                  <c:v>2Г</c:v>
                </c:pt>
              </c:strCache>
            </c:strRef>
          </c:tx>
          <c:marker>
            <c:symbol val="square"/>
            <c:size val="3"/>
          </c:marker>
          <c:dLbls>
            <c:dLbl>
              <c:idx val="0"/>
              <c:layout>
                <c:manualLayout>
                  <c:x val="-1.6537467700258397E-2"/>
                  <c:y val="2.37187600718018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E2E0-468A-B615-A1D81C27D736}"/>
                </c:ext>
              </c:extLst>
            </c:dLbl>
            <c:dLbl>
              <c:idx val="2"/>
              <c:layout>
                <c:manualLayout>
                  <c:x val="-8.2687338501291983E-3"/>
                  <c:y val="1.01651828879151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E2E0-468A-B615-A1D81C27D736}"/>
                </c:ext>
              </c:extLst>
            </c:dLbl>
            <c:dLbl>
              <c:idx val="3"/>
              <c:layout>
                <c:manualLayout>
                  <c:x val="-1.8604651162790697E-2"/>
                  <c:y val="1.35535771838868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E2E0-468A-B615-A1D81C27D736}"/>
                </c:ext>
              </c:extLst>
            </c:dLbl>
            <c:dLbl>
              <c:idx val="4"/>
              <c:layout>
                <c:manualLayout>
                  <c:x val="2.6736020027185999E-2"/>
                  <c:y val="-5.240177192710606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E2E0-468A-B615-A1D81C27D736}"/>
                </c:ext>
              </c:extLst>
            </c:dLbl>
            <c:dLbl>
              <c:idx val="5"/>
              <c:delete val="1"/>
              <c:extLst>
                <c:ext xmlns:c15="http://schemas.microsoft.com/office/drawing/2012/chart" uri="{CE6537A1-D6FC-4f65-9D91-7224C49458BB}"/>
                <c:ext xmlns:c16="http://schemas.microsoft.com/office/drawing/2014/chart" uri="{C3380CC4-5D6E-409C-BE32-E72D297353CC}">
                  <c16:uniqueId val="{0000001D-E2E0-468A-B615-A1D81C27D736}"/>
                </c:ext>
              </c:extLst>
            </c:dLbl>
            <c:dLbl>
              <c:idx val="6"/>
              <c:layout>
                <c:manualLayout>
                  <c:x val="0"/>
                  <c:y val="-1.35535771838868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E2E0-468A-B615-A1D81C27D73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 in Microsoft Word (00000003).xlsx]PP izvrsne stope RSD'!$D$3:$O$3</c:f>
              <c:strCache>
                <c:ptCount val="12"/>
                <c:pt idx="0">
                  <c:v>2011</c:v>
                </c:pt>
                <c:pt idx="1">
                  <c:v>2012</c:v>
                </c:pt>
                <c:pt idx="2">
                  <c:v>2013</c:v>
                </c:pt>
                <c:pt idx="3">
                  <c:v>2014</c:v>
                </c:pt>
                <c:pt idx="4">
                  <c:v>2015</c:v>
                </c:pt>
                <c:pt idx="5">
                  <c:v>2016</c:v>
                </c:pt>
                <c:pt idx="6">
                  <c:v>2017</c:v>
                </c:pt>
                <c:pt idx="7">
                  <c:v>2018</c:v>
                </c:pt>
                <c:pt idx="8">
                  <c:v>2019</c:v>
                </c:pt>
                <c:pt idx="9">
                  <c:v>2020</c:v>
                </c:pt>
                <c:pt idx="10">
                  <c:v>2021</c:v>
                </c:pt>
                <c:pt idx="11">
                  <c:v>III/2022</c:v>
                </c:pt>
              </c:strCache>
            </c:strRef>
          </c:cat>
          <c:val>
            <c:numRef>
              <c:f>'[Chart in Microsoft Word (00000003).xlsx]PP izvrsne stope RSD'!$D$7:$O$7</c:f>
              <c:numCache>
                <c:formatCode>0.00%</c:formatCode>
                <c:ptCount val="12"/>
                <c:pt idx="0">
                  <c:v>0.13060001470632501</c:v>
                </c:pt>
                <c:pt idx="1">
                  <c:v>0.14124999999999999</c:v>
                </c:pt>
                <c:pt idx="2">
                  <c:v>0.1071</c:v>
                </c:pt>
                <c:pt idx="3">
                  <c:v>9.2075564136107582E-2</c:v>
                </c:pt>
                <c:pt idx="4">
                  <c:v>7.0599999999999996E-2</c:v>
                </c:pt>
                <c:pt idx="5">
                  <c:v>4.7811460067649983E-2</c:v>
                </c:pt>
                <c:pt idx="6">
                  <c:v>4.5571173144751329E-2</c:v>
                </c:pt>
                <c:pt idx="9">
                  <c:v>2.0199999999999999E-2</c:v>
                </c:pt>
                <c:pt idx="10">
                  <c:v>1.6E-2</c:v>
                </c:pt>
                <c:pt idx="11">
                  <c:v>2.7799999999999998E-2</c:v>
                </c:pt>
              </c:numCache>
            </c:numRef>
          </c:val>
          <c:smooth val="0"/>
          <c:extLst>
            <c:ext xmlns:c16="http://schemas.microsoft.com/office/drawing/2014/chart" uri="{C3380CC4-5D6E-409C-BE32-E72D297353CC}">
              <c16:uniqueId val="{0000001F-E2E0-468A-B615-A1D81C27D736}"/>
            </c:ext>
          </c:extLst>
        </c:ser>
        <c:ser>
          <c:idx val="4"/>
          <c:order val="4"/>
          <c:tx>
            <c:strRef>
              <c:f>'[Chart in Microsoft Word (00000003).xlsx]PP izvrsne stope RSD'!$C$8</c:f>
              <c:strCache>
                <c:ptCount val="1"/>
                <c:pt idx="0">
                  <c:v>3Г</c:v>
                </c:pt>
              </c:strCache>
            </c:strRef>
          </c:tx>
          <c:marker>
            <c:symbol val="square"/>
            <c:size val="3"/>
          </c:marker>
          <c:dLbls>
            <c:dLbl>
              <c:idx val="0"/>
              <c:layout>
                <c:manualLayout>
                  <c:x val="-3.7209302325581395E-2"/>
                  <c:y val="2.71071543677735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E2E0-468A-B615-A1D81C27D736}"/>
                </c:ext>
              </c:extLst>
            </c:dLbl>
            <c:dLbl>
              <c:idx val="4"/>
              <c:layout>
                <c:manualLayout>
                  <c:x val="-1.8604651162790774E-2"/>
                  <c:y val="-2.03303657758302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E2E0-468A-B615-A1D81C27D736}"/>
                </c:ext>
              </c:extLst>
            </c:dLbl>
            <c:dLbl>
              <c:idx val="5"/>
              <c:layout>
                <c:manualLayout>
                  <c:x val="-2.2739018087855296E-2"/>
                  <c:y val="-2.7107154367773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E2E0-468A-B615-A1D81C27D736}"/>
                </c:ext>
              </c:extLst>
            </c:dLbl>
            <c:dLbl>
              <c:idx val="6"/>
              <c:delete val="1"/>
              <c:extLst>
                <c:ext xmlns:c15="http://schemas.microsoft.com/office/drawing/2012/chart" uri="{CE6537A1-D6FC-4f65-9D91-7224C49458BB}"/>
                <c:ext xmlns:c16="http://schemas.microsoft.com/office/drawing/2014/chart" uri="{C3380CC4-5D6E-409C-BE32-E72D297353CC}">
                  <c16:uniqueId val="{00000023-E2E0-468A-B615-A1D81C27D736}"/>
                </c:ext>
              </c:extLst>
            </c:dLbl>
            <c:dLbl>
              <c:idx val="7"/>
              <c:layout>
                <c:manualLayout>
                  <c:x val="-1.5159170271874968E-16"/>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E2E0-468A-B615-A1D81C27D73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 in Microsoft Word (00000003).xlsx]PP izvrsne stope RSD'!$D$3:$O$3</c:f>
              <c:strCache>
                <c:ptCount val="12"/>
                <c:pt idx="0">
                  <c:v>2011</c:v>
                </c:pt>
                <c:pt idx="1">
                  <c:v>2012</c:v>
                </c:pt>
                <c:pt idx="2">
                  <c:v>2013</c:v>
                </c:pt>
                <c:pt idx="3">
                  <c:v>2014</c:v>
                </c:pt>
                <c:pt idx="4">
                  <c:v>2015</c:v>
                </c:pt>
                <c:pt idx="5">
                  <c:v>2016</c:v>
                </c:pt>
                <c:pt idx="6">
                  <c:v>2017</c:v>
                </c:pt>
                <c:pt idx="7">
                  <c:v>2018</c:v>
                </c:pt>
                <c:pt idx="8">
                  <c:v>2019</c:v>
                </c:pt>
                <c:pt idx="9">
                  <c:v>2020</c:v>
                </c:pt>
                <c:pt idx="10">
                  <c:v>2021</c:v>
                </c:pt>
                <c:pt idx="11">
                  <c:v>III/2022</c:v>
                </c:pt>
              </c:strCache>
            </c:strRef>
          </c:cat>
          <c:val>
            <c:numRef>
              <c:f>'[Chart in Microsoft Word (00000003).xlsx]PP izvrsne stope RSD'!$D$8:$O$8</c:f>
              <c:numCache>
                <c:formatCode>0.00%</c:formatCode>
                <c:ptCount val="12"/>
                <c:pt idx="0">
                  <c:v>0.14379699215737504</c:v>
                </c:pt>
                <c:pt idx="1">
                  <c:v>0.15210000000000001</c:v>
                </c:pt>
                <c:pt idx="2">
                  <c:v>0.11020000000000001</c:v>
                </c:pt>
                <c:pt idx="3">
                  <c:v>0.10155991831303504</c:v>
                </c:pt>
                <c:pt idx="4">
                  <c:v>8.6199999999999999E-2</c:v>
                </c:pt>
                <c:pt idx="5">
                  <c:v>5.3818376487193224E-2</c:v>
                </c:pt>
                <c:pt idx="6">
                  <c:v>4.8338312800935847E-2</c:v>
                </c:pt>
                <c:pt idx="7">
                  <c:v>3.8278184992579532E-2</c:v>
                </c:pt>
                <c:pt idx="8">
                  <c:v>3.73E-2</c:v>
                </c:pt>
                <c:pt idx="9">
                  <c:v>2.1499999999999998E-2</c:v>
                </c:pt>
                <c:pt idx="10">
                  <c:v>1.9E-2</c:v>
                </c:pt>
              </c:numCache>
            </c:numRef>
          </c:val>
          <c:smooth val="0"/>
          <c:extLst>
            <c:ext xmlns:c16="http://schemas.microsoft.com/office/drawing/2014/chart" uri="{C3380CC4-5D6E-409C-BE32-E72D297353CC}">
              <c16:uniqueId val="{00000025-E2E0-468A-B615-A1D81C27D736}"/>
            </c:ext>
          </c:extLst>
        </c:ser>
        <c:ser>
          <c:idx val="5"/>
          <c:order val="5"/>
          <c:tx>
            <c:strRef>
              <c:f>'[Chart in Microsoft Word (00000003).xlsx]PP izvrsne stope RSD'!$C$9</c:f>
              <c:strCache>
                <c:ptCount val="1"/>
                <c:pt idx="0">
                  <c:v>5Г</c:v>
                </c:pt>
              </c:strCache>
            </c:strRef>
          </c:tx>
          <c:marker>
            <c:symbol val="square"/>
            <c:size val="3"/>
          </c:marker>
          <c:dLbls>
            <c:dLbl>
              <c:idx val="0"/>
              <c:layout>
                <c:manualLayout>
                  <c:x val="-2.0671834625323016E-2"/>
                  <c:y val="2.71071543677735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E2E0-468A-B615-A1D81C27D736}"/>
                </c:ext>
              </c:extLst>
            </c:dLbl>
            <c:dLbl>
              <c:idx val="1"/>
              <c:layout>
                <c:manualLayout>
                  <c:x val="-5.374677002583983E-2"/>
                  <c:y val="-2.7107154367773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E2E0-468A-B615-A1D81C27D736}"/>
                </c:ext>
              </c:extLst>
            </c:dLbl>
            <c:dLbl>
              <c:idx val="2"/>
              <c:layout>
                <c:manualLayout>
                  <c:x val="-2.8940568475452271E-2"/>
                  <c:y val="-3.38839429597170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E2E0-468A-B615-A1D81C27D736}"/>
                </c:ext>
              </c:extLst>
            </c:dLbl>
            <c:dLbl>
              <c:idx val="3"/>
              <c:layout>
                <c:manualLayout>
                  <c:x val="-2.8940568475452195E-2"/>
                  <c:y val="-4.06607315516604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E2E0-468A-B615-A1D81C27D736}"/>
                </c:ext>
              </c:extLst>
            </c:dLbl>
            <c:dLbl>
              <c:idx val="4"/>
              <c:layout>
                <c:manualLayout>
                  <c:x val="-2.4806201550387597E-2"/>
                  <c:y val="3.38839429597170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E2E0-468A-B615-A1D81C27D736}"/>
                </c:ext>
              </c:extLst>
            </c:dLbl>
            <c:dLbl>
              <c:idx val="5"/>
              <c:layout>
                <c:manualLayout>
                  <c:x val="-3.1007751937984572E-2"/>
                  <c:y val="3.38839429597170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E2E0-468A-B615-A1D81C27D736}"/>
                </c:ext>
              </c:extLst>
            </c:dLbl>
            <c:dLbl>
              <c:idx val="6"/>
              <c:layout>
                <c:manualLayout>
                  <c:x val="-3.3074935400516793E-2"/>
                  <c:y val="3.7272337255688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E2E0-468A-B615-A1D81C27D73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 in Microsoft Word (00000003).xlsx]PP izvrsne stope RSD'!$D$3:$O$3</c:f>
              <c:strCache>
                <c:ptCount val="12"/>
                <c:pt idx="0">
                  <c:v>2011</c:v>
                </c:pt>
                <c:pt idx="1">
                  <c:v>2012</c:v>
                </c:pt>
                <c:pt idx="2">
                  <c:v>2013</c:v>
                </c:pt>
                <c:pt idx="3">
                  <c:v>2014</c:v>
                </c:pt>
                <c:pt idx="4">
                  <c:v>2015</c:v>
                </c:pt>
                <c:pt idx="5">
                  <c:v>2016</c:v>
                </c:pt>
                <c:pt idx="6">
                  <c:v>2017</c:v>
                </c:pt>
                <c:pt idx="7">
                  <c:v>2018</c:v>
                </c:pt>
                <c:pt idx="8">
                  <c:v>2019</c:v>
                </c:pt>
                <c:pt idx="9">
                  <c:v>2020</c:v>
                </c:pt>
                <c:pt idx="10">
                  <c:v>2021</c:v>
                </c:pt>
                <c:pt idx="11">
                  <c:v>III/2022</c:v>
                </c:pt>
              </c:strCache>
            </c:strRef>
          </c:cat>
          <c:val>
            <c:numRef>
              <c:f>'[Chart in Microsoft Word (00000003).xlsx]PP izvrsne stope RSD'!$D$9:$O$9</c:f>
              <c:numCache>
                <c:formatCode>0.00%</c:formatCode>
                <c:ptCount val="12"/>
                <c:pt idx="1">
                  <c:v>0.1474</c:v>
                </c:pt>
                <c:pt idx="2">
                  <c:v>0.1215</c:v>
                </c:pt>
                <c:pt idx="3">
                  <c:v>0.10931231263607823</c:v>
                </c:pt>
                <c:pt idx="4">
                  <c:v>6.5000000000000002E-2</c:v>
                </c:pt>
                <c:pt idx="5">
                  <c:v>5.6809188243596612E-2</c:v>
                </c:pt>
                <c:pt idx="6">
                  <c:v>5.116768326523416E-2</c:v>
                </c:pt>
                <c:pt idx="7">
                  <c:v>4.1742905834370771E-2</c:v>
                </c:pt>
                <c:pt idx="8">
                  <c:v>0.04</c:v>
                </c:pt>
                <c:pt idx="9">
                  <c:v>2.6100000000000002E-2</c:v>
                </c:pt>
                <c:pt idx="10">
                  <c:v>2.189E-2</c:v>
                </c:pt>
              </c:numCache>
            </c:numRef>
          </c:val>
          <c:smooth val="0"/>
          <c:extLst>
            <c:ext xmlns:c16="http://schemas.microsoft.com/office/drawing/2014/chart" uri="{C3380CC4-5D6E-409C-BE32-E72D297353CC}">
              <c16:uniqueId val="{0000002D-E2E0-468A-B615-A1D81C27D736}"/>
            </c:ext>
          </c:extLst>
        </c:ser>
        <c:ser>
          <c:idx val="6"/>
          <c:order val="6"/>
          <c:tx>
            <c:strRef>
              <c:f>'[Chart in Microsoft Word (00000003).xlsx]PP izvrsne stope RSD'!$C$10</c:f>
              <c:strCache>
                <c:ptCount val="1"/>
                <c:pt idx="0">
                  <c:v>7Г</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'[Chart in Microsoft Word (00000003).xlsx]PP izvrsne stope RSD'!$D$3:$O$3</c:f>
              <c:strCache>
                <c:ptCount val="12"/>
                <c:pt idx="0">
                  <c:v>2011</c:v>
                </c:pt>
                <c:pt idx="1">
                  <c:v>2012</c:v>
                </c:pt>
                <c:pt idx="2">
                  <c:v>2013</c:v>
                </c:pt>
                <c:pt idx="3">
                  <c:v>2014</c:v>
                </c:pt>
                <c:pt idx="4">
                  <c:v>2015</c:v>
                </c:pt>
                <c:pt idx="5">
                  <c:v>2016</c:v>
                </c:pt>
                <c:pt idx="6">
                  <c:v>2017</c:v>
                </c:pt>
                <c:pt idx="7">
                  <c:v>2018</c:v>
                </c:pt>
                <c:pt idx="8">
                  <c:v>2019</c:v>
                </c:pt>
                <c:pt idx="9">
                  <c:v>2020</c:v>
                </c:pt>
                <c:pt idx="10">
                  <c:v>2021</c:v>
                </c:pt>
                <c:pt idx="11">
                  <c:v>III/2022</c:v>
                </c:pt>
              </c:strCache>
            </c:strRef>
          </c:cat>
          <c:val>
            <c:numRef>
              <c:f>'[Chart in Microsoft Word (00000003).xlsx]PP izvrsne stope RSD'!$D$10:$O$10</c:f>
              <c:numCache>
                <c:formatCode>General</c:formatCode>
                <c:ptCount val="12"/>
                <c:pt idx="2" formatCode="0.00%">
                  <c:v>0.1249</c:v>
                </c:pt>
                <c:pt idx="3" formatCode="0.00%">
                  <c:v>0.11987205744538962</c:v>
                </c:pt>
                <c:pt idx="4" formatCode="0.00%">
                  <c:v>0.11990000000000001</c:v>
                </c:pt>
                <c:pt idx="5" formatCode="0.00%">
                  <c:v>5.8299999999999998E-2</c:v>
                </c:pt>
                <c:pt idx="6" formatCode="0.00%">
                  <c:v>5.3997053729532465E-2</c:v>
                </c:pt>
                <c:pt idx="7" formatCode="0.00%">
                  <c:v>0.05</c:v>
                </c:pt>
                <c:pt idx="8" formatCode="0.00%">
                  <c:v>4.5658703012126066E-2</c:v>
                </c:pt>
                <c:pt idx="10" formatCode="0.00%">
                  <c:v>2.4500000000000001E-2</c:v>
                </c:pt>
              </c:numCache>
            </c:numRef>
          </c:val>
          <c:smooth val="0"/>
          <c:extLst>
            <c:ext xmlns:c16="http://schemas.microsoft.com/office/drawing/2014/chart" uri="{C3380CC4-5D6E-409C-BE32-E72D297353CC}">
              <c16:uniqueId val="{0000002E-E2E0-468A-B615-A1D81C27D736}"/>
            </c:ext>
          </c:extLst>
        </c:ser>
        <c:ser>
          <c:idx val="7"/>
          <c:order val="7"/>
          <c:tx>
            <c:strRef>
              <c:f>'[Chart in Microsoft Word (00000003).xlsx]PP izvrsne stope RSD'!$C$11</c:f>
              <c:strCache>
                <c:ptCount val="1"/>
                <c:pt idx="0">
                  <c:v>10Г</c:v>
                </c:pt>
              </c:strCache>
            </c:strRef>
          </c:tx>
          <c:cat>
            <c:strRef>
              <c:f>'[Chart in Microsoft Word (00000003).xlsx]PP izvrsne stope RSD'!$D$3:$O$3</c:f>
              <c:strCache>
                <c:ptCount val="12"/>
                <c:pt idx="0">
                  <c:v>2011</c:v>
                </c:pt>
                <c:pt idx="1">
                  <c:v>2012</c:v>
                </c:pt>
                <c:pt idx="2">
                  <c:v>2013</c:v>
                </c:pt>
                <c:pt idx="3">
                  <c:v>2014</c:v>
                </c:pt>
                <c:pt idx="4">
                  <c:v>2015</c:v>
                </c:pt>
                <c:pt idx="5">
                  <c:v>2016</c:v>
                </c:pt>
                <c:pt idx="6">
                  <c:v>2017</c:v>
                </c:pt>
                <c:pt idx="7">
                  <c:v>2018</c:v>
                </c:pt>
                <c:pt idx="8">
                  <c:v>2019</c:v>
                </c:pt>
                <c:pt idx="9">
                  <c:v>2020</c:v>
                </c:pt>
                <c:pt idx="10">
                  <c:v>2021</c:v>
                </c:pt>
                <c:pt idx="11">
                  <c:v>III/2022</c:v>
                </c:pt>
              </c:strCache>
            </c:strRef>
          </c:cat>
          <c:val>
            <c:numRef>
              <c:f>'[Chart in Microsoft Word (00000003).xlsx]PP izvrsne stope RSD'!$D$11:$O$11</c:f>
              <c:numCache>
                <c:formatCode>General</c:formatCode>
                <c:ptCount val="12"/>
                <c:pt idx="3" formatCode="0.00%">
                  <c:v>0.12989999999999999</c:v>
                </c:pt>
                <c:pt idx="7" formatCode="0.00%">
                  <c:v>5.1847071771341881E-2</c:v>
                </c:pt>
                <c:pt idx="10" formatCode="0.00%">
                  <c:v>2.5000000000000001E-2</c:v>
                </c:pt>
              </c:numCache>
            </c:numRef>
          </c:val>
          <c:smooth val="0"/>
          <c:extLst>
            <c:ext xmlns:c16="http://schemas.microsoft.com/office/drawing/2014/chart" uri="{C3380CC4-5D6E-409C-BE32-E72D297353CC}">
              <c16:uniqueId val="{0000002F-E2E0-468A-B615-A1D81C27D736}"/>
            </c:ext>
          </c:extLst>
        </c:ser>
        <c:ser>
          <c:idx val="8"/>
          <c:order val="8"/>
          <c:tx>
            <c:strRef>
              <c:f>'[Chart in Microsoft Word (00000003).xlsx]PP izvrsne stope RSD'!$C$12</c:f>
              <c:strCache>
                <c:ptCount val="1"/>
                <c:pt idx="0">
                  <c:v>12Г</c:v>
                </c:pt>
              </c:strCache>
            </c:strRef>
          </c:tx>
          <c:cat>
            <c:strRef>
              <c:f>'[Chart in Microsoft Word (00000003).xlsx]PP izvrsne stope RSD'!$D$3:$O$3</c:f>
              <c:strCache>
                <c:ptCount val="12"/>
                <c:pt idx="0">
                  <c:v>2011</c:v>
                </c:pt>
                <c:pt idx="1">
                  <c:v>2012</c:v>
                </c:pt>
                <c:pt idx="2">
                  <c:v>2013</c:v>
                </c:pt>
                <c:pt idx="3">
                  <c:v>2014</c:v>
                </c:pt>
                <c:pt idx="4">
                  <c:v>2015</c:v>
                </c:pt>
                <c:pt idx="5">
                  <c:v>2016</c:v>
                </c:pt>
                <c:pt idx="6">
                  <c:v>2017</c:v>
                </c:pt>
                <c:pt idx="7">
                  <c:v>2018</c:v>
                </c:pt>
                <c:pt idx="8">
                  <c:v>2019</c:v>
                </c:pt>
                <c:pt idx="9">
                  <c:v>2020</c:v>
                </c:pt>
                <c:pt idx="10">
                  <c:v>2021</c:v>
                </c:pt>
                <c:pt idx="11">
                  <c:v>III/2022</c:v>
                </c:pt>
              </c:strCache>
            </c:strRef>
          </c:cat>
          <c:val>
            <c:numRef>
              <c:f>'[Chart in Microsoft Word (00000003).xlsx]PP izvrsne stope RSD'!$D$12:$O$12</c:f>
              <c:numCache>
                <c:formatCode>General</c:formatCode>
                <c:ptCount val="12"/>
                <c:pt idx="9" formatCode="0.00%">
                  <c:v>3.8300000000000001E-2</c:v>
                </c:pt>
                <c:pt idx="10" formatCode="0.00%">
                  <c:v>3.4270000000000002E-2</c:v>
                </c:pt>
              </c:numCache>
            </c:numRef>
          </c:val>
          <c:smooth val="0"/>
          <c:extLst>
            <c:ext xmlns:c16="http://schemas.microsoft.com/office/drawing/2014/chart" uri="{C3380CC4-5D6E-409C-BE32-E72D297353CC}">
              <c16:uniqueId val="{00000030-E2E0-468A-B615-A1D81C27D736}"/>
            </c:ext>
          </c:extLst>
        </c:ser>
        <c:dLbls>
          <c:showLegendKey val="0"/>
          <c:showVal val="0"/>
          <c:showCatName val="0"/>
          <c:showSerName val="0"/>
          <c:showPercent val="0"/>
          <c:showBubbleSize val="0"/>
        </c:dLbls>
        <c:marker val="1"/>
        <c:smooth val="0"/>
        <c:axId val="194983760"/>
        <c:axId val="194984152"/>
        <c:extLst/>
      </c:lineChart>
      <c:catAx>
        <c:axId val="194983760"/>
        <c:scaling>
          <c:orientation val="minMax"/>
        </c:scaling>
        <c:delete val="0"/>
        <c:axPos val="b"/>
        <c:numFmt formatCode="General" sourceLinked="0"/>
        <c:majorTickMark val="out"/>
        <c:minorTickMark val="none"/>
        <c:tickLblPos val="nextTo"/>
        <c:crossAx val="194984152"/>
        <c:crosses val="autoZero"/>
        <c:auto val="1"/>
        <c:lblAlgn val="ctr"/>
        <c:lblOffset val="100"/>
        <c:noMultiLvlLbl val="0"/>
      </c:catAx>
      <c:valAx>
        <c:axId val="194984152"/>
        <c:scaling>
          <c:orientation val="minMax"/>
        </c:scaling>
        <c:delete val="0"/>
        <c:axPos val="l"/>
        <c:majorGridlines>
          <c:spPr>
            <a:ln>
              <a:noFill/>
            </a:ln>
          </c:spPr>
        </c:majorGridlines>
        <c:numFmt formatCode="0.0%" sourceLinked="0"/>
        <c:majorTickMark val="out"/>
        <c:minorTickMark val="none"/>
        <c:tickLblPos val="nextTo"/>
        <c:crossAx val="194983760"/>
        <c:crosses val="autoZero"/>
        <c:crossBetween val="between"/>
      </c:valAx>
      <c:spPr>
        <a:noFill/>
        <a:ln>
          <a:noFill/>
        </a:ln>
      </c:spPr>
    </c:plotArea>
    <c:legend>
      <c:legendPos val="r"/>
      <c:layout>
        <c:manualLayout>
          <c:xMode val="edge"/>
          <c:yMode val="edge"/>
          <c:x val="0.12791643344010101"/>
          <c:y val="0.86604941423356396"/>
          <c:w val="0.81298192271515368"/>
          <c:h val="0.11476593059021969"/>
        </c:manualLayout>
      </c:layout>
      <c:overlay val="0"/>
    </c:legend>
    <c:plotVisOnly val="1"/>
    <c:dispBlanksAs val="gap"/>
    <c:showDLblsOverMax val="0"/>
  </c:chart>
  <c:spPr>
    <a:noFill/>
    <a:ln>
      <a:noFill/>
    </a:ln>
  </c:spPr>
  <c:txPr>
    <a:bodyPr/>
    <a:lstStyle/>
    <a:p>
      <a:pPr>
        <a:defRPr sz="600"/>
      </a:pPr>
      <a:endParaRPr lang="sr-Latn-RS"/>
    </a:p>
  </c:txPr>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4178217694941614E-2"/>
          <c:y val="3.2352955880514934E-2"/>
          <c:w val="0.80527834020747402"/>
          <c:h val="0.77369470584469624"/>
        </c:manualLayout>
      </c:layout>
      <c:lineChart>
        <c:grouping val="standard"/>
        <c:varyColors val="0"/>
        <c:ser>
          <c:idx val="2"/>
          <c:order val="0"/>
          <c:tx>
            <c:strRef>
              <c:f>'[Chart in Microsoft Word (00000003).xlsx]PP izvrsne stope EUR'!$C$4</c:f>
              <c:strCache>
                <c:ptCount val="1"/>
                <c:pt idx="0">
                  <c:v>53Н</c:v>
                </c:pt>
              </c:strCache>
            </c:strRef>
          </c:tx>
          <c:marker>
            <c:symbol val="square"/>
            <c:size val="3"/>
          </c:marker>
          <c:dLbls>
            <c:spPr>
              <a:noFill/>
              <a:ln>
                <a:noFill/>
              </a:ln>
              <a:effectLst/>
            </c:spPr>
            <c:dLblPos val="t"/>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ext>
            </c:extLst>
          </c:dLbls>
          <c:cat>
            <c:strRef>
              <c:f>'[Chart in Microsoft Word (00000003).xlsx]PP izvrsne stope EUR'!$D$3:$O$3</c:f>
              <c:strCache>
                <c:ptCount val="12"/>
                <c:pt idx="0">
                  <c:v>2011</c:v>
                </c:pt>
                <c:pt idx="1">
                  <c:v>2012</c:v>
                </c:pt>
                <c:pt idx="2">
                  <c:v>2013</c:v>
                </c:pt>
                <c:pt idx="3">
                  <c:v>2014</c:v>
                </c:pt>
                <c:pt idx="4">
                  <c:v>2015</c:v>
                </c:pt>
                <c:pt idx="5">
                  <c:v>2016</c:v>
                </c:pt>
                <c:pt idx="6">
                  <c:v>2017</c:v>
                </c:pt>
                <c:pt idx="7">
                  <c:v>2018</c:v>
                </c:pt>
                <c:pt idx="8">
                  <c:v>2019</c:v>
                </c:pt>
                <c:pt idx="9">
                  <c:v>2020</c:v>
                </c:pt>
                <c:pt idx="10">
                  <c:v>2021</c:v>
                </c:pt>
                <c:pt idx="11">
                  <c:v>III/2022</c:v>
                </c:pt>
              </c:strCache>
            </c:strRef>
          </c:cat>
          <c:val>
            <c:numRef>
              <c:f>'[Chart in Microsoft Word (00000003).xlsx]PP izvrsne stope EUR'!$D$4:$O$4</c:f>
              <c:numCache>
                <c:formatCode>0.00%</c:formatCode>
                <c:ptCount val="12"/>
                <c:pt idx="0">
                  <c:v>4.48E-2</c:v>
                </c:pt>
                <c:pt idx="1">
                  <c:v>0.06</c:v>
                </c:pt>
                <c:pt idx="2">
                  <c:v>3.5900000000000001E-2</c:v>
                </c:pt>
                <c:pt idx="3">
                  <c:v>3.0418185954225487E-2</c:v>
                </c:pt>
                <c:pt idx="4">
                  <c:v>1.83E-2</c:v>
                </c:pt>
                <c:pt idx="5">
                  <c:v>9.4417358622498043E-3</c:v>
                </c:pt>
                <c:pt idx="6">
                  <c:v>6.2635145185452766E-3</c:v>
                </c:pt>
                <c:pt idx="7">
                  <c:v>4.5989898989898994E-3</c:v>
                </c:pt>
              </c:numCache>
            </c:numRef>
          </c:val>
          <c:smooth val="0"/>
          <c:extLst xmlns:c15="http://schemas.microsoft.com/office/drawing/2012/chart">
            <c:ext xmlns:c16="http://schemas.microsoft.com/office/drawing/2014/chart" uri="{C3380CC4-5D6E-409C-BE32-E72D297353CC}">
              <c16:uniqueId val="{00000000-52BC-4304-B16F-674B3D49B0C7}"/>
            </c:ext>
          </c:extLst>
        </c:ser>
        <c:ser>
          <c:idx val="3"/>
          <c:order val="1"/>
          <c:tx>
            <c:strRef>
              <c:f>'[Chart in Microsoft Word (00000003).xlsx]PP izvrsne stope EUR'!$C$5</c:f>
              <c:strCache>
                <c:ptCount val="1"/>
                <c:pt idx="0">
                  <c:v>2Г</c:v>
                </c:pt>
              </c:strCache>
            </c:strRef>
          </c:tx>
          <c:marker>
            <c:symbol val="square"/>
            <c:size val="3"/>
          </c:marker>
          <c:dLbls>
            <c:spPr>
              <a:noFill/>
              <a:ln>
                <a:noFill/>
              </a:ln>
              <a:effectLst/>
            </c:spPr>
            <c:dLblPos val="t"/>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ext>
            </c:extLst>
          </c:dLbls>
          <c:cat>
            <c:strRef>
              <c:f>'[Chart in Microsoft Word (00000003).xlsx]PP izvrsne stope EUR'!$D$3:$O$3</c:f>
              <c:strCache>
                <c:ptCount val="12"/>
                <c:pt idx="0">
                  <c:v>2011</c:v>
                </c:pt>
                <c:pt idx="1">
                  <c:v>2012</c:v>
                </c:pt>
                <c:pt idx="2">
                  <c:v>2013</c:v>
                </c:pt>
                <c:pt idx="3">
                  <c:v>2014</c:v>
                </c:pt>
                <c:pt idx="4">
                  <c:v>2015</c:v>
                </c:pt>
                <c:pt idx="5">
                  <c:v>2016</c:v>
                </c:pt>
                <c:pt idx="6">
                  <c:v>2017</c:v>
                </c:pt>
                <c:pt idx="7">
                  <c:v>2018</c:v>
                </c:pt>
                <c:pt idx="8">
                  <c:v>2019</c:v>
                </c:pt>
                <c:pt idx="9">
                  <c:v>2020</c:v>
                </c:pt>
                <c:pt idx="10">
                  <c:v>2021</c:v>
                </c:pt>
                <c:pt idx="11">
                  <c:v>III/2022</c:v>
                </c:pt>
              </c:strCache>
            </c:strRef>
          </c:cat>
          <c:val>
            <c:numRef>
              <c:f>'[Chart in Microsoft Word (00000003).xlsx]PP izvrsne stope EUR'!$D$5:$O$5</c:f>
              <c:numCache>
                <c:formatCode>0.00%</c:formatCode>
                <c:ptCount val="12"/>
                <c:pt idx="1">
                  <c:v>5.67E-2</c:v>
                </c:pt>
                <c:pt idx="2">
                  <c:v>4.5199999999999997E-2</c:v>
                </c:pt>
                <c:pt idx="3">
                  <c:v>3.9104744879831482E-2</c:v>
                </c:pt>
                <c:pt idx="4">
                  <c:v>2.6700000000000002E-2</c:v>
                </c:pt>
                <c:pt idx="5">
                  <c:v>1.3644036041361296E-2</c:v>
                </c:pt>
                <c:pt idx="6">
                  <c:v>1.0360033899389172E-2</c:v>
                </c:pt>
                <c:pt idx="7">
                  <c:v>8.7888787429136698E-3</c:v>
                </c:pt>
                <c:pt idx="8">
                  <c:v>0.01</c:v>
                </c:pt>
                <c:pt idx="9">
                  <c:v>5.0000000000000001E-3</c:v>
                </c:pt>
                <c:pt idx="11">
                  <c:v>7.7999999999999996E-3</c:v>
                </c:pt>
              </c:numCache>
            </c:numRef>
          </c:val>
          <c:smooth val="0"/>
          <c:extLst xmlns:c15="http://schemas.microsoft.com/office/drawing/2012/chart">
            <c:ext xmlns:c16="http://schemas.microsoft.com/office/drawing/2014/chart" uri="{C3380CC4-5D6E-409C-BE32-E72D297353CC}">
              <c16:uniqueId val="{00000001-52BC-4304-B16F-674B3D49B0C7}"/>
            </c:ext>
          </c:extLst>
        </c:ser>
        <c:ser>
          <c:idx val="4"/>
          <c:order val="2"/>
          <c:tx>
            <c:strRef>
              <c:f>'[Chart in Microsoft Word (00000003).xlsx]PP izvrsne stope EUR'!$C$6</c:f>
              <c:strCache>
                <c:ptCount val="1"/>
                <c:pt idx="0">
                  <c:v>3Г</c:v>
                </c:pt>
              </c:strCache>
            </c:strRef>
          </c:tx>
          <c:marker>
            <c:symbol val="square"/>
            <c:size val="3"/>
          </c:marker>
          <c:dLbls>
            <c:spPr>
              <a:noFill/>
              <a:ln>
                <a:noFill/>
              </a:ln>
              <a:effectLst/>
            </c:spPr>
            <c:dLblPos val="t"/>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ext>
            </c:extLst>
          </c:dLbls>
          <c:cat>
            <c:strRef>
              <c:f>'[Chart in Microsoft Word (00000003).xlsx]PP izvrsne stope EUR'!$D$3:$O$3</c:f>
              <c:strCache>
                <c:ptCount val="12"/>
                <c:pt idx="0">
                  <c:v>2011</c:v>
                </c:pt>
                <c:pt idx="1">
                  <c:v>2012</c:v>
                </c:pt>
                <c:pt idx="2">
                  <c:v>2013</c:v>
                </c:pt>
                <c:pt idx="3">
                  <c:v>2014</c:v>
                </c:pt>
                <c:pt idx="4">
                  <c:v>2015</c:v>
                </c:pt>
                <c:pt idx="5">
                  <c:v>2016</c:v>
                </c:pt>
                <c:pt idx="6">
                  <c:v>2017</c:v>
                </c:pt>
                <c:pt idx="7">
                  <c:v>2018</c:v>
                </c:pt>
                <c:pt idx="8">
                  <c:v>2019</c:v>
                </c:pt>
                <c:pt idx="9">
                  <c:v>2020</c:v>
                </c:pt>
                <c:pt idx="10">
                  <c:v>2021</c:v>
                </c:pt>
                <c:pt idx="11">
                  <c:v>III/2022</c:v>
                </c:pt>
              </c:strCache>
            </c:strRef>
          </c:cat>
          <c:val>
            <c:numRef>
              <c:f>'[Chart in Microsoft Word (00000003).xlsx]PP izvrsne stope EUR'!$D$6:$O$6</c:f>
              <c:numCache>
                <c:formatCode>General</c:formatCode>
                <c:ptCount val="12"/>
                <c:pt idx="0" formatCode="0.00%">
                  <c:v>0.05</c:v>
                </c:pt>
                <c:pt idx="2" formatCode="0.00%">
                  <c:v>4.8000000000000001E-2</c:v>
                </c:pt>
                <c:pt idx="3" formatCode="0.00%">
                  <c:v>4.7138205908340364E-2</c:v>
                </c:pt>
                <c:pt idx="4" formatCode="0.00%">
                  <c:v>0.04</c:v>
                </c:pt>
                <c:pt idx="5" formatCode="0.00%">
                  <c:v>2.9759600523163947E-2</c:v>
                </c:pt>
                <c:pt idx="6" formatCode="0.00%">
                  <c:v>1.8649799295294825E-2</c:v>
                </c:pt>
                <c:pt idx="7" formatCode="0.00%">
                  <c:v>1.2512238579642383E-2</c:v>
                </c:pt>
                <c:pt idx="8" formatCode="0.00%">
                  <c:v>1.2500000000000001E-2</c:v>
                </c:pt>
              </c:numCache>
            </c:numRef>
          </c:val>
          <c:smooth val="0"/>
          <c:extLst xmlns:c15="http://schemas.microsoft.com/office/drawing/2012/chart">
            <c:ext xmlns:c16="http://schemas.microsoft.com/office/drawing/2014/chart" uri="{C3380CC4-5D6E-409C-BE32-E72D297353CC}">
              <c16:uniqueId val="{00000002-52BC-4304-B16F-674B3D49B0C7}"/>
            </c:ext>
          </c:extLst>
        </c:ser>
        <c:ser>
          <c:idx val="5"/>
          <c:order val="3"/>
          <c:tx>
            <c:strRef>
              <c:f>'[Chart in Microsoft Word (00000003).xlsx]PP izvrsne stope EUR'!$C$7</c:f>
              <c:strCache>
                <c:ptCount val="1"/>
                <c:pt idx="0">
                  <c:v>5Г</c:v>
                </c:pt>
              </c:strCache>
            </c:strRef>
          </c:tx>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'[Chart in Microsoft Word (00000003).xlsx]PP izvrsne stope EUR'!$D$3:$O$3</c:f>
              <c:strCache>
                <c:ptCount val="12"/>
                <c:pt idx="0">
                  <c:v>2011</c:v>
                </c:pt>
                <c:pt idx="1">
                  <c:v>2012</c:v>
                </c:pt>
                <c:pt idx="2">
                  <c:v>2013</c:v>
                </c:pt>
                <c:pt idx="3">
                  <c:v>2014</c:v>
                </c:pt>
                <c:pt idx="4">
                  <c:v>2015</c:v>
                </c:pt>
                <c:pt idx="5">
                  <c:v>2016</c:v>
                </c:pt>
                <c:pt idx="6">
                  <c:v>2017</c:v>
                </c:pt>
                <c:pt idx="7">
                  <c:v>2018</c:v>
                </c:pt>
                <c:pt idx="8">
                  <c:v>2019</c:v>
                </c:pt>
                <c:pt idx="9">
                  <c:v>2020</c:v>
                </c:pt>
                <c:pt idx="10">
                  <c:v>2021</c:v>
                </c:pt>
                <c:pt idx="11">
                  <c:v>III/2022</c:v>
                </c:pt>
              </c:strCache>
            </c:strRef>
          </c:cat>
          <c:val>
            <c:numRef>
              <c:f>'[Chart in Microsoft Word (00000003).xlsx]PP izvrsne stope EUR'!$D$7:$O$7</c:f>
              <c:numCache>
                <c:formatCode>General</c:formatCode>
                <c:ptCount val="12"/>
                <c:pt idx="2" formatCode="0.00%">
                  <c:v>5.2200000000000003E-2</c:v>
                </c:pt>
                <c:pt idx="3" formatCode="0.00%">
                  <c:v>4.9891847307430133E-2</c:v>
                </c:pt>
                <c:pt idx="4" formatCode="0.00%">
                  <c:v>4.4900000000000002E-2</c:v>
                </c:pt>
                <c:pt idx="5" formatCode="0.00%">
                  <c:v>3.1357142857142854E-2</c:v>
                </c:pt>
                <c:pt idx="6" formatCode="0.00%">
                  <c:v>2.6212040071733351E-2</c:v>
                </c:pt>
                <c:pt idx="7" formatCode="0.00%">
                  <c:v>1.8924744210098623E-2</c:v>
                </c:pt>
                <c:pt idx="8" formatCode="0.00%">
                  <c:v>1.7468554713468955E-2</c:v>
                </c:pt>
                <c:pt idx="9" formatCode="0.00%">
                  <c:v>0.01</c:v>
                </c:pt>
              </c:numCache>
            </c:numRef>
          </c:val>
          <c:smooth val="0"/>
          <c:extLst>
            <c:ext xmlns:c16="http://schemas.microsoft.com/office/drawing/2014/chart" uri="{C3380CC4-5D6E-409C-BE32-E72D297353CC}">
              <c16:uniqueId val="{00000003-52BC-4304-B16F-674B3D49B0C7}"/>
            </c:ext>
          </c:extLst>
        </c:ser>
        <c:ser>
          <c:idx val="0"/>
          <c:order val="4"/>
          <c:tx>
            <c:strRef>
              <c:f>'[Chart in Microsoft Word (00000003).xlsx]PP izvrsne stope EUR'!$C$8</c:f>
              <c:strCache>
                <c:ptCount val="1"/>
                <c:pt idx="0">
                  <c:v>10Г</c:v>
                </c:pt>
              </c:strCache>
            </c:strRef>
          </c:tx>
          <c:dLbls>
            <c:spPr>
              <a:noFill/>
              <a:ln>
                <a:noFill/>
              </a:ln>
              <a:effectLst/>
            </c:spPr>
            <c:txPr>
              <a:bodyPr wrap="square" lIns="38100" tIns="19050" rIns="38100" bIns="19050" anchor="ctr">
                <a:spAutoFit/>
              </a:bodyPr>
              <a:lstStyle/>
              <a:p>
                <a:pPr>
                  <a:defRPr b="0"/>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'[Chart in Microsoft Word (00000003).xlsx]PP izvrsne stope EUR'!$D$3:$O$3</c:f>
              <c:strCache>
                <c:ptCount val="12"/>
                <c:pt idx="0">
                  <c:v>2011</c:v>
                </c:pt>
                <c:pt idx="1">
                  <c:v>2012</c:v>
                </c:pt>
                <c:pt idx="2">
                  <c:v>2013</c:v>
                </c:pt>
                <c:pt idx="3">
                  <c:v>2014</c:v>
                </c:pt>
                <c:pt idx="4">
                  <c:v>2015</c:v>
                </c:pt>
                <c:pt idx="5">
                  <c:v>2016</c:v>
                </c:pt>
                <c:pt idx="6">
                  <c:v>2017</c:v>
                </c:pt>
                <c:pt idx="7">
                  <c:v>2018</c:v>
                </c:pt>
                <c:pt idx="8">
                  <c:v>2019</c:v>
                </c:pt>
                <c:pt idx="9">
                  <c:v>2020</c:v>
                </c:pt>
                <c:pt idx="10">
                  <c:v>2021</c:v>
                </c:pt>
                <c:pt idx="11">
                  <c:v>III/2022</c:v>
                </c:pt>
              </c:strCache>
            </c:strRef>
          </c:cat>
          <c:val>
            <c:numRef>
              <c:f>'[Chart in Microsoft Word (00000003).xlsx]PP izvrsne stope EUR'!$D$8:$O$8</c:f>
              <c:numCache>
                <c:formatCode>General</c:formatCode>
                <c:ptCount val="12"/>
                <c:pt idx="3" formatCode="0.00%">
                  <c:v>5.5E-2</c:v>
                </c:pt>
                <c:pt idx="4" formatCode="0.00%">
                  <c:v>4.48E-2</c:v>
                </c:pt>
                <c:pt idx="5" formatCode="0.00%">
                  <c:v>4.2000000000000003E-2</c:v>
                </c:pt>
                <c:pt idx="6" formatCode="0.00%">
                  <c:v>0.04</c:v>
                </c:pt>
                <c:pt idx="7" formatCode="0.00%">
                  <c:v>3.5000000000000003E-2</c:v>
                </c:pt>
                <c:pt idx="8" formatCode="0.00%">
                  <c:v>3.2500000000000001E-2</c:v>
                </c:pt>
              </c:numCache>
            </c:numRef>
          </c:val>
          <c:smooth val="0"/>
          <c:extLst>
            <c:ext xmlns:c16="http://schemas.microsoft.com/office/drawing/2014/chart" uri="{C3380CC4-5D6E-409C-BE32-E72D297353CC}">
              <c16:uniqueId val="{00000004-52BC-4304-B16F-674B3D49B0C7}"/>
            </c:ext>
          </c:extLst>
        </c:ser>
        <c:ser>
          <c:idx val="1"/>
          <c:order val="5"/>
          <c:tx>
            <c:strRef>
              <c:f>'[Chart in Microsoft Word (00000003).xlsx]PP izvrsne stope EUR'!$C$9</c:f>
              <c:strCache>
                <c:ptCount val="1"/>
                <c:pt idx="0">
                  <c:v>12г</c:v>
                </c:pt>
              </c:strCache>
            </c:strRef>
          </c:tx>
          <c:dLbls>
            <c:dLbl>
              <c:idx val="4"/>
              <c:layout>
                <c:manualLayout>
                  <c:x val="-8.7301573662421311E-4"/>
                  <c:y val="-5.04206974128233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2BC-4304-B16F-674B3D49B0C7}"/>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'[Chart in Microsoft Word (00000003).xlsx]PP izvrsne stope EUR'!$D$3:$O$3</c:f>
              <c:strCache>
                <c:ptCount val="12"/>
                <c:pt idx="0">
                  <c:v>2011</c:v>
                </c:pt>
                <c:pt idx="1">
                  <c:v>2012</c:v>
                </c:pt>
                <c:pt idx="2">
                  <c:v>2013</c:v>
                </c:pt>
                <c:pt idx="3">
                  <c:v>2014</c:v>
                </c:pt>
                <c:pt idx="4">
                  <c:v>2015</c:v>
                </c:pt>
                <c:pt idx="5">
                  <c:v>2016</c:v>
                </c:pt>
                <c:pt idx="6">
                  <c:v>2017</c:v>
                </c:pt>
                <c:pt idx="7">
                  <c:v>2018</c:v>
                </c:pt>
                <c:pt idx="8">
                  <c:v>2019</c:v>
                </c:pt>
                <c:pt idx="9">
                  <c:v>2020</c:v>
                </c:pt>
                <c:pt idx="10">
                  <c:v>2021</c:v>
                </c:pt>
                <c:pt idx="11">
                  <c:v>III/2022</c:v>
                </c:pt>
              </c:strCache>
            </c:strRef>
          </c:cat>
          <c:val>
            <c:numRef>
              <c:f>'[Chart in Microsoft Word (00000003).xlsx]PP izvrsne stope EUR'!$D$9:$O$9</c:f>
              <c:numCache>
                <c:formatCode>General</c:formatCode>
                <c:ptCount val="12"/>
                <c:pt idx="9" formatCode="0.00%">
                  <c:v>1.89E-2</c:v>
                </c:pt>
                <c:pt idx="10" formatCode="0.00%">
                  <c:v>1.6500000000000001E-2</c:v>
                </c:pt>
              </c:numCache>
            </c:numRef>
          </c:val>
          <c:smooth val="0"/>
          <c:extLst>
            <c:ext xmlns:c16="http://schemas.microsoft.com/office/drawing/2014/chart" uri="{C3380CC4-5D6E-409C-BE32-E72D297353CC}">
              <c16:uniqueId val="{00000006-52BC-4304-B16F-674B3D49B0C7}"/>
            </c:ext>
          </c:extLst>
        </c:ser>
        <c:ser>
          <c:idx val="6"/>
          <c:order val="6"/>
          <c:tx>
            <c:strRef>
              <c:f>'[Chart in Microsoft Word (00000003).xlsx]PP izvrsne stope EUR'!$C$10</c:f>
              <c:strCache>
                <c:ptCount val="1"/>
                <c:pt idx="0">
                  <c:v>15Г</c:v>
                </c:pt>
              </c:strCache>
            </c:strRef>
          </c:tx>
          <c:dLbls>
            <c:dLbl>
              <c:idx val="0"/>
              <c:layout>
                <c:manualLayout>
                  <c:x val="-5.8412689286856445E-2"/>
                  <c:y val="-9.1508561429821268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2BC-4304-B16F-674B3D49B0C7}"/>
                </c:ext>
              </c:extLst>
            </c:dLbl>
            <c:dLbl>
              <c:idx val="1"/>
              <c:layout>
                <c:manualLayout>
                  <c:x val="1.3015870982397358E-2"/>
                  <c:y val="-2.50238720159980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2BC-4304-B16F-674B3D49B0C7}"/>
                </c:ext>
              </c:extLst>
            </c:dLbl>
            <c:dLbl>
              <c:idx val="4"/>
              <c:layout>
                <c:manualLayout>
                  <c:x val="9.0476176341054808E-3"/>
                  <c:y val="-2.18492688413948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2BC-4304-B16F-674B3D49B0C7}"/>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'[Chart in Microsoft Word (00000003).xlsx]PP izvrsne stope EUR'!$D$3:$O$3</c:f>
              <c:strCache>
                <c:ptCount val="12"/>
                <c:pt idx="0">
                  <c:v>2011</c:v>
                </c:pt>
                <c:pt idx="1">
                  <c:v>2012</c:v>
                </c:pt>
                <c:pt idx="2">
                  <c:v>2013</c:v>
                </c:pt>
                <c:pt idx="3">
                  <c:v>2014</c:v>
                </c:pt>
                <c:pt idx="4">
                  <c:v>2015</c:v>
                </c:pt>
                <c:pt idx="5">
                  <c:v>2016</c:v>
                </c:pt>
                <c:pt idx="6">
                  <c:v>2017</c:v>
                </c:pt>
                <c:pt idx="7">
                  <c:v>2018</c:v>
                </c:pt>
                <c:pt idx="8">
                  <c:v>2019</c:v>
                </c:pt>
                <c:pt idx="9">
                  <c:v>2020</c:v>
                </c:pt>
                <c:pt idx="10">
                  <c:v>2021</c:v>
                </c:pt>
                <c:pt idx="11">
                  <c:v>III/2022</c:v>
                </c:pt>
              </c:strCache>
            </c:strRef>
          </c:cat>
          <c:val>
            <c:numRef>
              <c:f>'[Chart in Microsoft Word (00000003).xlsx]PP izvrsne stope EUR'!$D$10:$O$10</c:f>
              <c:numCache>
                <c:formatCode>General</c:formatCode>
                <c:ptCount val="12"/>
                <c:pt idx="5" formatCode="0.00%">
                  <c:v>4.2000000000000003E-2</c:v>
                </c:pt>
                <c:pt idx="6" formatCode="0.00%">
                  <c:v>4.2000000000000003E-2</c:v>
                </c:pt>
                <c:pt idx="8" formatCode="0.00%">
                  <c:v>3.5999999999999997E-2</c:v>
                </c:pt>
              </c:numCache>
            </c:numRef>
          </c:val>
          <c:smooth val="0"/>
          <c:extLst>
            <c:ext xmlns:c16="http://schemas.microsoft.com/office/drawing/2014/chart" uri="{C3380CC4-5D6E-409C-BE32-E72D297353CC}">
              <c16:uniqueId val="{0000000A-52BC-4304-B16F-674B3D49B0C7}"/>
            </c:ext>
          </c:extLst>
        </c:ser>
        <c:ser>
          <c:idx val="7"/>
          <c:order val="7"/>
          <c:tx>
            <c:strRef>
              <c:f>'[Chart in Microsoft Word (00000003).xlsx]PP izvrsne stope EUR'!$C$11</c:f>
              <c:strCache>
                <c:ptCount val="1"/>
                <c:pt idx="0">
                  <c:v>20Г</c:v>
                </c:pt>
              </c:strCache>
            </c:strRef>
          </c:tx>
          <c:dLbls>
            <c:dLbl>
              <c:idx val="0"/>
              <c:layout>
                <c:manualLayout>
                  <c:x val="-6.4365069309294254E-2"/>
                  <c:y val="1.94205724284463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2BC-4304-B16F-674B3D49B0C7}"/>
                </c:ext>
              </c:extLst>
            </c:dLbl>
            <c:dLbl>
              <c:idx val="1"/>
              <c:layout>
                <c:manualLayout>
                  <c:x val="5.079364285813604E-3"/>
                  <c:y val="9.8967629046369208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2BC-4304-B16F-674B3D49B0C7}"/>
                </c:ext>
              </c:extLst>
            </c:dLbl>
            <c:dLbl>
              <c:idx val="3"/>
              <c:layout>
                <c:manualLayout>
                  <c:x val="7.0634909599595428E-3"/>
                  <c:y val="6.7221597300336292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2BC-4304-B16F-674B3D49B0C7}"/>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'[Chart in Microsoft Word (00000003).xlsx]PP izvrsne stope EUR'!$D$3:$O$3</c:f>
              <c:strCache>
                <c:ptCount val="12"/>
                <c:pt idx="0">
                  <c:v>2011</c:v>
                </c:pt>
                <c:pt idx="1">
                  <c:v>2012</c:v>
                </c:pt>
                <c:pt idx="2">
                  <c:v>2013</c:v>
                </c:pt>
                <c:pt idx="3">
                  <c:v>2014</c:v>
                </c:pt>
                <c:pt idx="4">
                  <c:v>2015</c:v>
                </c:pt>
                <c:pt idx="5">
                  <c:v>2016</c:v>
                </c:pt>
                <c:pt idx="6">
                  <c:v>2017</c:v>
                </c:pt>
                <c:pt idx="7">
                  <c:v>2018</c:v>
                </c:pt>
                <c:pt idx="8">
                  <c:v>2019</c:v>
                </c:pt>
                <c:pt idx="9">
                  <c:v>2020</c:v>
                </c:pt>
                <c:pt idx="10">
                  <c:v>2021</c:v>
                </c:pt>
                <c:pt idx="11">
                  <c:v>III/2022</c:v>
                </c:pt>
              </c:strCache>
            </c:strRef>
          </c:cat>
          <c:val>
            <c:numRef>
              <c:f>'[Chart in Microsoft Word (00000003).xlsx]PP izvrsne stope EUR'!$D$11:$O$11</c:f>
              <c:numCache>
                <c:formatCode>General</c:formatCode>
                <c:ptCount val="12"/>
                <c:pt idx="10" formatCode="0.00%">
                  <c:v>2.2499999999999999E-2</c:v>
                </c:pt>
              </c:numCache>
            </c:numRef>
          </c:val>
          <c:smooth val="0"/>
          <c:extLst>
            <c:ext xmlns:c16="http://schemas.microsoft.com/office/drawing/2014/chart" uri="{C3380CC4-5D6E-409C-BE32-E72D297353CC}">
              <c16:uniqueId val="{0000000E-52BC-4304-B16F-674B3D49B0C7}"/>
            </c:ext>
          </c:extLst>
        </c:ser>
        <c:ser>
          <c:idx val="8"/>
          <c:order val="8"/>
          <c:tx>
            <c:strRef>
              <c:f>'[Chart in Microsoft Word (00000003).xlsx]PP izvrsne stope EUR'!$C$12</c:f>
              <c:strCache>
                <c:ptCount val="1"/>
                <c:pt idx="0">
                  <c:v>25Г</c:v>
                </c:pt>
              </c:strCache>
            </c:strRef>
          </c:tx>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'[Chart in Microsoft Word (00000003).xlsx]PP izvrsne stope EUR'!$D$3:$O$3</c:f>
              <c:strCache>
                <c:ptCount val="12"/>
                <c:pt idx="0">
                  <c:v>2011</c:v>
                </c:pt>
                <c:pt idx="1">
                  <c:v>2012</c:v>
                </c:pt>
                <c:pt idx="2">
                  <c:v>2013</c:v>
                </c:pt>
                <c:pt idx="3">
                  <c:v>2014</c:v>
                </c:pt>
                <c:pt idx="4">
                  <c:v>2015</c:v>
                </c:pt>
                <c:pt idx="5">
                  <c:v>2016</c:v>
                </c:pt>
                <c:pt idx="6">
                  <c:v>2017</c:v>
                </c:pt>
                <c:pt idx="7">
                  <c:v>2018</c:v>
                </c:pt>
                <c:pt idx="8">
                  <c:v>2019</c:v>
                </c:pt>
                <c:pt idx="9">
                  <c:v>2020</c:v>
                </c:pt>
                <c:pt idx="10">
                  <c:v>2021</c:v>
                </c:pt>
                <c:pt idx="11">
                  <c:v>III/2022</c:v>
                </c:pt>
              </c:strCache>
            </c:strRef>
          </c:cat>
          <c:val>
            <c:numRef>
              <c:f>'[Chart in Microsoft Word (00000003).xlsx]PP izvrsne stope EUR'!$D$12:$O$12</c:f>
              <c:numCache>
                <c:formatCode>General</c:formatCode>
                <c:ptCount val="12"/>
                <c:pt idx="11" formatCode="0.00%">
                  <c:v>2.5000000000000001E-2</c:v>
                </c:pt>
              </c:numCache>
            </c:numRef>
          </c:val>
          <c:smooth val="0"/>
          <c:extLst>
            <c:ext xmlns:c16="http://schemas.microsoft.com/office/drawing/2014/chart" uri="{C3380CC4-5D6E-409C-BE32-E72D297353CC}">
              <c16:uniqueId val="{0000000F-52BC-4304-B16F-674B3D49B0C7}"/>
            </c:ext>
          </c:extLst>
        </c:ser>
        <c:dLbls>
          <c:dLblPos val="t"/>
          <c:showLegendKey val="0"/>
          <c:showVal val="1"/>
          <c:showCatName val="0"/>
          <c:showSerName val="0"/>
          <c:showPercent val="0"/>
          <c:showBubbleSize val="0"/>
        </c:dLbls>
        <c:marker val="1"/>
        <c:smooth val="0"/>
        <c:axId val="196476816"/>
        <c:axId val="196477208"/>
        <c:extLst/>
      </c:lineChart>
      <c:catAx>
        <c:axId val="196476816"/>
        <c:scaling>
          <c:orientation val="minMax"/>
        </c:scaling>
        <c:delete val="0"/>
        <c:axPos val="b"/>
        <c:numFmt formatCode="General" sourceLinked="1"/>
        <c:majorTickMark val="out"/>
        <c:minorTickMark val="none"/>
        <c:tickLblPos val="nextTo"/>
        <c:crossAx val="196477208"/>
        <c:crosses val="autoZero"/>
        <c:auto val="1"/>
        <c:lblAlgn val="ctr"/>
        <c:lblOffset val="100"/>
        <c:noMultiLvlLbl val="0"/>
      </c:catAx>
      <c:valAx>
        <c:axId val="196477208"/>
        <c:scaling>
          <c:orientation val="minMax"/>
        </c:scaling>
        <c:delete val="0"/>
        <c:axPos val="l"/>
        <c:numFmt formatCode="0.0%" sourceLinked="0"/>
        <c:majorTickMark val="out"/>
        <c:minorTickMark val="none"/>
        <c:tickLblPos val="nextTo"/>
        <c:crossAx val="196476816"/>
        <c:crosses val="autoZero"/>
        <c:crossBetween val="between"/>
      </c:valAx>
      <c:spPr>
        <a:noFill/>
      </c:spPr>
    </c:plotArea>
    <c:legend>
      <c:legendPos val="r"/>
      <c:layout>
        <c:manualLayout>
          <c:xMode val="edge"/>
          <c:yMode val="edge"/>
          <c:x val="6.9416468345133694E-2"/>
          <c:y val="0.88935230848165236"/>
          <c:w val="0.82409498812648418"/>
          <c:h val="0.11064758345718648"/>
        </c:manualLayout>
      </c:layout>
      <c:overlay val="0"/>
    </c:legend>
    <c:plotVisOnly val="1"/>
    <c:dispBlanksAs val="gap"/>
    <c:showDLblsOverMax val="0"/>
  </c:chart>
  <c:spPr>
    <a:noFill/>
    <a:ln>
      <a:noFill/>
    </a:ln>
  </c:spPr>
  <c:txPr>
    <a:bodyPr/>
    <a:lstStyle/>
    <a:p>
      <a:pPr>
        <a:defRPr sz="600">
          <a:latin typeface="+mn-lt"/>
          <a:cs typeface="Arial" panose="020B0604020202020204" pitchFamily="34" charset="0"/>
        </a:defRPr>
      </a:pPr>
      <a:endParaRPr lang="sr-Latn-RS"/>
    </a:p>
  </c:txPr>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133405954974584"/>
          <c:y val="5.1001801245432556E-2"/>
          <c:w val="0.76869750181372043"/>
          <c:h val="0.72955956975966241"/>
        </c:manualLayout>
      </c:layout>
      <c:areaChart>
        <c:grouping val="standard"/>
        <c:varyColors val="0"/>
        <c:ser>
          <c:idx val="0"/>
          <c:order val="0"/>
          <c:tx>
            <c:strRef>
              <c:f>'[Hartije od vrednosti na medjunarodnom trzistu SAJT 04.04.2022 (00000002).xlsx]EUROBOND 2027 offline'!$B$4</c:f>
              <c:strCache>
                <c:ptCount val="1"/>
                <c:pt idx="0">
                  <c:v>Цена на затварању</c:v>
                </c:pt>
              </c:strCache>
            </c:strRef>
          </c:tx>
          <c:spPr>
            <a:solidFill>
              <a:srgbClr val="4472C4">
                <a:lumMod val="75000"/>
              </a:srgbClr>
            </a:solidFill>
            <a:ln>
              <a:noFill/>
            </a:ln>
            <a:effectLst/>
          </c:spPr>
          <c:cat>
            <c:numRef>
              <c:f>'[Hartije od vrednosti na medjunarodnom trzistu SAJT 04.04.2022 (00000002).xlsx]EUROBOND 2027 offline'!$A$23:$A$479</c:f>
              <c:numCache>
                <c:formatCode>dd\/mm\/yy</c:formatCode>
                <c:ptCount val="457"/>
                <c:pt idx="0">
                  <c:v>44651</c:v>
                </c:pt>
                <c:pt idx="1">
                  <c:v>44650</c:v>
                </c:pt>
                <c:pt idx="2">
                  <c:v>44649</c:v>
                </c:pt>
                <c:pt idx="3">
                  <c:v>44648</c:v>
                </c:pt>
                <c:pt idx="4">
                  <c:v>44645</c:v>
                </c:pt>
                <c:pt idx="5">
                  <c:v>44644</c:v>
                </c:pt>
                <c:pt idx="6">
                  <c:v>44643</c:v>
                </c:pt>
                <c:pt idx="7">
                  <c:v>44642</c:v>
                </c:pt>
                <c:pt idx="8">
                  <c:v>44641</c:v>
                </c:pt>
                <c:pt idx="9">
                  <c:v>44638</c:v>
                </c:pt>
                <c:pt idx="10">
                  <c:v>44637</c:v>
                </c:pt>
                <c:pt idx="11">
                  <c:v>44636</c:v>
                </c:pt>
                <c:pt idx="12">
                  <c:v>44635</c:v>
                </c:pt>
                <c:pt idx="13">
                  <c:v>44634</c:v>
                </c:pt>
                <c:pt idx="14">
                  <c:v>44631</c:v>
                </c:pt>
                <c:pt idx="15">
                  <c:v>44630</c:v>
                </c:pt>
                <c:pt idx="16">
                  <c:v>44629</c:v>
                </c:pt>
                <c:pt idx="17">
                  <c:v>44628</c:v>
                </c:pt>
                <c:pt idx="18">
                  <c:v>44627</c:v>
                </c:pt>
                <c:pt idx="19">
                  <c:v>44624</c:v>
                </c:pt>
                <c:pt idx="20">
                  <c:v>44623</c:v>
                </c:pt>
                <c:pt idx="21">
                  <c:v>44622</c:v>
                </c:pt>
                <c:pt idx="22">
                  <c:v>44621</c:v>
                </c:pt>
                <c:pt idx="23">
                  <c:v>44620</c:v>
                </c:pt>
                <c:pt idx="24">
                  <c:v>44617</c:v>
                </c:pt>
                <c:pt idx="25">
                  <c:v>44616</c:v>
                </c:pt>
                <c:pt idx="26">
                  <c:v>44615</c:v>
                </c:pt>
                <c:pt idx="27">
                  <c:v>44614</c:v>
                </c:pt>
                <c:pt idx="28">
                  <c:v>44613</c:v>
                </c:pt>
                <c:pt idx="29">
                  <c:v>44610</c:v>
                </c:pt>
                <c:pt idx="30">
                  <c:v>44609</c:v>
                </c:pt>
                <c:pt idx="31">
                  <c:v>44608</c:v>
                </c:pt>
                <c:pt idx="32">
                  <c:v>44607</c:v>
                </c:pt>
                <c:pt idx="33">
                  <c:v>44606</c:v>
                </c:pt>
                <c:pt idx="34">
                  <c:v>44603</c:v>
                </c:pt>
                <c:pt idx="35">
                  <c:v>44602</c:v>
                </c:pt>
                <c:pt idx="36">
                  <c:v>44601</c:v>
                </c:pt>
                <c:pt idx="37">
                  <c:v>44600</c:v>
                </c:pt>
                <c:pt idx="38">
                  <c:v>44599</c:v>
                </c:pt>
                <c:pt idx="39">
                  <c:v>44596</c:v>
                </c:pt>
                <c:pt idx="40">
                  <c:v>44595</c:v>
                </c:pt>
                <c:pt idx="41">
                  <c:v>44594</c:v>
                </c:pt>
                <c:pt idx="42">
                  <c:v>44593</c:v>
                </c:pt>
                <c:pt idx="43">
                  <c:v>44592</c:v>
                </c:pt>
                <c:pt idx="44">
                  <c:v>44589</c:v>
                </c:pt>
                <c:pt idx="45">
                  <c:v>44588</c:v>
                </c:pt>
                <c:pt idx="46">
                  <c:v>44587</c:v>
                </c:pt>
                <c:pt idx="47">
                  <c:v>44586</c:v>
                </c:pt>
                <c:pt idx="48">
                  <c:v>44585</c:v>
                </c:pt>
                <c:pt idx="49">
                  <c:v>44582</c:v>
                </c:pt>
                <c:pt idx="50">
                  <c:v>44581</c:v>
                </c:pt>
                <c:pt idx="51">
                  <c:v>44580</c:v>
                </c:pt>
                <c:pt idx="52">
                  <c:v>44579</c:v>
                </c:pt>
                <c:pt idx="53">
                  <c:v>44578</c:v>
                </c:pt>
                <c:pt idx="54">
                  <c:v>44575</c:v>
                </c:pt>
                <c:pt idx="55">
                  <c:v>44574</c:v>
                </c:pt>
                <c:pt idx="56">
                  <c:v>44573</c:v>
                </c:pt>
                <c:pt idx="57">
                  <c:v>44572</c:v>
                </c:pt>
                <c:pt idx="58">
                  <c:v>44571</c:v>
                </c:pt>
                <c:pt idx="59">
                  <c:v>44568</c:v>
                </c:pt>
                <c:pt idx="60">
                  <c:v>44567</c:v>
                </c:pt>
                <c:pt idx="61">
                  <c:v>44566</c:v>
                </c:pt>
                <c:pt idx="62">
                  <c:v>44565</c:v>
                </c:pt>
                <c:pt idx="63">
                  <c:v>44564</c:v>
                </c:pt>
                <c:pt idx="64">
                  <c:v>44561</c:v>
                </c:pt>
                <c:pt idx="65">
                  <c:v>44560</c:v>
                </c:pt>
                <c:pt idx="66">
                  <c:v>44559</c:v>
                </c:pt>
                <c:pt idx="67">
                  <c:v>44558</c:v>
                </c:pt>
                <c:pt idx="68">
                  <c:v>44557</c:v>
                </c:pt>
                <c:pt idx="69">
                  <c:v>44554</c:v>
                </c:pt>
                <c:pt idx="70">
                  <c:v>44553</c:v>
                </c:pt>
                <c:pt idx="71">
                  <c:v>44552</c:v>
                </c:pt>
                <c:pt idx="72">
                  <c:v>44551</c:v>
                </c:pt>
                <c:pt idx="73">
                  <c:v>44550</c:v>
                </c:pt>
                <c:pt idx="74">
                  <c:v>44547</c:v>
                </c:pt>
                <c:pt idx="75">
                  <c:v>44546</c:v>
                </c:pt>
                <c:pt idx="76">
                  <c:v>44545</c:v>
                </c:pt>
                <c:pt idx="77">
                  <c:v>44544</c:v>
                </c:pt>
                <c:pt idx="78">
                  <c:v>44543</c:v>
                </c:pt>
                <c:pt idx="79">
                  <c:v>44540</c:v>
                </c:pt>
                <c:pt idx="80">
                  <c:v>44539</c:v>
                </c:pt>
                <c:pt idx="81">
                  <c:v>44538</c:v>
                </c:pt>
                <c:pt idx="82">
                  <c:v>44537</c:v>
                </c:pt>
                <c:pt idx="83">
                  <c:v>44536</c:v>
                </c:pt>
                <c:pt idx="84">
                  <c:v>44533</c:v>
                </c:pt>
                <c:pt idx="85">
                  <c:v>44532</c:v>
                </c:pt>
                <c:pt idx="86">
                  <c:v>44531</c:v>
                </c:pt>
                <c:pt idx="87">
                  <c:v>44530</c:v>
                </c:pt>
                <c:pt idx="88">
                  <c:v>44529</c:v>
                </c:pt>
                <c:pt idx="89">
                  <c:v>44526</c:v>
                </c:pt>
                <c:pt idx="90">
                  <c:v>44525</c:v>
                </c:pt>
                <c:pt idx="91">
                  <c:v>44524</c:v>
                </c:pt>
                <c:pt idx="92">
                  <c:v>44523</c:v>
                </c:pt>
                <c:pt idx="93">
                  <c:v>44522</c:v>
                </c:pt>
                <c:pt idx="94">
                  <c:v>44519</c:v>
                </c:pt>
                <c:pt idx="95">
                  <c:v>44518</c:v>
                </c:pt>
                <c:pt idx="96">
                  <c:v>44517</c:v>
                </c:pt>
                <c:pt idx="97">
                  <c:v>44516</c:v>
                </c:pt>
                <c:pt idx="98">
                  <c:v>44515</c:v>
                </c:pt>
                <c:pt idx="99">
                  <c:v>44512</c:v>
                </c:pt>
                <c:pt idx="100">
                  <c:v>44511</c:v>
                </c:pt>
                <c:pt idx="101">
                  <c:v>44510</c:v>
                </c:pt>
                <c:pt idx="102">
                  <c:v>44509</c:v>
                </c:pt>
                <c:pt idx="103">
                  <c:v>44508</c:v>
                </c:pt>
                <c:pt idx="104">
                  <c:v>44505</c:v>
                </c:pt>
                <c:pt idx="105">
                  <c:v>44504</c:v>
                </c:pt>
                <c:pt idx="106">
                  <c:v>44503</c:v>
                </c:pt>
                <c:pt idx="107">
                  <c:v>44502</c:v>
                </c:pt>
                <c:pt idx="108">
                  <c:v>44501</c:v>
                </c:pt>
                <c:pt idx="109">
                  <c:v>44498</c:v>
                </c:pt>
                <c:pt idx="110">
                  <c:v>44497</c:v>
                </c:pt>
                <c:pt idx="111">
                  <c:v>44496</c:v>
                </c:pt>
                <c:pt idx="112">
                  <c:v>44495</c:v>
                </c:pt>
                <c:pt idx="113">
                  <c:v>44494</c:v>
                </c:pt>
                <c:pt idx="114">
                  <c:v>44491</c:v>
                </c:pt>
                <c:pt idx="115">
                  <c:v>44490</c:v>
                </c:pt>
                <c:pt idx="116">
                  <c:v>44489</c:v>
                </c:pt>
                <c:pt idx="117">
                  <c:v>44488</c:v>
                </c:pt>
                <c:pt idx="118">
                  <c:v>44487</c:v>
                </c:pt>
                <c:pt idx="119">
                  <c:v>44484</c:v>
                </c:pt>
                <c:pt idx="120">
                  <c:v>44483</c:v>
                </c:pt>
                <c:pt idx="121">
                  <c:v>44482</c:v>
                </c:pt>
                <c:pt idx="122">
                  <c:v>44481</c:v>
                </c:pt>
                <c:pt idx="123">
                  <c:v>44480</c:v>
                </c:pt>
                <c:pt idx="124">
                  <c:v>44477</c:v>
                </c:pt>
                <c:pt idx="125">
                  <c:v>44476</c:v>
                </c:pt>
                <c:pt idx="126">
                  <c:v>44475</c:v>
                </c:pt>
                <c:pt idx="127">
                  <c:v>44474</c:v>
                </c:pt>
                <c:pt idx="128">
                  <c:v>44473</c:v>
                </c:pt>
                <c:pt idx="129">
                  <c:v>44470</c:v>
                </c:pt>
                <c:pt idx="130">
                  <c:v>44469</c:v>
                </c:pt>
                <c:pt idx="131">
                  <c:v>44468</c:v>
                </c:pt>
                <c:pt idx="132">
                  <c:v>44467</c:v>
                </c:pt>
                <c:pt idx="133">
                  <c:v>44466</c:v>
                </c:pt>
                <c:pt idx="134">
                  <c:v>44463</c:v>
                </c:pt>
                <c:pt idx="135">
                  <c:v>44462</c:v>
                </c:pt>
                <c:pt idx="136">
                  <c:v>44461</c:v>
                </c:pt>
                <c:pt idx="137">
                  <c:v>44460</c:v>
                </c:pt>
                <c:pt idx="138">
                  <c:v>44459</c:v>
                </c:pt>
                <c:pt idx="139">
                  <c:v>44456</c:v>
                </c:pt>
                <c:pt idx="140">
                  <c:v>44455</c:v>
                </c:pt>
                <c:pt idx="141">
                  <c:v>44454</c:v>
                </c:pt>
                <c:pt idx="142">
                  <c:v>44453</c:v>
                </c:pt>
                <c:pt idx="143">
                  <c:v>44452</c:v>
                </c:pt>
                <c:pt idx="144">
                  <c:v>44449</c:v>
                </c:pt>
                <c:pt idx="145">
                  <c:v>44448</c:v>
                </c:pt>
                <c:pt idx="146">
                  <c:v>44447</c:v>
                </c:pt>
                <c:pt idx="147">
                  <c:v>44446</c:v>
                </c:pt>
                <c:pt idx="148">
                  <c:v>44445</c:v>
                </c:pt>
                <c:pt idx="149">
                  <c:v>44442</c:v>
                </c:pt>
                <c:pt idx="150">
                  <c:v>44441</c:v>
                </c:pt>
                <c:pt idx="151">
                  <c:v>44440</c:v>
                </c:pt>
                <c:pt idx="152">
                  <c:v>44439</c:v>
                </c:pt>
                <c:pt idx="153">
                  <c:v>44438</c:v>
                </c:pt>
                <c:pt idx="154">
                  <c:v>44435</c:v>
                </c:pt>
                <c:pt idx="155">
                  <c:v>44434</c:v>
                </c:pt>
                <c:pt idx="156">
                  <c:v>44433</c:v>
                </c:pt>
                <c:pt idx="157">
                  <c:v>44432</c:v>
                </c:pt>
                <c:pt idx="158">
                  <c:v>44431</c:v>
                </c:pt>
                <c:pt idx="159">
                  <c:v>44428</c:v>
                </c:pt>
                <c:pt idx="160">
                  <c:v>44427</c:v>
                </c:pt>
                <c:pt idx="161">
                  <c:v>44426</c:v>
                </c:pt>
                <c:pt idx="162">
                  <c:v>44425</c:v>
                </c:pt>
                <c:pt idx="163">
                  <c:v>44424</c:v>
                </c:pt>
                <c:pt idx="164">
                  <c:v>44421</c:v>
                </c:pt>
                <c:pt idx="165">
                  <c:v>44420</c:v>
                </c:pt>
                <c:pt idx="166">
                  <c:v>44419</c:v>
                </c:pt>
                <c:pt idx="167">
                  <c:v>44418</c:v>
                </c:pt>
                <c:pt idx="168">
                  <c:v>44417</c:v>
                </c:pt>
                <c:pt idx="169">
                  <c:v>44414</c:v>
                </c:pt>
                <c:pt idx="170">
                  <c:v>44413</c:v>
                </c:pt>
                <c:pt idx="171">
                  <c:v>44412</c:v>
                </c:pt>
                <c:pt idx="172">
                  <c:v>44411</c:v>
                </c:pt>
                <c:pt idx="173">
                  <c:v>44410</c:v>
                </c:pt>
                <c:pt idx="174">
                  <c:v>44407</c:v>
                </c:pt>
                <c:pt idx="175">
                  <c:v>44406</c:v>
                </c:pt>
                <c:pt idx="176">
                  <c:v>44405</c:v>
                </c:pt>
                <c:pt idx="177">
                  <c:v>44404</c:v>
                </c:pt>
                <c:pt idx="178">
                  <c:v>44403</c:v>
                </c:pt>
                <c:pt idx="179">
                  <c:v>44400</c:v>
                </c:pt>
                <c:pt idx="180">
                  <c:v>44399</c:v>
                </c:pt>
                <c:pt idx="181">
                  <c:v>44398</c:v>
                </c:pt>
                <c:pt idx="182">
                  <c:v>44397</c:v>
                </c:pt>
                <c:pt idx="183">
                  <c:v>44396</c:v>
                </c:pt>
                <c:pt idx="184">
                  <c:v>44393</c:v>
                </c:pt>
                <c:pt idx="185">
                  <c:v>44392</c:v>
                </c:pt>
                <c:pt idx="186">
                  <c:v>44391</c:v>
                </c:pt>
                <c:pt idx="187">
                  <c:v>44390</c:v>
                </c:pt>
                <c:pt idx="188">
                  <c:v>44389</c:v>
                </c:pt>
                <c:pt idx="189">
                  <c:v>44386</c:v>
                </c:pt>
                <c:pt idx="190">
                  <c:v>44385</c:v>
                </c:pt>
                <c:pt idx="191">
                  <c:v>44384</c:v>
                </c:pt>
                <c:pt idx="192">
                  <c:v>44383</c:v>
                </c:pt>
                <c:pt idx="193">
                  <c:v>44382</c:v>
                </c:pt>
                <c:pt idx="194">
                  <c:v>44379</c:v>
                </c:pt>
                <c:pt idx="195">
                  <c:v>44378</c:v>
                </c:pt>
                <c:pt idx="196">
                  <c:v>44377</c:v>
                </c:pt>
                <c:pt idx="197">
                  <c:v>44376</c:v>
                </c:pt>
                <c:pt idx="198">
                  <c:v>44375</c:v>
                </c:pt>
                <c:pt idx="199">
                  <c:v>44372</c:v>
                </c:pt>
                <c:pt idx="200">
                  <c:v>44371</c:v>
                </c:pt>
                <c:pt idx="201">
                  <c:v>44370</c:v>
                </c:pt>
                <c:pt idx="202">
                  <c:v>44369</c:v>
                </c:pt>
                <c:pt idx="203">
                  <c:v>44368</c:v>
                </c:pt>
                <c:pt idx="204">
                  <c:v>44365</c:v>
                </c:pt>
                <c:pt idx="205">
                  <c:v>44364</c:v>
                </c:pt>
                <c:pt idx="206">
                  <c:v>44363</c:v>
                </c:pt>
                <c:pt idx="207">
                  <c:v>44362</c:v>
                </c:pt>
                <c:pt idx="208">
                  <c:v>44361</c:v>
                </c:pt>
                <c:pt idx="209">
                  <c:v>44358</c:v>
                </c:pt>
                <c:pt idx="210">
                  <c:v>44357</c:v>
                </c:pt>
                <c:pt idx="211">
                  <c:v>44356</c:v>
                </c:pt>
                <c:pt idx="212">
                  <c:v>44355</c:v>
                </c:pt>
                <c:pt idx="213">
                  <c:v>44354</c:v>
                </c:pt>
                <c:pt idx="214">
                  <c:v>44351</c:v>
                </c:pt>
                <c:pt idx="215">
                  <c:v>44350</c:v>
                </c:pt>
                <c:pt idx="216">
                  <c:v>44349</c:v>
                </c:pt>
                <c:pt idx="217">
                  <c:v>44348</c:v>
                </c:pt>
                <c:pt idx="218">
                  <c:v>44347</c:v>
                </c:pt>
                <c:pt idx="219">
                  <c:v>44344</c:v>
                </c:pt>
                <c:pt idx="220">
                  <c:v>44343</c:v>
                </c:pt>
                <c:pt idx="221">
                  <c:v>44342</c:v>
                </c:pt>
                <c:pt idx="222">
                  <c:v>44341</c:v>
                </c:pt>
                <c:pt idx="223">
                  <c:v>44340</c:v>
                </c:pt>
                <c:pt idx="224">
                  <c:v>44337</c:v>
                </c:pt>
                <c:pt idx="225">
                  <c:v>44336</c:v>
                </c:pt>
                <c:pt idx="226">
                  <c:v>44335</c:v>
                </c:pt>
                <c:pt idx="227">
                  <c:v>44334</c:v>
                </c:pt>
                <c:pt idx="228">
                  <c:v>44333</c:v>
                </c:pt>
                <c:pt idx="229">
                  <c:v>44330</c:v>
                </c:pt>
                <c:pt idx="230">
                  <c:v>44329</c:v>
                </c:pt>
                <c:pt idx="231">
                  <c:v>44328</c:v>
                </c:pt>
                <c:pt idx="232">
                  <c:v>44327</c:v>
                </c:pt>
                <c:pt idx="233">
                  <c:v>44326</c:v>
                </c:pt>
                <c:pt idx="234">
                  <c:v>44323</c:v>
                </c:pt>
                <c:pt idx="235">
                  <c:v>44322</c:v>
                </c:pt>
                <c:pt idx="236">
                  <c:v>44321</c:v>
                </c:pt>
                <c:pt idx="237">
                  <c:v>44320</c:v>
                </c:pt>
                <c:pt idx="238">
                  <c:v>44319</c:v>
                </c:pt>
                <c:pt idx="239">
                  <c:v>44316</c:v>
                </c:pt>
                <c:pt idx="240">
                  <c:v>44315</c:v>
                </c:pt>
                <c:pt idx="241">
                  <c:v>44314</c:v>
                </c:pt>
                <c:pt idx="242">
                  <c:v>44313</c:v>
                </c:pt>
                <c:pt idx="243">
                  <c:v>44312</c:v>
                </c:pt>
                <c:pt idx="244">
                  <c:v>44309</c:v>
                </c:pt>
                <c:pt idx="245">
                  <c:v>44308</c:v>
                </c:pt>
                <c:pt idx="246">
                  <c:v>44307</c:v>
                </c:pt>
                <c:pt idx="247">
                  <c:v>44306</c:v>
                </c:pt>
                <c:pt idx="248">
                  <c:v>44305</c:v>
                </c:pt>
                <c:pt idx="249">
                  <c:v>44302</c:v>
                </c:pt>
                <c:pt idx="250">
                  <c:v>44301</c:v>
                </c:pt>
                <c:pt idx="251">
                  <c:v>44300</c:v>
                </c:pt>
                <c:pt idx="252">
                  <c:v>44299</c:v>
                </c:pt>
                <c:pt idx="253">
                  <c:v>44298</c:v>
                </c:pt>
                <c:pt idx="254">
                  <c:v>44295</c:v>
                </c:pt>
                <c:pt idx="255">
                  <c:v>44294</c:v>
                </c:pt>
                <c:pt idx="256">
                  <c:v>44293</c:v>
                </c:pt>
                <c:pt idx="257">
                  <c:v>44292</c:v>
                </c:pt>
                <c:pt idx="258">
                  <c:v>44287</c:v>
                </c:pt>
                <c:pt idx="259">
                  <c:v>44286</c:v>
                </c:pt>
                <c:pt idx="260">
                  <c:v>44285</c:v>
                </c:pt>
                <c:pt idx="261">
                  <c:v>44284</c:v>
                </c:pt>
                <c:pt idx="262">
                  <c:v>44281</c:v>
                </c:pt>
                <c:pt idx="263">
                  <c:v>44280</c:v>
                </c:pt>
                <c:pt idx="264">
                  <c:v>44279</c:v>
                </c:pt>
                <c:pt idx="265">
                  <c:v>44278</c:v>
                </c:pt>
                <c:pt idx="266">
                  <c:v>44277</c:v>
                </c:pt>
                <c:pt idx="267">
                  <c:v>44274</c:v>
                </c:pt>
                <c:pt idx="268">
                  <c:v>44273</c:v>
                </c:pt>
                <c:pt idx="269">
                  <c:v>44272</c:v>
                </c:pt>
                <c:pt idx="270">
                  <c:v>44271</c:v>
                </c:pt>
                <c:pt idx="271">
                  <c:v>44270</c:v>
                </c:pt>
                <c:pt idx="272">
                  <c:v>44267</c:v>
                </c:pt>
                <c:pt idx="273">
                  <c:v>44266</c:v>
                </c:pt>
                <c:pt idx="274">
                  <c:v>44265</c:v>
                </c:pt>
                <c:pt idx="275">
                  <c:v>44264</c:v>
                </c:pt>
                <c:pt idx="276">
                  <c:v>44263</c:v>
                </c:pt>
                <c:pt idx="277">
                  <c:v>44260</c:v>
                </c:pt>
                <c:pt idx="278">
                  <c:v>44259</c:v>
                </c:pt>
                <c:pt idx="279">
                  <c:v>44258</c:v>
                </c:pt>
                <c:pt idx="280">
                  <c:v>44257</c:v>
                </c:pt>
                <c:pt idx="281">
                  <c:v>44256</c:v>
                </c:pt>
                <c:pt idx="282">
                  <c:v>44253</c:v>
                </c:pt>
                <c:pt idx="283">
                  <c:v>44252</c:v>
                </c:pt>
                <c:pt idx="284">
                  <c:v>44251</c:v>
                </c:pt>
                <c:pt idx="285">
                  <c:v>44250</c:v>
                </c:pt>
                <c:pt idx="286">
                  <c:v>44249</c:v>
                </c:pt>
                <c:pt idx="287">
                  <c:v>44246</c:v>
                </c:pt>
                <c:pt idx="288">
                  <c:v>44245</c:v>
                </c:pt>
                <c:pt idx="289">
                  <c:v>44244</c:v>
                </c:pt>
                <c:pt idx="290">
                  <c:v>44243</c:v>
                </c:pt>
                <c:pt idx="291">
                  <c:v>44242</c:v>
                </c:pt>
                <c:pt idx="292">
                  <c:v>44239</c:v>
                </c:pt>
                <c:pt idx="293">
                  <c:v>44238</c:v>
                </c:pt>
                <c:pt idx="294">
                  <c:v>44237</c:v>
                </c:pt>
                <c:pt idx="295">
                  <c:v>44236</c:v>
                </c:pt>
                <c:pt idx="296">
                  <c:v>44235</c:v>
                </c:pt>
                <c:pt idx="297">
                  <c:v>44232</c:v>
                </c:pt>
                <c:pt idx="298">
                  <c:v>44231</c:v>
                </c:pt>
                <c:pt idx="299">
                  <c:v>44230</c:v>
                </c:pt>
                <c:pt idx="300">
                  <c:v>44229</c:v>
                </c:pt>
                <c:pt idx="301">
                  <c:v>44228</c:v>
                </c:pt>
                <c:pt idx="302">
                  <c:v>44225</c:v>
                </c:pt>
                <c:pt idx="303">
                  <c:v>44224</c:v>
                </c:pt>
                <c:pt idx="304">
                  <c:v>44223</c:v>
                </c:pt>
                <c:pt idx="305">
                  <c:v>44222</c:v>
                </c:pt>
                <c:pt idx="306">
                  <c:v>44221</c:v>
                </c:pt>
                <c:pt idx="307">
                  <c:v>44218</c:v>
                </c:pt>
                <c:pt idx="308">
                  <c:v>44217</c:v>
                </c:pt>
                <c:pt idx="309">
                  <c:v>44216</c:v>
                </c:pt>
                <c:pt idx="310">
                  <c:v>44215</c:v>
                </c:pt>
                <c:pt idx="311">
                  <c:v>44214</c:v>
                </c:pt>
                <c:pt idx="312">
                  <c:v>44211</c:v>
                </c:pt>
                <c:pt idx="313">
                  <c:v>44210</c:v>
                </c:pt>
                <c:pt idx="314">
                  <c:v>44209</c:v>
                </c:pt>
                <c:pt idx="315">
                  <c:v>44208</c:v>
                </c:pt>
                <c:pt idx="316">
                  <c:v>44207</c:v>
                </c:pt>
                <c:pt idx="317">
                  <c:v>44204</c:v>
                </c:pt>
                <c:pt idx="318">
                  <c:v>44203</c:v>
                </c:pt>
                <c:pt idx="319">
                  <c:v>44202</c:v>
                </c:pt>
                <c:pt idx="320">
                  <c:v>44201</c:v>
                </c:pt>
                <c:pt idx="321">
                  <c:v>44200</c:v>
                </c:pt>
                <c:pt idx="322">
                  <c:v>44196</c:v>
                </c:pt>
                <c:pt idx="323">
                  <c:v>44195</c:v>
                </c:pt>
                <c:pt idx="324">
                  <c:v>44194</c:v>
                </c:pt>
                <c:pt idx="325">
                  <c:v>44193</c:v>
                </c:pt>
                <c:pt idx="326">
                  <c:v>44189</c:v>
                </c:pt>
                <c:pt idx="327">
                  <c:v>44188</c:v>
                </c:pt>
                <c:pt idx="328">
                  <c:v>44187</c:v>
                </c:pt>
                <c:pt idx="329">
                  <c:v>44186</c:v>
                </c:pt>
                <c:pt idx="330">
                  <c:v>44183</c:v>
                </c:pt>
                <c:pt idx="331">
                  <c:v>44182</c:v>
                </c:pt>
                <c:pt idx="332">
                  <c:v>44181</c:v>
                </c:pt>
                <c:pt idx="333">
                  <c:v>44180</c:v>
                </c:pt>
                <c:pt idx="334">
                  <c:v>44179</c:v>
                </c:pt>
                <c:pt idx="335">
                  <c:v>44176</c:v>
                </c:pt>
                <c:pt idx="336">
                  <c:v>44175</c:v>
                </c:pt>
                <c:pt idx="337">
                  <c:v>44174</c:v>
                </c:pt>
                <c:pt idx="338">
                  <c:v>44173</c:v>
                </c:pt>
                <c:pt idx="339">
                  <c:v>44172</c:v>
                </c:pt>
                <c:pt idx="340">
                  <c:v>44169</c:v>
                </c:pt>
                <c:pt idx="341">
                  <c:v>44168</c:v>
                </c:pt>
                <c:pt idx="342">
                  <c:v>44167</c:v>
                </c:pt>
                <c:pt idx="343">
                  <c:v>44166</c:v>
                </c:pt>
                <c:pt idx="344">
                  <c:v>44165</c:v>
                </c:pt>
                <c:pt idx="345">
                  <c:v>44162</c:v>
                </c:pt>
                <c:pt idx="346">
                  <c:v>44161</c:v>
                </c:pt>
                <c:pt idx="347">
                  <c:v>44160</c:v>
                </c:pt>
                <c:pt idx="348">
                  <c:v>44159</c:v>
                </c:pt>
                <c:pt idx="349">
                  <c:v>44158</c:v>
                </c:pt>
                <c:pt idx="350">
                  <c:v>44155</c:v>
                </c:pt>
                <c:pt idx="351">
                  <c:v>44154</c:v>
                </c:pt>
                <c:pt idx="352">
                  <c:v>44153</c:v>
                </c:pt>
                <c:pt idx="353">
                  <c:v>44152</c:v>
                </c:pt>
                <c:pt idx="354">
                  <c:v>44151</c:v>
                </c:pt>
                <c:pt idx="355">
                  <c:v>44148</c:v>
                </c:pt>
                <c:pt idx="356">
                  <c:v>44147</c:v>
                </c:pt>
                <c:pt idx="357">
                  <c:v>44146</c:v>
                </c:pt>
                <c:pt idx="358">
                  <c:v>44145</c:v>
                </c:pt>
                <c:pt idx="359">
                  <c:v>44144</c:v>
                </c:pt>
                <c:pt idx="360">
                  <c:v>44141</c:v>
                </c:pt>
                <c:pt idx="361">
                  <c:v>44140</c:v>
                </c:pt>
                <c:pt idx="362">
                  <c:v>44139</c:v>
                </c:pt>
                <c:pt idx="363">
                  <c:v>44138</c:v>
                </c:pt>
                <c:pt idx="364">
                  <c:v>44137</c:v>
                </c:pt>
                <c:pt idx="365">
                  <c:v>44134</c:v>
                </c:pt>
                <c:pt idx="366">
                  <c:v>44133</c:v>
                </c:pt>
                <c:pt idx="367">
                  <c:v>44132</c:v>
                </c:pt>
                <c:pt idx="368">
                  <c:v>44131</c:v>
                </c:pt>
                <c:pt idx="369">
                  <c:v>44130</c:v>
                </c:pt>
                <c:pt idx="370">
                  <c:v>44127</c:v>
                </c:pt>
                <c:pt idx="371">
                  <c:v>44126</c:v>
                </c:pt>
                <c:pt idx="372">
                  <c:v>44125</c:v>
                </c:pt>
                <c:pt idx="373">
                  <c:v>44124</c:v>
                </c:pt>
                <c:pt idx="374">
                  <c:v>44123</c:v>
                </c:pt>
                <c:pt idx="375">
                  <c:v>44120</c:v>
                </c:pt>
                <c:pt idx="376">
                  <c:v>44119</c:v>
                </c:pt>
                <c:pt idx="377">
                  <c:v>44118</c:v>
                </c:pt>
                <c:pt idx="378">
                  <c:v>44117</c:v>
                </c:pt>
                <c:pt idx="379">
                  <c:v>44116</c:v>
                </c:pt>
                <c:pt idx="380">
                  <c:v>44113</c:v>
                </c:pt>
                <c:pt idx="381">
                  <c:v>44112</c:v>
                </c:pt>
                <c:pt idx="382">
                  <c:v>44111</c:v>
                </c:pt>
                <c:pt idx="383">
                  <c:v>44110</c:v>
                </c:pt>
                <c:pt idx="384">
                  <c:v>44109</c:v>
                </c:pt>
                <c:pt idx="385">
                  <c:v>44106</c:v>
                </c:pt>
                <c:pt idx="386">
                  <c:v>44105</c:v>
                </c:pt>
                <c:pt idx="387">
                  <c:v>44104</c:v>
                </c:pt>
                <c:pt idx="388">
                  <c:v>44103</c:v>
                </c:pt>
                <c:pt idx="389">
                  <c:v>44102</c:v>
                </c:pt>
                <c:pt idx="390">
                  <c:v>44099</c:v>
                </c:pt>
                <c:pt idx="391">
                  <c:v>44098</c:v>
                </c:pt>
                <c:pt idx="392">
                  <c:v>44097</c:v>
                </c:pt>
                <c:pt idx="393">
                  <c:v>44096</c:v>
                </c:pt>
                <c:pt idx="394">
                  <c:v>44095</c:v>
                </c:pt>
                <c:pt idx="395">
                  <c:v>44092</c:v>
                </c:pt>
                <c:pt idx="396">
                  <c:v>44091</c:v>
                </c:pt>
                <c:pt idx="397">
                  <c:v>44090</c:v>
                </c:pt>
                <c:pt idx="398">
                  <c:v>44089</c:v>
                </c:pt>
                <c:pt idx="399">
                  <c:v>44088</c:v>
                </c:pt>
                <c:pt idx="400">
                  <c:v>44085</c:v>
                </c:pt>
                <c:pt idx="401">
                  <c:v>44084</c:v>
                </c:pt>
                <c:pt idx="402">
                  <c:v>44083</c:v>
                </c:pt>
                <c:pt idx="403">
                  <c:v>44082</c:v>
                </c:pt>
                <c:pt idx="404">
                  <c:v>44081</c:v>
                </c:pt>
                <c:pt idx="405">
                  <c:v>44078</c:v>
                </c:pt>
                <c:pt idx="406">
                  <c:v>44077</c:v>
                </c:pt>
                <c:pt idx="407">
                  <c:v>44076</c:v>
                </c:pt>
                <c:pt idx="408">
                  <c:v>44075</c:v>
                </c:pt>
                <c:pt idx="409">
                  <c:v>44074</c:v>
                </c:pt>
                <c:pt idx="410">
                  <c:v>44071</c:v>
                </c:pt>
                <c:pt idx="411">
                  <c:v>44070</c:v>
                </c:pt>
                <c:pt idx="412">
                  <c:v>44069</c:v>
                </c:pt>
                <c:pt idx="413">
                  <c:v>44068</c:v>
                </c:pt>
                <c:pt idx="414">
                  <c:v>44067</c:v>
                </c:pt>
                <c:pt idx="415">
                  <c:v>44064</c:v>
                </c:pt>
                <c:pt idx="416">
                  <c:v>44063</c:v>
                </c:pt>
                <c:pt idx="417">
                  <c:v>44062</c:v>
                </c:pt>
                <c:pt idx="418">
                  <c:v>44061</c:v>
                </c:pt>
                <c:pt idx="419">
                  <c:v>44060</c:v>
                </c:pt>
                <c:pt idx="420">
                  <c:v>44057</c:v>
                </c:pt>
                <c:pt idx="421">
                  <c:v>44056</c:v>
                </c:pt>
                <c:pt idx="422">
                  <c:v>44055</c:v>
                </c:pt>
                <c:pt idx="423">
                  <c:v>44054</c:v>
                </c:pt>
                <c:pt idx="424">
                  <c:v>44053</c:v>
                </c:pt>
                <c:pt idx="425">
                  <c:v>44050</c:v>
                </c:pt>
                <c:pt idx="426">
                  <c:v>44049</c:v>
                </c:pt>
                <c:pt idx="427">
                  <c:v>44048</c:v>
                </c:pt>
                <c:pt idx="428">
                  <c:v>44047</c:v>
                </c:pt>
                <c:pt idx="429">
                  <c:v>44046</c:v>
                </c:pt>
                <c:pt idx="430">
                  <c:v>44043</c:v>
                </c:pt>
                <c:pt idx="431">
                  <c:v>44042</c:v>
                </c:pt>
                <c:pt idx="432">
                  <c:v>44041</c:v>
                </c:pt>
                <c:pt idx="433">
                  <c:v>44040</c:v>
                </c:pt>
                <c:pt idx="434">
                  <c:v>44039</c:v>
                </c:pt>
                <c:pt idx="435">
                  <c:v>44036</c:v>
                </c:pt>
                <c:pt idx="436">
                  <c:v>44035</c:v>
                </c:pt>
                <c:pt idx="437">
                  <c:v>44034</c:v>
                </c:pt>
                <c:pt idx="438">
                  <c:v>44033</c:v>
                </c:pt>
                <c:pt idx="439">
                  <c:v>44032</c:v>
                </c:pt>
                <c:pt idx="440">
                  <c:v>44029</c:v>
                </c:pt>
                <c:pt idx="441">
                  <c:v>44028</c:v>
                </c:pt>
                <c:pt idx="442">
                  <c:v>44027</c:v>
                </c:pt>
                <c:pt idx="443">
                  <c:v>44026</c:v>
                </c:pt>
                <c:pt idx="444">
                  <c:v>44025</c:v>
                </c:pt>
                <c:pt idx="445">
                  <c:v>44022</c:v>
                </c:pt>
                <c:pt idx="446">
                  <c:v>44021</c:v>
                </c:pt>
                <c:pt idx="447">
                  <c:v>44020</c:v>
                </c:pt>
                <c:pt idx="448">
                  <c:v>44019</c:v>
                </c:pt>
                <c:pt idx="449">
                  <c:v>44018</c:v>
                </c:pt>
                <c:pt idx="450">
                  <c:v>44015</c:v>
                </c:pt>
                <c:pt idx="451">
                  <c:v>44014</c:v>
                </c:pt>
                <c:pt idx="452">
                  <c:v>44013</c:v>
                </c:pt>
                <c:pt idx="453">
                  <c:v>44012</c:v>
                </c:pt>
                <c:pt idx="454">
                  <c:v>44011</c:v>
                </c:pt>
                <c:pt idx="455">
                  <c:v>44008</c:v>
                </c:pt>
                <c:pt idx="456">
                  <c:v>44007</c:v>
                </c:pt>
              </c:numCache>
            </c:numRef>
          </c:cat>
          <c:val>
            <c:numRef>
              <c:f>'[Hartije od vrednosti na medjunarodnom trzistu SAJT 04.04.2022 (00000002).xlsx]EUROBOND 2027 offline'!$B$23:$B$479</c:f>
              <c:numCache>
                <c:formatCode>#,##0.000</c:formatCode>
                <c:ptCount val="457"/>
                <c:pt idx="0">
                  <c:v>97.543999999999997</c:v>
                </c:pt>
                <c:pt idx="1">
                  <c:v>97.016999999999996</c:v>
                </c:pt>
                <c:pt idx="2">
                  <c:v>96.876999999999995</c:v>
                </c:pt>
                <c:pt idx="3">
                  <c:v>96.668999999999997</c:v>
                </c:pt>
                <c:pt idx="4">
                  <c:v>96.712999999999994</c:v>
                </c:pt>
                <c:pt idx="5">
                  <c:v>96.816999999999993</c:v>
                </c:pt>
                <c:pt idx="6">
                  <c:v>97.070999999999998</c:v>
                </c:pt>
                <c:pt idx="7">
                  <c:v>97.167000000000002</c:v>
                </c:pt>
                <c:pt idx="8">
                  <c:v>97.527000000000001</c:v>
                </c:pt>
                <c:pt idx="9">
                  <c:v>97.221000000000004</c:v>
                </c:pt>
                <c:pt idx="10">
                  <c:v>96.631</c:v>
                </c:pt>
                <c:pt idx="11">
                  <c:v>94.795000000000002</c:v>
                </c:pt>
                <c:pt idx="12">
                  <c:v>92.338999999999999</c:v>
                </c:pt>
                <c:pt idx="13">
                  <c:v>92.093000000000004</c:v>
                </c:pt>
                <c:pt idx="14">
                  <c:v>92.14</c:v>
                </c:pt>
                <c:pt idx="15">
                  <c:v>92.123999999999995</c:v>
                </c:pt>
                <c:pt idx="16">
                  <c:v>92.436999999999998</c:v>
                </c:pt>
                <c:pt idx="17">
                  <c:v>92.489000000000004</c:v>
                </c:pt>
                <c:pt idx="18">
                  <c:v>93.31</c:v>
                </c:pt>
                <c:pt idx="19">
                  <c:v>94.578999999999994</c:v>
                </c:pt>
                <c:pt idx="20">
                  <c:v>96.042000000000002</c:v>
                </c:pt>
                <c:pt idx="21">
                  <c:v>96.679000000000002</c:v>
                </c:pt>
                <c:pt idx="22">
                  <c:v>97.466999999999999</c:v>
                </c:pt>
                <c:pt idx="23">
                  <c:v>98.162000000000006</c:v>
                </c:pt>
                <c:pt idx="24">
                  <c:v>99.475999999999999</c:v>
                </c:pt>
                <c:pt idx="25">
                  <c:v>98.885999999999996</c:v>
                </c:pt>
                <c:pt idx="26">
                  <c:v>100.922</c:v>
                </c:pt>
                <c:pt idx="27">
                  <c:v>102.203</c:v>
                </c:pt>
                <c:pt idx="28">
                  <c:v>102.699</c:v>
                </c:pt>
                <c:pt idx="29">
                  <c:v>102.97</c:v>
                </c:pt>
                <c:pt idx="30">
                  <c:v>103.051</c:v>
                </c:pt>
                <c:pt idx="31">
                  <c:v>103.116</c:v>
                </c:pt>
                <c:pt idx="32">
                  <c:v>103.09399999999999</c:v>
                </c:pt>
                <c:pt idx="33">
                  <c:v>103.185</c:v>
                </c:pt>
                <c:pt idx="34">
                  <c:v>103.34</c:v>
                </c:pt>
                <c:pt idx="35">
                  <c:v>103.687</c:v>
                </c:pt>
                <c:pt idx="36">
                  <c:v>103.979</c:v>
                </c:pt>
                <c:pt idx="37">
                  <c:v>103.774</c:v>
                </c:pt>
                <c:pt idx="38">
                  <c:v>104.211</c:v>
                </c:pt>
                <c:pt idx="39">
                  <c:v>105.164</c:v>
                </c:pt>
                <c:pt idx="40">
                  <c:v>106.23699999999999</c:v>
                </c:pt>
                <c:pt idx="41">
                  <c:v>106.63500000000001</c:v>
                </c:pt>
                <c:pt idx="42">
                  <c:v>106.747</c:v>
                </c:pt>
                <c:pt idx="43">
                  <c:v>106.899</c:v>
                </c:pt>
                <c:pt idx="44">
                  <c:v>106.965</c:v>
                </c:pt>
                <c:pt idx="45">
                  <c:v>107.003</c:v>
                </c:pt>
                <c:pt idx="46">
                  <c:v>107.08</c:v>
                </c:pt>
                <c:pt idx="47">
                  <c:v>107.02200000000001</c:v>
                </c:pt>
                <c:pt idx="48">
                  <c:v>106.97499999999999</c:v>
                </c:pt>
                <c:pt idx="49">
                  <c:v>106.985</c:v>
                </c:pt>
                <c:pt idx="50">
                  <c:v>106.76900000000001</c:v>
                </c:pt>
                <c:pt idx="51">
                  <c:v>106.637</c:v>
                </c:pt>
                <c:pt idx="52">
                  <c:v>106.70699999999999</c:v>
                </c:pt>
                <c:pt idx="53">
                  <c:v>106.80500000000001</c:v>
                </c:pt>
                <c:pt idx="54">
                  <c:v>106.89100000000001</c:v>
                </c:pt>
                <c:pt idx="55">
                  <c:v>106.998</c:v>
                </c:pt>
                <c:pt idx="56">
                  <c:v>106.806</c:v>
                </c:pt>
                <c:pt idx="57">
                  <c:v>106.64400000000001</c:v>
                </c:pt>
                <c:pt idx="58">
                  <c:v>106.622</c:v>
                </c:pt>
                <c:pt idx="59">
                  <c:v>106.727</c:v>
                </c:pt>
                <c:pt idx="60">
                  <c:v>106.639</c:v>
                </c:pt>
                <c:pt idx="61">
                  <c:v>106.837</c:v>
                </c:pt>
                <c:pt idx="62">
                  <c:v>106.77800000000001</c:v>
                </c:pt>
                <c:pt idx="63">
                  <c:v>106.82</c:v>
                </c:pt>
                <c:pt idx="64">
                  <c:v>106.816</c:v>
                </c:pt>
                <c:pt idx="65">
                  <c:v>106.813</c:v>
                </c:pt>
                <c:pt idx="66">
                  <c:v>106.785</c:v>
                </c:pt>
                <c:pt idx="67">
                  <c:v>106.78100000000001</c:v>
                </c:pt>
                <c:pt idx="68">
                  <c:v>106.78100000000001</c:v>
                </c:pt>
                <c:pt idx="69">
                  <c:v>106.776</c:v>
                </c:pt>
                <c:pt idx="70">
                  <c:v>106.768</c:v>
                </c:pt>
                <c:pt idx="71">
                  <c:v>106.857</c:v>
                </c:pt>
                <c:pt idx="72">
                  <c:v>106.91</c:v>
                </c:pt>
                <c:pt idx="73">
                  <c:v>106.952</c:v>
                </c:pt>
                <c:pt idx="74">
                  <c:v>106.943</c:v>
                </c:pt>
                <c:pt idx="75">
                  <c:v>106.812</c:v>
                </c:pt>
                <c:pt idx="76">
                  <c:v>106.72499999999999</c:v>
                </c:pt>
                <c:pt idx="77">
                  <c:v>106.71299999999999</c:v>
                </c:pt>
                <c:pt idx="78">
                  <c:v>106.664</c:v>
                </c:pt>
                <c:pt idx="79">
                  <c:v>106.703</c:v>
                </c:pt>
                <c:pt idx="80">
                  <c:v>106.73099999999999</c:v>
                </c:pt>
                <c:pt idx="81">
                  <c:v>106.726</c:v>
                </c:pt>
                <c:pt idx="82">
                  <c:v>106.771</c:v>
                </c:pt>
                <c:pt idx="83">
                  <c:v>106.697</c:v>
                </c:pt>
                <c:pt idx="84">
                  <c:v>106.721</c:v>
                </c:pt>
                <c:pt idx="85">
                  <c:v>106.553</c:v>
                </c:pt>
                <c:pt idx="86">
                  <c:v>105.983</c:v>
                </c:pt>
                <c:pt idx="87">
                  <c:v>105.777</c:v>
                </c:pt>
                <c:pt idx="88">
                  <c:v>105.85299999999999</c:v>
                </c:pt>
                <c:pt idx="89">
                  <c:v>106.131</c:v>
                </c:pt>
                <c:pt idx="90">
                  <c:v>106.60599999999999</c:v>
                </c:pt>
                <c:pt idx="91">
                  <c:v>106.90600000000001</c:v>
                </c:pt>
                <c:pt idx="92">
                  <c:v>107.233</c:v>
                </c:pt>
                <c:pt idx="93">
                  <c:v>107.819</c:v>
                </c:pt>
                <c:pt idx="94">
                  <c:v>108.02500000000001</c:v>
                </c:pt>
                <c:pt idx="95">
                  <c:v>108.15600000000001</c:v>
                </c:pt>
                <c:pt idx="96">
                  <c:v>108.262</c:v>
                </c:pt>
                <c:pt idx="97">
                  <c:v>108.327</c:v>
                </c:pt>
                <c:pt idx="98">
                  <c:v>108.408</c:v>
                </c:pt>
                <c:pt idx="99">
                  <c:v>108.53100000000001</c:v>
                </c:pt>
                <c:pt idx="100">
                  <c:v>108.501</c:v>
                </c:pt>
                <c:pt idx="101">
                  <c:v>108.65</c:v>
                </c:pt>
                <c:pt idx="102">
                  <c:v>108.876</c:v>
                </c:pt>
                <c:pt idx="103">
                  <c:v>108.876</c:v>
                </c:pt>
                <c:pt idx="104">
                  <c:v>108.75700000000001</c:v>
                </c:pt>
                <c:pt idx="105">
                  <c:v>108.717</c:v>
                </c:pt>
                <c:pt idx="106">
                  <c:v>108.64100000000001</c:v>
                </c:pt>
                <c:pt idx="107">
                  <c:v>108.625</c:v>
                </c:pt>
                <c:pt idx="108">
                  <c:v>108.587</c:v>
                </c:pt>
                <c:pt idx="109">
                  <c:v>108.726</c:v>
                </c:pt>
                <c:pt idx="110">
                  <c:v>108.861</c:v>
                </c:pt>
                <c:pt idx="111">
                  <c:v>108.871</c:v>
                </c:pt>
                <c:pt idx="112">
                  <c:v>108.783</c:v>
                </c:pt>
                <c:pt idx="113">
                  <c:v>108.822</c:v>
                </c:pt>
                <c:pt idx="114">
                  <c:v>108.922</c:v>
                </c:pt>
                <c:pt idx="115">
                  <c:v>108.937</c:v>
                </c:pt>
                <c:pt idx="116">
                  <c:v>108.997</c:v>
                </c:pt>
                <c:pt idx="117">
                  <c:v>109.059</c:v>
                </c:pt>
                <c:pt idx="118">
                  <c:v>109.09099999999999</c:v>
                </c:pt>
                <c:pt idx="119">
                  <c:v>109.203</c:v>
                </c:pt>
                <c:pt idx="120">
                  <c:v>109.255</c:v>
                </c:pt>
                <c:pt idx="121">
                  <c:v>109.089</c:v>
                </c:pt>
                <c:pt idx="122">
                  <c:v>109.063</c:v>
                </c:pt>
                <c:pt idx="123">
                  <c:v>109.241</c:v>
                </c:pt>
                <c:pt idx="124">
                  <c:v>109.361</c:v>
                </c:pt>
                <c:pt idx="125">
                  <c:v>109.479</c:v>
                </c:pt>
                <c:pt idx="126">
                  <c:v>109.389</c:v>
                </c:pt>
                <c:pt idx="127">
                  <c:v>109.57599999999999</c:v>
                </c:pt>
                <c:pt idx="128">
                  <c:v>109.66800000000001</c:v>
                </c:pt>
                <c:pt idx="129">
                  <c:v>109.825</c:v>
                </c:pt>
                <c:pt idx="130">
                  <c:v>110.11</c:v>
                </c:pt>
                <c:pt idx="131">
                  <c:v>110.17700000000001</c:v>
                </c:pt>
                <c:pt idx="132">
                  <c:v>110.203</c:v>
                </c:pt>
                <c:pt idx="133">
                  <c:v>110.491</c:v>
                </c:pt>
                <c:pt idx="134">
                  <c:v>110.629</c:v>
                </c:pt>
                <c:pt idx="135">
                  <c:v>110.727</c:v>
                </c:pt>
                <c:pt idx="136">
                  <c:v>110.80800000000001</c:v>
                </c:pt>
                <c:pt idx="137">
                  <c:v>110.866</c:v>
                </c:pt>
                <c:pt idx="138">
                  <c:v>110.93600000000001</c:v>
                </c:pt>
                <c:pt idx="139">
                  <c:v>111.026</c:v>
                </c:pt>
                <c:pt idx="140">
                  <c:v>110.822</c:v>
                </c:pt>
                <c:pt idx="141">
                  <c:v>110.833</c:v>
                </c:pt>
                <c:pt idx="142">
                  <c:v>110.8</c:v>
                </c:pt>
                <c:pt idx="143">
                  <c:v>111.221</c:v>
                </c:pt>
                <c:pt idx="144">
                  <c:v>111.35899999999999</c:v>
                </c:pt>
                <c:pt idx="145">
                  <c:v>111.375</c:v>
                </c:pt>
                <c:pt idx="146">
                  <c:v>111.378</c:v>
                </c:pt>
                <c:pt idx="147">
                  <c:v>111.499</c:v>
                </c:pt>
                <c:pt idx="148">
                  <c:v>111.532</c:v>
                </c:pt>
                <c:pt idx="149">
                  <c:v>111.548</c:v>
                </c:pt>
                <c:pt idx="150">
                  <c:v>111.562</c:v>
                </c:pt>
                <c:pt idx="151">
                  <c:v>111.541</c:v>
                </c:pt>
                <c:pt idx="152">
                  <c:v>111.858</c:v>
                </c:pt>
                <c:pt idx="153">
                  <c:v>111.69499999999999</c:v>
                </c:pt>
                <c:pt idx="154">
                  <c:v>111.72499999999999</c:v>
                </c:pt>
                <c:pt idx="155">
                  <c:v>111.649</c:v>
                </c:pt>
                <c:pt idx="156">
                  <c:v>111.696</c:v>
                </c:pt>
                <c:pt idx="157">
                  <c:v>111.70699999999999</c:v>
                </c:pt>
                <c:pt idx="158">
                  <c:v>111.685</c:v>
                </c:pt>
                <c:pt idx="159">
                  <c:v>111.669</c:v>
                </c:pt>
                <c:pt idx="160">
                  <c:v>111.646</c:v>
                </c:pt>
                <c:pt idx="161">
                  <c:v>111.65300000000001</c:v>
                </c:pt>
                <c:pt idx="162">
                  <c:v>111.629</c:v>
                </c:pt>
                <c:pt idx="163">
                  <c:v>111.633</c:v>
                </c:pt>
                <c:pt idx="164">
                  <c:v>111.637</c:v>
                </c:pt>
                <c:pt idx="165">
                  <c:v>111.652</c:v>
                </c:pt>
                <c:pt idx="166">
                  <c:v>111.642</c:v>
                </c:pt>
                <c:pt idx="167">
                  <c:v>111.715</c:v>
                </c:pt>
                <c:pt idx="168">
                  <c:v>111.785</c:v>
                </c:pt>
                <c:pt idx="169">
                  <c:v>111.78</c:v>
                </c:pt>
                <c:pt idx="170">
                  <c:v>111.807</c:v>
                </c:pt>
                <c:pt idx="171">
                  <c:v>111.73699999999999</c:v>
                </c:pt>
                <c:pt idx="172">
                  <c:v>111.666</c:v>
                </c:pt>
                <c:pt idx="173">
                  <c:v>111.59</c:v>
                </c:pt>
                <c:pt idx="174">
                  <c:v>111.566</c:v>
                </c:pt>
                <c:pt idx="175">
                  <c:v>111.54300000000001</c:v>
                </c:pt>
                <c:pt idx="176">
                  <c:v>111.54300000000001</c:v>
                </c:pt>
                <c:pt idx="177">
                  <c:v>111.56399999999999</c:v>
                </c:pt>
                <c:pt idx="178">
                  <c:v>111.551</c:v>
                </c:pt>
                <c:pt idx="179">
                  <c:v>111.551</c:v>
                </c:pt>
                <c:pt idx="180">
                  <c:v>111.52500000000001</c:v>
                </c:pt>
                <c:pt idx="181">
                  <c:v>111.51300000000001</c:v>
                </c:pt>
                <c:pt idx="182">
                  <c:v>111.505</c:v>
                </c:pt>
                <c:pt idx="183">
                  <c:v>111.482</c:v>
                </c:pt>
                <c:pt idx="184">
                  <c:v>111.498</c:v>
                </c:pt>
                <c:pt idx="185">
                  <c:v>111.47799999999999</c:v>
                </c:pt>
                <c:pt idx="186">
                  <c:v>111.432</c:v>
                </c:pt>
                <c:pt idx="187">
                  <c:v>111.452</c:v>
                </c:pt>
                <c:pt idx="188">
                  <c:v>111.46299999999999</c:v>
                </c:pt>
                <c:pt idx="189">
                  <c:v>111.459</c:v>
                </c:pt>
                <c:pt idx="190">
                  <c:v>111.468</c:v>
                </c:pt>
                <c:pt idx="191">
                  <c:v>111.476</c:v>
                </c:pt>
                <c:pt idx="192">
                  <c:v>111.464</c:v>
                </c:pt>
                <c:pt idx="193">
                  <c:v>111.467</c:v>
                </c:pt>
                <c:pt idx="194">
                  <c:v>111.46899999999999</c:v>
                </c:pt>
                <c:pt idx="195">
                  <c:v>111.459</c:v>
                </c:pt>
                <c:pt idx="196">
                  <c:v>111.411</c:v>
                </c:pt>
                <c:pt idx="197">
                  <c:v>111.39400000000001</c:v>
                </c:pt>
                <c:pt idx="198">
                  <c:v>111.366</c:v>
                </c:pt>
                <c:pt idx="199">
                  <c:v>111.34</c:v>
                </c:pt>
                <c:pt idx="200">
                  <c:v>111.348</c:v>
                </c:pt>
                <c:pt idx="201">
                  <c:v>111.35599999999999</c:v>
                </c:pt>
                <c:pt idx="202">
                  <c:v>111.345</c:v>
                </c:pt>
                <c:pt idx="203">
                  <c:v>111.417</c:v>
                </c:pt>
                <c:pt idx="204">
                  <c:v>111.458</c:v>
                </c:pt>
                <c:pt idx="205">
                  <c:v>111.43300000000001</c:v>
                </c:pt>
                <c:pt idx="206">
                  <c:v>111.56399999999999</c:v>
                </c:pt>
                <c:pt idx="207">
                  <c:v>111.53400000000001</c:v>
                </c:pt>
                <c:pt idx="208">
                  <c:v>111.64</c:v>
                </c:pt>
                <c:pt idx="209">
                  <c:v>111.626</c:v>
                </c:pt>
                <c:pt idx="210">
                  <c:v>111.443</c:v>
                </c:pt>
                <c:pt idx="211">
                  <c:v>111.372</c:v>
                </c:pt>
                <c:pt idx="212">
                  <c:v>111.214</c:v>
                </c:pt>
                <c:pt idx="213">
                  <c:v>111.06399999999999</c:v>
                </c:pt>
                <c:pt idx="214">
                  <c:v>111.051</c:v>
                </c:pt>
                <c:pt idx="215">
                  <c:v>111.023</c:v>
                </c:pt>
                <c:pt idx="216">
                  <c:v>111.004</c:v>
                </c:pt>
                <c:pt idx="217">
                  <c:v>110.96299999999999</c:v>
                </c:pt>
                <c:pt idx="218">
                  <c:v>110.964</c:v>
                </c:pt>
                <c:pt idx="219">
                  <c:v>110.935</c:v>
                </c:pt>
                <c:pt idx="220">
                  <c:v>110.932</c:v>
                </c:pt>
                <c:pt idx="221">
                  <c:v>110.84</c:v>
                </c:pt>
                <c:pt idx="222">
                  <c:v>110.685</c:v>
                </c:pt>
                <c:pt idx="223">
                  <c:v>110.621</c:v>
                </c:pt>
                <c:pt idx="224">
                  <c:v>110.572</c:v>
                </c:pt>
                <c:pt idx="225">
                  <c:v>110.402</c:v>
                </c:pt>
                <c:pt idx="226">
                  <c:v>110.19799999999999</c:v>
                </c:pt>
                <c:pt idx="227">
                  <c:v>110.334</c:v>
                </c:pt>
                <c:pt idx="228">
                  <c:v>110.53100000000001</c:v>
                </c:pt>
                <c:pt idx="229">
                  <c:v>110.54900000000001</c:v>
                </c:pt>
                <c:pt idx="230">
                  <c:v>110.521</c:v>
                </c:pt>
                <c:pt idx="231">
                  <c:v>110.623</c:v>
                </c:pt>
                <c:pt idx="232">
                  <c:v>110.735</c:v>
                </c:pt>
                <c:pt idx="233">
                  <c:v>110.80800000000001</c:v>
                </c:pt>
                <c:pt idx="234">
                  <c:v>110.758</c:v>
                </c:pt>
                <c:pt idx="235">
                  <c:v>110.625</c:v>
                </c:pt>
                <c:pt idx="236">
                  <c:v>110.349</c:v>
                </c:pt>
                <c:pt idx="237">
                  <c:v>110.21299999999999</c:v>
                </c:pt>
                <c:pt idx="238">
                  <c:v>110.232</c:v>
                </c:pt>
                <c:pt idx="239">
                  <c:v>110.205</c:v>
                </c:pt>
                <c:pt idx="240">
                  <c:v>110.235</c:v>
                </c:pt>
                <c:pt idx="241">
                  <c:v>110.32899999999999</c:v>
                </c:pt>
                <c:pt idx="242">
                  <c:v>110.6</c:v>
                </c:pt>
                <c:pt idx="243">
                  <c:v>110.65</c:v>
                </c:pt>
                <c:pt idx="244">
                  <c:v>110.753</c:v>
                </c:pt>
                <c:pt idx="245">
                  <c:v>110.764</c:v>
                </c:pt>
                <c:pt idx="246">
                  <c:v>110.782</c:v>
                </c:pt>
                <c:pt idx="247">
                  <c:v>110.883</c:v>
                </c:pt>
                <c:pt idx="248">
                  <c:v>111.01900000000001</c:v>
                </c:pt>
                <c:pt idx="249">
                  <c:v>111.044</c:v>
                </c:pt>
                <c:pt idx="250">
                  <c:v>111.086</c:v>
                </c:pt>
                <c:pt idx="251">
                  <c:v>111.084</c:v>
                </c:pt>
                <c:pt idx="252">
                  <c:v>111.099</c:v>
                </c:pt>
                <c:pt idx="253">
                  <c:v>111.133</c:v>
                </c:pt>
                <c:pt idx="254">
                  <c:v>111.145</c:v>
                </c:pt>
                <c:pt idx="255">
                  <c:v>111.173</c:v>
                </c:pt>
                <c:pt idx="256">
                  <c:v>111.14700000000001</c:v>
                </c:pt>
                <c:pt idx="257">
                  <c:v>111.078</c:v>
                </c:pt>
                <c:pt idx="258">
                  <c:v>111.029</c:v>
                </c:pt>
                <c:pt idx="259">
                  <c:v>110.92</c:v>
                </c:pt>
                <c:pt idx="260">
                  <c:v>110.93300000000001</c:v>
                </c:pt>
                <c:pt idx="261">
                  <c:v>111.014</c:v>
                </c:pt>
                <c:pt idx="262">
                  <c:v>111.032</c:v>
                </c:pt>
                <c:pt idx="263">
                  <c:v>111.056</c:v>
                </c:pt>
                <c:pt idx="264">
                  <c:v>111.03100000000001</c:v>
                </c:pt>
                <c:pt idx="265">
                  <c:v>111.00700000000001</c:v>
                </c:pt>
                <c:pt idx="266">
                  <c:v>111.008</c:v>
                </c:pt>
                <c:pt idx="267">
                  <c:v>110.98699999999999</c:v>
                </c:pt>
                <c:pt idx="268">
                  <c:v>111.004</c:v>
                </c:pt>
                <c:pt idx="269">
                  <c:v>111.08799999999999</c:v>
                </c:pt>
                <c:pt idx="270">
                  <c:v>111.13800000000001</c:v>
                </c:pt>
                <c:pt idx="271">
                  <c:v>111.07299999999999</c:v>
                </c:pt>
                <c:pt idx="272">
                  <c:v>111.005</c:v>
                </c:pt>
                <c:pt idx="273">
                  <c:v>111.18300000000001</c:v>
                </c:pt>
                <c:pt idx="274">
                  <c:v>110.694</c:v>
                </c:pt>
                <c:pt idx="275">
                  <c:v>110.621</c:v>
                </c:pt>
                <c:pt idx="276">
                  <c:v>110.578</c:v>
                </c:pt>
                <c:pt idx="277">
                  <c:v>110.86199999999999</c:v>
                </c:pt>
                <c:pt idx="278">
                  <c:v>111.035</c:v>
                </c:pt>
                <c:pt idx="279">
                  <c:v>111.11199999999999</c:v>
                </c:pt>
                <c:pt idx="280">
                  <c:v>111.191</c:v>
                </c:pt>
                <c:pt idx="281">
                  <c:v>111.084</c:v>
                </c:pt>
                <c:pt idx="282">
                  <c:v>110.88500000000001</c:v>
                </c:pt>
                <c:pt idx="283">
                  <c:v>110.962</c:v>
                </c:pt>
                <c:pt idx="284">
                  <c:v>111.08</c:v>
                </c:pt>
                <c:pt idx="285">
                  <c:v>111.20099999999999</c:v>
                </c:pt>
                <c:pt idx="286">
                  <c:v>111.259</c:v>
                </c:pt>
                <c:pt idx="287">
                  <c:v>111.486</c:v>
                </c:pt>
                <c:pt idx="288">
                  <c:v>111.703</c:v>
                </c:pt>
                <c:pt idx="289">
                  <c:v>111.78</c:v>
                </c:pt>
                <c:pt idx="290">
                  <c:v>111.95</c:v>
                </c:pt>
                <c:pt idx="291">
                  <c:v>112.078</c:v>
                </c:pt>
                <c:pt idx="292">
                  <c:v>112.215</c:v>
                </c:pt>
                <c:pt idx="293">
                  <c:v>112.277</c:v>
                </c:pt>
                <c:pt idx="294">
                  <c:v>112.229</c:v>
                </c:pt>
                <c:pt idx="295">
                  <c:v>112.254</c:v>
                </c:pt>
                <c:pt idx="296">
                  <c:v>112.321</c:v>
                </c:pt>
                <c:pt idx="297">
                  <c:v>112.361</c:v>
                </c:pt>
                <c:pt idx="298">
                  <c:v>112.238</c:v>
                </c:pt>
                <c:pt idx="299">
                  <c:v>112.104</c:v>
                </c:pt>
                <c:pt idx="300">
                  <c:v>112.05200000000001</c:v>
                </c:pt>
                <c:pt idx="301">
                  <c:v>112.004</c:v>
                </c:pt>
                <c:pt idx="302">
                  <c:v>111.91500000000001</c:v>
                </c:pt>
                <c:pt idx="303">
                  <c:v>111.89700000000001</c:v>
                </c:pt>
                <c:pt idx="304">
                  <c:v>111.721</c:v>
                </c:pt>
                <c:pt idx="305">
                  <c:v>111.738</c:v>
                </c:pt>
                <c:pt idx="306">
                  <c:v>111.752</c:v>
                </c:pt>
                <c:pt idx="307">
                  <c:v>111.777</c:v>
                </c:pt>
                <c:pt idx="308">
                  <c:v>111.899</c:v>
                </c:pt>
                <c:pt idx="309">
                  <c:v>111.995</c:v>
                </c:pt>
                <c:pt idx="310">
                  <c:v>112.089</c:v>
                </c:pt>
                <c:pt idx="311">
                  <c:v>112.111</c:v>
                </c:pt>
                <c:pt idx="312">
                  <c:v>112.233</c:v>
                </c:pt>
                <c:pt idx="313">
                  <c:v>112.33199999999999</c:v>
                </c:pt>
                <c:pt idx="314">
                  <c:v>112.249</c:v>
                </c:pt>
                <c:pt idx="315">
                  <c:v>112.169</c:v>
                </c:pt>
                <c:pt idx="316">
                  <c:v>112.578</c:v>
                </c:pt>
                <c:pt idx="317">
                  <c:v>112.685</c:v>
                </c:pt>
                <c:pt idx="318">
                  <c:v>112.755</c:v>
                </c:pt>
                <c:pt idx="319">
                  <c:v>112.93300000000001</c:v>
                </c:pt>
                <c:pt idx="320">
                  <c:v>112.952</c:v>
                </c:pt>
                <c:pt idx="321">
                  <c:v>112.977</c:v>
                </c:pt>
                <c:pt idx="322">
                  <c:v>112.633</c:v>
                </c:pt>
                <c:pt idx="323">
                  <c:v>112.524</c:v>
                </c:pt>
                <c:pt idx="324">
                  <c:v>112.498</c:v>
                </c:pt>
                <c:pt idx="325">
                  <c:v>112.399</c:v>
                </c:pt>
                <c:pt idx="326">
                  <c:v>112.47499999999999</c:v>
                </c:pt>
                <c:pt idx="327">
                  <c:v>112.411</c:v>
                </c:pt>
                <c:pt idx="328">
                  <c:v>112.387</c:v>
                </c:pt>
                <c:pt idx="329">
                  <c:v>112.426</c:v>
                </c:pt>
                <c:pt idx="330">
                  <c:v>112.414</c:v>
                </c:pt>
                <c:pt idx="331">
                  <c:v>112.32599999999999</c:v>
                </c:pt>
                <c:pt idx="332">
                  <c:v>112.173</c:v>
                </c:pt>
                <c:pt idx="333">
                  <c:v>112.127</c:v>
                </c:pt>
                <c:pt idx="334">
                  <c:v>112.05200000000001</c:v>
                </c:pt>
                <c:pt idx="335">
                  <c:v>112.053</c:v>
                </c:pt>
                <c:pt idx="336">
                  <c:v>112.04600000000001</c:v>
                </c:pt>
                <c:pt idx="337">
                  <c:v>112.065</c:v>
                </c:pt>
                <c:pt idx="338">
                  <c:v>112.035</c:v>
                </c:pt>
                <c:pt idx="339">
                  <c:v>112.01</c:v>
                </c:pt>
                <c:pt idx="340">
                  <c:v>112.006</c:v>
                </c:pt>
                <c:pt idx="341">
                  <c:v>111.871</c:v>
                </c:pt>
                <c:pt idx="342">
                  <c:v>111.824</c:v>
                </c:pt>
                <c:pt idx="343">
                  <c:v>111.879</c:v>
                </c:pt>
                <c:pt idx="344">
                  <c:v>111.94199999999999</c:v>
                </c:pt>
                <c:pt idx="345">
                  <c:v>111.898</c:v>
                </c:pt>
                <c:pt idx="346">
                  <c:v>111.902</c:v>
                </c:pt>
                <c:pt idx="347">
                  <c:v>111.887</c:v>
                </c:pt>
                <c:pt idx="348">
                  <c:v>111.88800000000001</c:v>
                </c:pt>
                <c:pt idx="349">
                  <c:v>111.488</c:v>
                </c:pt>
                <c:pt idx="350">
                  <c:v>110.801</c:v>
                </c:pt>
                <c:pt idx="351">
                  <c:v>110.78</c:v>
                </c:pt>
                <c:pt idx="352">
                  <c:v>110.73699999999999</c:v>
                </c:pt>
                <c:pt idx="353">
                  <c:v>110.678</c:v>
                </c:pt>
                <c:pt idx="354">
                  <c:v>110.65900000000001</c:v>
                </c:pt>
                <c:pt idx="355">
                  <c:v>110.56</c:v>
                </c:pt>
                <c:pt idx="356">
                  <c:v>110.578</c:v>
                </c:pt>
                <c:pt idx="357">
                  <c:v>110.681</c:v>
                </c:pt>
                <c:pt idx="358">
                  <c:v>110.621</c:v>
                </c:pt>
                <c:pt idx="359">
                  <c:v>110.679</c:v>
                </c:pt>
                <c:pt idx="360">
                  <c:v>110.351</c:v>
                </c:pt>
                <c:pt idx="361">
                  <c:v>110.383</c:v>
                </c:pt>
                <c:pt idx="362">
                  <c:v>109.67700000000001</c:v>
                </c:pt>
                <c:pt idx="363">
                  <c:v>109.254</c:v>
                </c:pt>
                <c:pt idx="364">
                  <c:v>108.977</c:v>
                </c:pt>
                <c:pt idx="365">
                  <c:v>108.92400000000001</c:v>
                </c:pt>
                <c:pt idx="366">
                  <c:v>108.96299999999999</c:v>
                </c:pt>
                <c:pt idx="367">
                  <c:v>109.01900000000001</c:v>
                </c:pt>
                <c:pt idx="368">
                  <c:v>109.389</c:v>
                </c:pt>
                <c:pt idx="369">
                  <c:v>109.44499999999999</c:v>
                </c:pt>
                <c:pt idx="370">
                  <c:v>109.61199999999999</c:v>
                </c:pt>
                <c:pt idx="371">
                  <c:v>109.318</c:v>
                </c:pt>
                <c:pt idx="372">
                  <c:v>109.262</c:v>
                </c:pt>
                <c:pt idx="373">
                  <c:v>109.342</c:v>
                </c:pt>
                <c:pt idx="374">
                  <c:v>109.438</c:v>
                </c:pt>
                <c:pt idx="375">
                  <c:v>109.236</c:v>
                </c:pt>
                <c:pt idx="376">
                  <c:v>108.848</c:v>
                </c:pt>
                <c:pt idx="377">
                  <c:v>108.80200000000001</c:v>
                </c:pt>
                <c:pt idx="378">
                  <c:v>108.762</c:v>
                </c:pt>
                <c:pt idx="379">
                  <c:v>108.474</c:v>
                </c:pt>
                <c:pt idx="380">
                  <c:v>108.334</c:v>
                </c:pt>
                <c:pt idx="381">
                  <c:v>108.16</c:v>
                </c:pt>
                <c:pt idx="382">
                  <c:v>107.688</c:v>
                </c:pt>
                <c:pt idx="383">
                  <c:v>107.608</c:v>
                </c:pt>
                <c:pt idx="384">
                  <c:v>107.508</c:v>
                </c:pt>
                <c:pt idx="385">
                  <c:v>107.441</c:v>
                </c:pt>
                <c:pt idx="386">
                  <c:v>107.383</c:v>
                </c:pt>
                <c:pt idx="387">
                  <c:v>107.099</c:v>
                </c:pt>
                <c:pt idx="388">
                  <c:v>107.15900000000001</c:v>
                </c:pt>
                <c:pt idx="389">
                  <c:v>107.447</c:v>
                </c:pt>
                <c:pt idx="390">
                  <c:v>107.47</c:v>
                </c:pt>
                <c:pt idx="391">
                  <c:v>107.462</c:v>
                </c:pt>
                <c:pt idx="392">
                  <c:v>107.703</c:v>
                </c:pt>
                <c:pt idx="393">
                  <c:v>107.762</c:v>
                </c:pt>
                <c:pt idx="394">
                  <c:v>107.9</c:v>
                </c:pt>
                <c:pt idx="395">
                  <c:v>108.238</c:v>
                </c:pt>
                <c:pt idx="396">
                  <c:v>108.248</c:v>
                </c:pt>
                <c:pt idx="397">
                  <c:v>108.298</c:v>
                </c:pt>
                <c:pt idx="398">
                  <c:v>108.255</c:v>
                </c:pt>
                <c:pt idx="399">
                  <c:v>107.976</c:v>
                </c:pt>
                <c:pt idx="400">
                  <c:v>107.843</c:v>
                </c:pt>
                <c:pt idx="401">
                  <c:v>107.785</c:v>
                </c:pt>
                <c:pt idx="402">
                  <c:v>107.744</c:v>
                </c:pt>
                <c:pt idx="403">
                  <c:v>107.714</c:v>
                </c:pt>
                <c:pt idx="404">
                  <c:v>107.741</c:v>
                </c:pt>
                <c:pt idx="405">
                  <c:v>107.711</c:v>
                </c:pt>
                <c:pt idx="406">
                  <c:v>107.602</c:v>
                </c:pt>
                <c:pt idx="407">
                  <c:v>107.489</c:v>
                </c:pt>
                <c:pt idx="408">
                  <c:v>107.264</c:v>
                </c:pt>
                <c:pt idx="409">
                  <c:v>107.23099999999999</c:v>
                </c:pt>
                <c:pt idx="410">
                  <c:v>107.212</c:v>
                </c:pt>
                <c:pt idx="411">
                  <c:v>107.242</c:v>
                </c:pt>
                <c:pt idx="412">
                  <c:v>107.258</c:v>
                </c:pt>
                <c:pt idx="413">
                  <c:v>107.256</c:v>
                </c:pt>
                <c:pt idx="414">
                  <c:v>107.29600000000001</c:v>
                </c:pt>
                <c:pt idx="415">
                  <c:v>107.259</c:v>
                </c:pt>
                <c:pt idx="416">
                  <c:v>107.256</c:v>
                </c:pt>
                <c:pt idx="417">
                  <c:v>107.265</c:v>
                </c:pt>
                <c:pt idx="418">
                  <c:v>107.25</c:v>
                </c:pt>
                <c:pt idx="419">
                  <c:v>107.34099999999999</c:v>
                </c:pt>
                <c:pt idx="420">
                  <c:v>107.324</c:v>
                </c:pt>
                <c:pt idx="421">
                  <c:v>107.358</c:v>
                </c:pt>
                <c:pt idx="422">
                  <c:v>107.20099999999999</c:v>
                </c:pt>
                <c:pt idx="423">
                  <c:v>107.242</c:v>
                </c:pt>
                <c:pt idx="424">
                  <c:v>107.196</c:v>
                </c:pt>
                <c:pt idx="425">
                  <c:v>107.04</c:v>
                </c:pt>
                <c:pt idx="426">
                  <c:v>106.967</c:v>
                </c:pt>
                <c:pt idx="427">
                  <c:v>106.833</c:v>
                </c:pt>
                <c:pt idx="428">
                  <c:v>106.72499999999999</c:v>
                </c:pt>
                <c:pt idx="429">
                  <c:v>106.658</c:v>
                </c:pt>
                <c:pt idx="430">
                  <c:v>106.63</c:v>
                </c:pt>
                <c:pt idx="431">
                  <c:v>106.623</c:v>
                </c:pt>
                <c:pt idx="432">
                  <c:v>106.854</c:v>
                </c:pt>
                <c:pt idx="433">
                  <c:v>106.923</c:v>
                </c:pt>
                <c:pt idx="434">
                  <c:v>107.059</c:v>
                </c:pt>
                <c:pt idx="435">
                  <c:v>107.191</c:v>
                </c:pt>
                <c:pt idx="436">
                  <c:v>107.684</c:v>
                </c:pt>
                <c:pt idx="437">
                  <c:v>106.65900000000001</c:v>
                </c:pt>
                <c:pt idx="438">
                  <c:v>106.36799999999999</c:v>
                </c:pt>
                <c:pt idx="439">
                  <c:v>106.02200000000001</c:v>
                </c:pt>
                <c:pt idx="440">
                  <c:v>105.786</c:v>
                </c:pt>
                <c:pt idx="441">
                  <c:v>105.54300000000001</c:v>
                </c:pt>
                <c:pt idx="442">
                  <c:v>105.477</c:v>
                </c:pt>
                <c:pt idx="443">
                  <c:v>105.29300000000001</c:v>
                </c:pt>
                <c:pt idx="444">
                  <c:v>105.383</c:v>
                </c:pt>
                <c:pt idx="445">
                  <c:v>105.465</c:v>
                </c:pt>
                <c:pt idx="446">
                  <c:v>105.77800000000001</c:v>
                </c:pt>
                <c:pt idx="447">
                  <c:v>106.14100000000001</c:v>
                </c:pt>
                <c:pt idx="448">
                  <c:v>106.11</c:v>
                </c:pt>
                <c:pt idx="449">
                  <c:v>105.73099999999999</c:v>
                </c:pt>
                <c:pt idx="450">
                  <c:v>105.417</c:v>
                </c:pt>
                <c:pt idx="451">
                  <c:v>105.28400000000001</c:v>
                </c:pt>
                <c:pt idx="452">
                  <c:v>104.90300000000001</c:v>
                </c:pt>
                <c:pt idx="453">
                  <c:v>104.837</c:v>
                </c:pt>
                <c:pt idx="454">
                  <c:v>104.81699999999999</c:v>
                </c:pt>
                <c:pt idx="455">
                  <c:v>104.80500000000001</c:v>
                </c:pt>
                <c:pt idx="456">
                  <c:v>104.756</c:v>
                </c:pt>
              </c:numCache>
            </c:numRef>
          </c:val>
          <c:extLst>
            <c:ext xmlns:c16="http://schemas.microsoft.com/office/drawing/2014/chart" uri="{C3380CC4-5D6E-409C-BE32-E72D297353CC}">
              <c16:uniqueId val="{00000000-7E75-4994-A703-5D0B0647533E}"/>
            </c:ext>
          </c:extLst>
        </c:ser>
        <c:dLbls>
          <c:showLegendKey val="0"/>
          <c:showVal val="0"/>
          <c:showCatName val="0"/>
          <c:showSerName val="0"/>
          <c:showPercent val="0"/>
          <c:showBubbleSize val="0"/>
        </c:dLbls>
        <c:axId val="180084096"/>
        <c:axId val="180089984"/>
      </c:areaChart>
      <c:lineChart>
        <c:grouping val="standard"/>
        <c:varyColors val="0"/>
        <c:ser>
          <c:idx val="1"/>
          <c:order val="1"/>
          <c:tx>
            <c:strRef>
              <c:f>'[Hartije od vrednosti na medjunarodnom trzistu SAJT 04.04.2022 (00000002).xlsx]EUROBOND 2027 offline'!$C$4</c:f>
              <c:strCache>
                <c:ptCount val="1"/>
                <c:pt idx="0">
                  <c:v>Средњи принос до доспећа</c:v>
                </c:pt>
              </c:strCache>
            </c:strRef>
          </c:tx>
          <c:spPr>
            <a:ln w="28575" cap="rnd" cmpd="sng" algn="ctr">
              <a:solidFill>
                <a:srgbClr val="4472C4">
                  <a:lumMod val="60000"/>
                  <a:lumOff val="40000"/>
                </a:srgbClr>
              </a:solidFill>
              <a:prstDash val="solid"/>
              <a:round/>
            </a:ln>
            <a:effectLst/>
          </c:spPr>
          <c:marker>
            <c:symbol val="none"/>
          </c:marker>
          <c:cat>
            <c:numRef>
              <c:f>'[Hartije od vrednosti na medjunarodnom trzistu SAJT 04.04.2022 (00000002).xlsx]EUROBOND 2027 offline'!$A$23:$A$479</c:f>
              <c:numCache>
                <c:formatCode>dd\/mm\/yy</c:formatCode>
                <c:ptCount val="457"/>
                <c:pt idx="0">
                  <c:v>44651</c:v>
                </c:pt>
                <c:pt idx="1">
                  <c:v>44650</c:v>
                </c:pt>
                <c:pt idx="2">
                  <c:v>44649</c:v>
                </c:pt>
                <c:pt idx="3">
                  <c:v>44648</c:v>
                </c:pt>
                <c:pt idx="4">
                  <c:v>44645</c:v>
                </c:pt>
                <c:pt idx="5">
                  <c:v>44644</c:v>
                </c:pt>
                <c:pt idx="6">
                  <c:v>44643</c:v>
                </c:pt>
                <c:pt idx="7">
                  <c:v>44642</c:v>
                </c:pt>
                <c:pt idx="8">
                  <c:v>44641</c:v>
                </c:pt>
                <c:pt idx="9">
                  <c:v>44638</c:v>
                </c:pt>
                <c:pt idx="10">
                  <c:v>44637</c:v>
                </c:pt>
                <c:pt idx="11">
                  <c:v>44636</c:v>
                </c:pt>
                <c:pt idx="12">
                  <c:v>44635</c:v>
                </c:pt>
                <c:pt idx="13">
                  <c:v>44634</c:v>
                </c:pt>
                <c:pt idx="14">
                  <c:v>44631</c:v>
                </c:pt>
                <c:pt idx="15">
                  <c:v>44630</c:v>
                </c:pt>
                <c:pt idx="16">
                  <c:v>44629</c:v>
                </c:pt>
                <c:pt idx="17">
                  <c:v>44628</c:v>
                </c:pt>
                <c:pt idx="18">
                  <c:v>44627</c:v>
                </c:pt>
                <c:pt idx="19">
                  <c:v>44624</c:v>
                </c:pt>
                <c:pt idx="20">
                  <c:v>44623</c:v>
                </c:pt>
                <c:pt idx="21">
                  <c:v>44622</c:v>
                </c:pt>
                <c:pt idx="22">
                  <c:v>44621</c:v>
                </c:pt>
                <c:pt idx="23">
                  <c:v>44620</c:v>
                </c:pt>
                <c:pt idx="24">
                  <c:v>44617</c:v>
                </c:pt>
                <c:pt idx="25">
                  <c:v>44616</c:v>
                </c:pt>
                <c:pt idx="26">
                  <c:v>44615</c:v>
                </c:pt>
                <c:pt idx="27">
                  <c:v>44614</c:v>
                </c:pt>
                <c:pt idx="28">
                  <c:v>44613</c:v>
                </c:pt>
                <c:pt idx="29">
                  <c:v>44610</c:v>
                </c:pt>
                <c:pt idx="30">
                  <c:v>44609</c:v>
                </c:pt>
                <c:pt idx="31">
                  <c:v>44608</c:v>
                </c:pt>
                <c:pt idx="32">
                  <c:v>44607</c:v>
                </c:pt>
                <c:pt idx="33">
                  <c:v>44606</c:v>
                </c:pt>
                <c:pt idx="34">
                  <c:v>44603</c:v>
                </c:pt>
                <c:pt idx="35">
                  <c:v>44602</c:v>
                </c:pt>
                <c:pt idx="36">
                  <c:v>44601</c:v>
                </c:pt>
                <c:pt idx="37">
                  <c:v>44600</c:v>
                </c:pt>
                <c:pt idx="38">
                  <c:v>44599</c:v>
                </c:pt>
                <c:pt idx="39">
                  <c:v>44596</c:v>
                </c:pt>
                <c:pt idx="40">
                  <c:v>44595</c:v>
                </c:pt>
                <c:pt idx="41">
                  <c:v>44594</c:v>
                </c:pt>
                <c:pt idx="42">
                  <c:v>44593</c:v>
                </c:pt>
                <c:pt idx="43">
                  <c:v>44592</c:v>
                </c:pt>
                <c:pt idx="44">
                  <c:v>44589</c:v>
                </c:pt>
                <c:pt idx="45">
                  <c:v>44588</c:v>
                </c:pt>
                <c:pt idx="46">
                  <c:v>44587</c:v>
                </c:pt>
                <c:pt idx="47">
                  <c:v>44586</c:v>
                </c:pt>
                <c:pt idx="48">
                  <c:v>44585</c:v>
                </c:pt>
                <c:pt idx="49">
                  <c:v>44582</c:v>
                </c:pt>
                <c:pt idx="50">
                  <c:v>44581</c:v>
                </c:pt>
                <c:pt idx="51">
                  <c:v>44580</c:v>
                </c:pt>
                <c:pt idx="52">
                  <c:v>44579</c:v>
                </c:pt>
                <c:pt idx="53">
                  <c:v>44578</c:v>
                </c:pt>
                <c:pt idx="54">
                  <c:v>44575</c:v>
                </c:pt>
                <c:pt idx="55">
                  <c:v>44574</c:v>
                </c:pt>
                <c:pt idx="56">
                  <c:v>44573</c:v>
                </c:pt>
                <c:pt idx="57">
                  <c:v>44572</c:v>
                </c:pt>
                <c:pt idx="58">
                  <c:v>44571</c:v>
                </c:pt>
                <c:pt idx="59">
                  <c:v>44568</c:v>
                </c:pt>
                <c:pt idx="60">
                  <c:v>44567</c:v>
                </c:pt>
                <c:pt idx="61">
                  <c:v>44566</c:v>
                </c:pt>
                <c:pt idx="62">
                  <c:v>44565</c:v>
                </c:pt>
                <c:pt idx="63">
                  <c:v>44564</c:v>
                </c:pt>
                <c:pt idx="64">
                  <c:v>44561</c:v>
                </c:pt>
                <c:pt idx="65">
                  <c:v>44560</c:v>
                </c:pt>
                <c:pt idx="66">
                  <c:v>44559</c:v>
                </c:pt>
                <c:pt idx="67">
                  <c:v>44558</c:v>
                </c:pt>
                <c:pt idx="68">
                  <c:v>44557</c:v>
                </c:pt>
                <c:pt idx="69">
                  <c:v>44554</c:v>
                </c:pt>
                <c:pt idx="70">
                  <c:v>44553</c:v>
                </c:pt>
                <c:pt idx="71">
                  <c:v>44552</c:v>
                </c:pt>
                <c:pt idx="72">
                  <c:v>44551</c:v>
                </c:pt>
                <c:pt idx="73">
                  <c:v>44550</c:v>
                </c:pt>
                <c:pt idx="74">
                  <c:v>44547</c:v>
                </c:pt>
                <c:pt idx="75">
                  <c:v>44546</c:v>
                </c:pt>
                <c:pt idx="76">
                  <c:v>44545</c:v>
                </c:pt>
                <c:pt idx="77">
                  <c:v>44544</c:v>
                </c:pt>
                <c:pt idx="78">
                  <c:v>44543</c:v>
                </c:pt>
                <c:pt idx="79">
                  <c:v>44540</c:v>
                </c:pt>
                <c:pt idx="80">
                  <c:v>44539</c:v>
                </c:pt>
                <c:pt idx="81">
                  <c:v>44538</c:v>
                </c:pt>
                <c:pt idx="82">
                  <c:v>44537</c:v>
                </c:pt>
                <c:pt idx="83">
                  <c:v>44536</c:v>
                </c:pt>
                <c:pt idx="84">
                  <c:v>44533</c:v>
                </c:pt>
                <c:pt idx="85">
                  <c:v>44532</c:v>
                </c:pt>
                <c:pt idx="86">
                  <c:v>44531</c:v>
                </c:pt>
                <c:pt idx="87">
                  <c:v>44530</c:v>
                </c:pt>
                <c:pt idx="88">
                  <c:v>44529</c:v>
                </c:pt>
                <c:pt idx="89">
                  <c:v>44526</c:v>
                </c:pt>
                <c:pt idx="90">
                  <c:v>44525</c:v>
                </c:pt>
                <c:pt idx="91">
                  <c:v>44524</c:v>
                </c:pt>
                <c:pt idx="92">
                  <c:v>44523</c:v>
                </c:pt>
                <c:pt idx="93">
                  <c:v>44522</c:v>
                </c:pt>
                <c:pt idx="94">
                  <c:v>44519</c:v>
                </c:pt>
                <c:pt idx="95">
                  <c:v>44518</c:v>
                </c:pt>
                <c:pt idx="96">
                  <c:v>44517</c:v>
                </c:pt>
                <c:pt idx="97">
                  <c:v>44516</c:v>
                </c:pt>
                <c:pt idx="98">
                  <c:v>44515</c:v>
                </c:pt>
                <c:pt idx="99">
                  <c:v>44512</c:v>
                </c:pt>
                <c:pt idx="100">
                  <c:v>44511</c:v>
                </c:pt>
                <c:pt idx="101">
                  <c:v>44510</c:v>
                </c:pt>
                <c:pt idx="102">
                  <c:v>44509</c:v>
                </c:pt>
                <c:pt idx="103">
                  <c:v>44508</c:v>
                </c:pt>
                <c:pt idx="104">
                  <c:v>44505</c:v>
                </c:pt>
                <c:pt idx="105">
                  <c:v>44504</c:v>
                </c:pt>
                <c:pt idx="106">
                  <c:v>44503</c:v>
                </c:pt>
                <c:pt idx="107">
                  <c:v>44502</c:v>
                </c:pt>
                <c:pt idx="108">
                  <c:v>44501</c:v>
                </c:pt>
                <c:pt idx="109">
                  <c:v>44498</c:v>
                </c:pt>
                <c:pt idx="110">
                  <c:v>44497</c:v>
                </c:pt>
                <c:pt idx="111">
                  <c:v>44496</c:v>
                </c:pt>
                <c:pt idx="112">
                  <c:v>44495</c:v>
                </c:pt>
                <c:pt idx="113">
                  <c:v>44494</c:v>
                </c:pt>
                <c:pt idx="114">
                  <c:v>44491</c:v>
                </c:pt>
                <c:pt idx="115">
                  <c:v>44490</c:v>
                </c:pt>
                <c:pt idx="116">
                  <c:v>44489</c:v>
                </c:pt>
                <c:pt idx="117">
                  <c:v>44488</c:v>
                </c:pt>
                <c:pt idx="118">
                  <c:v>44487</c:v>
                </c:pt>
                <c:pt idx="119">
                  <c:v>44484</c:v>
                </c:pt>
                <c:pt idx="120">
                  <c:v>44483</c:v>
                </c:pt>
                <c:pt idx="121">
                  <c:v>44482</c:v>
                </c:pt>
                <c:pt idx="122">
                  <c:v>44481</c:v>
                </c:pt>
                <c:pt idx="123">
                  <c:v>44480</c:v>
                </c:pt>
                <c:pt idx="124">
                  <c:v>44477</c:v>
                </c:pt>
                <c:pt idx="125">
                  <c:v>44476</c:v>
                </c:pt>
                <c:pt idx="126">
                  <c:v>44475</c:v>
                </c:pt>
                <c:pt idx="127">
                  <c:v>44474</c:v>
                </c:pt>
                <c:pt idx="128">
                  <c:v>44473</c:v>
                </c:pt>
                <c:pt idx="129">
                  <c:v>44470</c:v>
                </c:pt>
                <c:pt idx="130">
                  <c:v>44469</c:v>
                </c:pt>
                <c:pt idx="131">
                  <c:v>44468</c:v>
                </c:pt>
                <c:pt idx="132">
                  <c:v>44467</c:v>
                </c:pt>
                <c:pt idx="133">
                  <c:v>44466</c:v>
                </c:pt>
                <c:pt idx="134">
                  <c:v>44463</c:v>
                </c:pt>
                <c:pt idx="135">
                  <c:v>44462</c:v>
                </c:pt>
                <c:pt idx="136">
                  <c:v>44461</c:v>
                </c:pt>
                <c:pt idx="137">
                  <c:v>44460</c:v>
                </c:pt>
                <c:pt idx="138">
                  <c:v>44459</c:v>
                </c:pt>
                <c:pt idx="139">
                  <c:v>44456</c:v>
                </c:pt>
                <c:pt idx="140">
                  <c:v>44455</c:v>
                </c:pt>
                <c:pt idx="141">
                  <c:v>44454</c:v>
                </c:pt>
                <c:pt idx="142">
                  <c:v>44453</c:v>
                </c:pt>
                <c:pt idx="143">
                  <c:v>44452</c:v>
                </c:pt>
                <c:pt idx="144">
                  <c:v>44449</c:v>
                </c:pt>
                <c:pt idx="145">
                  <c:v>44448</c:v>
                </c:pt>
                <c:pt idx="146">
                  <c:v>44447</c:v>
                </c:pt>
                <c:pt idx="147">
                  <c:v>44446</c:v>
                </c:pt>
                <c:pt idx="148">
                  <c:v>44445</c:v>
                </c:pt>
                <c:pt idx="149">
                  <c:v>44442</c:v>
                </c:pt>
                <c:pt idx="150">
                  <c:v>44441</c:v>
                </c:pt>
                <c:pt idx="151">
                  <c:v>44440</c:v>
                </c:pt>
                <c:pt idx="152">
                  <c:v>44439</c:v>
                </c:pt>
                <c:pt idx="153">
                  <c:v>44438</c:v>
                </c:pt>
                <c:pt idx="154">
                  <c:v>44435</c:v>
                </c:pt>
                <c:pt idx="155">
                  <c:v>44434</c:v>
                </c:pt>
                <c:pt idx="156">
                  <c:v>44433</c:v>
                </c:pt>
                <c:pt idx="157">
                  <c:v>44432</c:v>
                </c:pt>
                <c:pt idx="158">
                  <c:v>44431</c:v>
                </c:pt>
                <c:pt idx="159">
                  <c:v>44428</c:v>
                </c:pt>
                <c:pt idx="160">
                  <c:v>44427</c:v>
                </c:pt>
                <c:pt idx="161">
                  <c:v>44426</c:v>
                </c:pt>
                <c:pt idx="162">
                  <c:v>44425</c:v>
                </c:pt>
                <c:pt idx="163">
                  <c:v>44424</c:v>
                </c:pt>
                <c:pt idx="164">
                  <c:v>44421</c:v>
                </c:pt>
                <c:pt idx="165">
                  <c:v>44420</c:v>
                </c:pt>
                <c:pt idx="166">
                  <c:v>44419</c:v>
                </c:pt>
                <c:pt idx="167">
                  <c:v>44418</c:v>
                </c:pt>
                <c:pt idx="168">
                  <c:v>44417</c:v>
                </c:pt>
                <c:pt idx="169">
                  <c:v>44414</c:v>
                </c:pt>
                <c:pt idx="170">
                  <c:v>44413</c:v>
                </c:pt>
                <c:pt idx="171">
                  <c:v>44412</c:v>
                </c:pt>
                <c:pt idx="172">
                  <c:v>44411</c:v>
                </c:pt>
                <c:pt idx="173">
                  <c:v>44410</c:v>
                </c:pt>
                <c:pt idx="174">
                  <c:v>44407</c:v>
                </c:pt>
                <c:pt idx="175">
                  <c:v>44406</c:v>
                </c:pt>
                <c:pt idx="176">
                  <c:v>44405</c:v>
                </c:pt>
                <c:pt idx="177">
                  <c:v>44404</c:v>
                </c:pt>
                <c:pt idx="178">
                  <c:v>44403</c:v>
                </c:pt>
                <c:pt idx="179">
                  <c:v>44400</c:v>
                </c:pt>
                <c:pt idx="180">
                  <c:v>44399</c:v>
                </c:pt>
                <c:pt idx="181">
                  <c:v>44398</c:v>
                </c:pt>
                <c:pt idx="182">
                  <c:v>44397</c:v>
                </c:pt>
                <c:pt idx="183">
                  <c:v>44396</c:v>
                </c:pt>
                <c:pt idx="184">
                  <c:v>44393</c:v>
                </c:pt>
                <c:pt idx="185">
                  <c:v>44392</c:v>
                </c:pt>
                <c:pt idx="186">
                  <c:v>44391</c:v>
                </c:pt>
                <c:pt idx="187">
                  <c:v>44390</c:v>
                </c:pt>
                <c:pt idx="188">
                  <c:v>44389</c:v>
                </c:pt>
                <c:pt idx="189">
                  <c:v>44386</c:v>
                </c:pt>
                <c:pt idx="190">
                  <c:v>44385</c:v>
                </c:pt>
                <c:pt idx="191">
                  <c:v>44384</c:v>
                </c:pt>
                <c:pt idx="192">
                  <c:v>44383</c:v>
                </c:pt>
                <c:pt idx="193">
                  <c:v>44382</c:v>
                </c:pt>
                <c:pt idx="194">
                  <c:v>44379</c:v>
                </c:pt>
                <c:pt idx="195">
                  <c:v>44378</c:v>
                </c:pt>
                <c:pt idx="196">
                  <c:v>44377</c:v>
                </c:pt>
                <c:pt idx="197">
                  <c:v>44376</c:v>
                </c:pt>
                <c:pt idx="198">
                  <c:v>44375</c:v>
                </c:pt>
                <c:pt idx="199">
                  <c:v>44372</c:v>
                </c:pt>
                <c:pt idx="200">
                  <c:v>44371</c:v>
                </c:pt>
                <c:pt idx="201">
                  <c:v>44370</c:v>
                </c:pt>
                <c:pt idx="202">
                  <c:v>44369</c:v>
                </c:pt>
                <c:pt idx="203">
                  <c:v>44368</c:v>
                </c:pt>
                <c:pt idx="204">
                  <c:v>44365</c:v>
                </c:pt>
                <c:pt idx="205">
                  <c:v>44364</c:v>
                </c:pt>
                <c:pt idx="206">
                  <c:v>44363</c:v>
                </c:pt>
                <c:pt idx="207">
                  <c:v>44362</c:v>
                </c:pt>
                <c:pt idx="208">
                  <c:v>44361</c:v>
                </c:pt>
                <c:pt idx="209">
                  <c:v>44358</c:v>
                </c:pt>
                <c:pt idx="210">
                  <c:v>44357</c:v>
                </c:pt>
                <c:pt idx="211">
                  <c:v>44356</c:v>
                </c:pt>
                <c:pt idx="212">
                  <c:v>44355</c:v>
                </c:pt>
                <c:pt idx="213">
                  <c:v>44354</c:v>
                </c:pt>
                <c:pt idx="214">
                  <c:v>44351</c:v>
                </c:pt>
                <c:pt idx="215">
                  <c:v>44350</c:v>
                </c:pt>
                <c:pt idx="216">
                  <c:v>44349</c:v>
                </c:pt>
                <c:pt idx="217">
                  <c:v>44348</c:v>
                </c:pt>
                <c:pt idx="218">
                  <c:v>44347</c:v>
                </c:pt>
                <c:pt idx="219">
                  <c:v>44344</c:v>
                </c:pt>
                <c:pt idx="220">
                  <c:v>44343</c:v>
                </c:pt>
                <c:pt idx="221">
                  <c:v>44342</c:v>
                </c:pt>
                <c:pt idx="222">
                  <c:v>44341</c:v>
                </c:pt>
                <c:pt idx="223">
                  <c:v>44340</c:v>
                </c:pt>
                <c:pt idx="224">
                  <c:v>44337</c:v>
                </c:pt>
                <c:pt idx="225">
                  <c:v>44336</c:v>
                </c:pt>
                <c:pt idx="226">
                  <c:v>44335</c:v>
                </c:pt>
                <c:pt idx="227">
                  <c:v>44334</c:v>
                </c:pt>
                <c:pt idx="228">
                  <c:v>44333</c:v>
                </c:pt>
                <c:pt idx="229">
                  <c:v>44330</c:v>
                </c:pt>
                <c:pt idx="230">
                  <c:v>44329</c:v>
                </c:pt>
                <c:pt idx="231">
                  <c:v>44328</c:v>
                </c:pt>
                <c:pt idx="232">
                  <c:v>44327</c:v>
                </c:pt>
                <c:pt idx="233">
                  <c:v>44326</c:v>
                </c:pt>
                <c:pt idx="234">
                  <c:v>44323</c:v>
                </c:pt>
                <c:pt idx="235">
                  <c:v>44322</c:v>
                </c:pt>
                <c:pt idx="236">
                  <c:v>44321</c:v>
                </c:pt>
                <c:pt idx="237">
                  <c:v>44320</c:v>
                </c:pt>
                <c:pt idx="238">
                  <c:v>44319</c:v>
                </c:pt>
                <c:pt idx="239">
                  <c:v>44316</c:v>
                </c:pt>
                <c:pt idx="240">
                  <c:v>44315</c:v>
                </c:pt>
                <c:pt idx="241">
                  <c:v>44314</c:v>
                </c:pt>
                <c:pt idx="242">
                  <c:v>44313</c:v>
                </c:pt>
                <c:pt idx="243">
                  <c:v>44312</c:v>
                </c:pt>
                <c:pt idx="244">
                  <c:v>44309</c:v>
                </c:pt>
                <c:pt idx="245">
                  <c:v>44308</c:v>
                </c:pt>
                <c:pt idx="246">
                  <c:v>44307</c:v>
                </c:pt>
                <c:pt idx="247">
                  <c:v>44306</c:v>
                </c:pt>
                <c:pt idx="248">
                  <c:v>44305</c:v>
                </c:pt>
                <c:pt idx="249">
                  <c:v>44302</c:v>
                </c:pt>
                <c:pt idx="250">
                  <c:v>44301</c:v>
                </c:pt>
                <c:pt idx="251">
                  <c:v>44300</c:v>
                </c:pt>
                <c:pt idx="252">
                  <c:v>44299</c:v>
                </c:pt>
                <c:pt idx="253">
                  <c:v>44298</c:v>
                </c:pt>
                <c:pt idx="254">
                  <c:v>44295</c:v>
                </c:pt>
                <c:pt idx="255">
                  <c:v>44294</c:v>
                </c:pt>
                <c:pt idx="256">
                  <c:v>44293</c:v>
                </c:pt>
                <c:pt idx="257">
                  <c:v>44292</c:v>
                </c:pt>
                <c:pt idx="258">
                  <c:v>44287</c:v>
                </c:pt>
                <c:pt idx="259">
                  <c:v>44286</c:v>
                </c:pt>
                <c:pt idx="260">
                  <c:v>44285</c:v>
                </c:pt>
                <c:pt idx="261">
                  <c:v>44284</c:v>
                </c:pt>
                <c:pt idx="262">
                  <c:v>44281</c:v>
                </c:pt>
                <c:pt idx="263">
                  <c:v>44280</c:v>
                </c:pt>
                <c:pt idx="264">
                  <c:v>44279</c:v>
                </c:pt>
                <c:pt idx="265">
                  <c:v>44278</c:v>
                </c:pt>
                <c:pt idx="266">
                  <c:v>44277</c:v>
                </c:pt>
                <c:pt idx="267">
                  <c:v>44274</c:v>
                </c:pt>
                <c:pt idx="268">
                  <c:v>44273</c:v>
                </c:pt>
                <c:pt idx="269">
                  <c:v>44272</c:v>
                </c:pt>
                <c:pt idx="270">
                  <c:v>44271</c:v>
                </c:pt>
                <c:pt idx="271">
                  <c:v>44270</c:v>
                </c:pt>
                <c:pt idx="272">
                  <c:v>44267</c:v>
                </c:pt>
                <c:pt idx="273">
                  <c:v>44266</c:v>
                </c:pt>
                <c:pt idx="274">
                  <c:v>44265</c:v>
                </c:pt>
                <c:pt idx="275">
                  <c:v>44264</c:v>
                </c:pt>
                <c:pt idx="276">
                  <c:v>44263</c:v>
                </c:pt>
                <c:pt idx="277">
                  <c:v>44260</c:v>
                </c:pt>
                <c:pt idx="278">
                  <c:v>44259</c:v>
                </c:pt>
                <c:pt idx="279">
                  <c:v>44258</c:v>
                </c:pt>
                <c:pt idx="280">
                  <c:v>44257</c:v>
                </c:pt>
                <c:pt idx="281">
                  <c:v>44256</c:v>
                </c:pt>
                <c:pt idx="282">
                  <c:v>44253</c:v>
                </c:pt>
                <c:pt idx="283">
                  <c:v>44252</c:v>
                </c:pt>
                <c:pt idx="284">
                  <c:v>44251</c:v>
                </c:pt>
                <c:pt idx="285">
                  <c:v>44250</c:v>
                </c:pt>
                <c:pt idx="286">
                  <c:v>44249</c:v>
                </c:pt>
                <c:pt idx="287">
                  <c:v>44246</c:v>
                </c:pt>
                <c:pt idx="288">
                  <c:v>44245</c:v>
                </c:pt>
                <c:pt idx="289">
                  <c:v>44244</c:v>
                </c:pt>
                <c:pt idx="290">
                  <c:v>44243</c:v>
                </c:pt>
                <c:pt idx="291">
                  <c:v>44242</c:v>
                </c:pt>
                <c:pt idx="292">
                  <c:v>44239</c:v>
                </c:pt>
                <c:pt idx="293">
                  <c:v>44238</c:v>
                </c:pt>
                <c:pt idx="294">
                  <c:v>44237</c:v>
                </c:pt>
                <c:pt idx="295">
                  <c:v>44236</c:v>
                </c:pt>
                <c:pt idx="296">
                  <c:v>44235</c:v>
                </c:pt>
                <c:pt idx="297">
                  <c:v>44232</c:v>
                </c:pt>
                <c:pt idx="298">
                  <c:v>44231</c:v>
                </c:pt>
                <c:pt idx="299">
                  <c:v>44230</c:v>
                </c:pt>
                <c:pt idx="300">
                  <c:v>44229</c:v>
                </c:pt>
                <c:pt idx="301">
                  <c:v>44228</c:v>
                </c:pt>
                <c:pt idx="302">
                  <c:v>44225</c:v>
                </c:pt>
                <c:pt idx="303">
                  <c:v>44224</c:v>
                </c:pt>
                <c:pt idx="304">
                  <c:v>44223</c:v>
                </c:pt>
                <c:pt idx="305">
                  <c:v>44222</c:v>
                </c:pt>
                <c:pt idx="306">
                  <c:v>44221</c:v>
                </c:pt>
                <c:pt idx="307">
                  <c:v>44218</c:v>
                </c:pt>
                <c:pt idx="308">
                  <c:v>44217</c:v>
                </c:pt>
                <c:pt idx="309">
                  <c:v>44216</c:v>
                </c:pt>
                <c:pt idx="310">
                  <c:v>44215</c:v>
                </c:pt>
                <c:pt idx="311">
                  <c:v>44214</c:v>
                </c:pt>
                <c:pt idx="312">
                  <c:v>44211</c:v>
                </c:pt>
                <c:pt idx="313">
                  <c:v>44210</c:v>
                </c:pt>
                <c:pt idx="314">
                  <c:v>44209</c:v>
                </c:pt>
                <c:pt idx="315">
                  <c:v>44208</c:v>
                </c:pt>
                <c:pt idx="316">
                  <c:v>44207</c:v>
                </c:pt>
                <c:pt idx="317">
                  <c:v>44204</c:v>
                </c:pt>
                <c:pt idx="318">
                  <c:v>44203</c:v>
                </c:pt>
                <c:pt idx="319">
                  <c:v>44202</c:v>
                </c:pt>
                <c:pt idx="320">
                  <c:v>44201</c:v>
                </c:pt>
                <c:pt idx="321">
                  <c:v>44200</c:v>
                </c:pt>
                <c:pt idx="322">
                  <c:v>44196</c:v>
                </c:pt>
                <c:pt idx="323">
                  <c:v>44195</c:v>
                </c:pt>
                <c:pt idx="324">
                  <c:v>44194</c:v>
                </c:pt>
                <c:pt idx="325">
                  <c:v>44193</c:v>
                </c:pt>
                <c:pt idx="326">
                  <c:v>44189</c:v>
                </c:pt>
                <c:pt idx="327">
                  <c:v>44188</c:v>
                </c:pt>
                <c:pt idx="328">
                  <c:v>44187</c:v>
                </c:pt>
                <c:pt idx="329">
                  <c:v>44186</c:v>
                </c:pt>
                <c:pt idx="330">
                  <c:v>44183</c:v>
                </c:pt>
                <c:pt idx="331">
                  <c:v>44182</c:v>
                </c:pt>
                <c:pt idx="332">
                  <c:v>44181</c:v>
                </c:pt>
                <c:pt idx="333">
                  <c:v>44180</c:v>
                </c:pt>
                <c:pt idx="334">
                  <c:v>44179</c:v>
                </c:pt>
                <c:pt idx="335">
                  <c:v>44176</c:v>
                </c:pt>
                <c:pt idx="336">
                  <c:v>44175</c:v>
                </c:pt>
                <c:pt idx="337">
                  <c:v>44174</c:v>
                </c:pt>
                <c:pt idx="338">
                  <c:v>44173</c:v>
                </c:pt>
                <c:pt idx="339">
                  <c:v>44172</c:v>
                </c:pt>
                <c:pt idx="340">
                  <c:v>44169</c:v>
                </c:pt>
                <c:pt idx="341">
                  <c:v>44168</c:v>
                </c:pt>
                <c:pt idx="342">
                  <c:v>44167</c:v>
                </c:pt>
                <c:pt idx="343">
                  <c:v>44166</c:v>
                </c:pt>
                <c:pt idx="344">
                  <c:v>44165</c:v>
                </c:pt>
                <c:pt idx="345">
                  <c:v>44162</c:v>
                </c:pt>
                <c:pt idx="346">
                  <c:v>44161</c:v>
                </c:pt>
                <c:pt idx="347">
                  <c:v>44160</c:v>
                </c:pt>
                <c:pt idx="348">
                  <c:v>44159</c:v>
                </c:pt>
                <c:pt idx="349">
                  <c:v>44158</c:v>
                </c:pt>
                <c:pt idx="350">
                  <c:v>44155</c:v>
                </c:pt>
                <c:pt idx="351">
                  <c:v>44154</c:v>
                </c:pt>
                <c:pt idx="352">
                  <c:v>44153</c:v>
                </c:pt>
                <c:pt idx="353">
                  <c:v>44152</c:v>
                </c:pt>
                <c:pt idx="354">
                  <c:v>44151</c:v>
                </c:pt>
                <c:pt idx="355">
                  <c:v>44148</c:v>
                </c:pt>
                <c:pt idx="356">
                  <c:v>44147</c:v>
                </c:pt>
                <c:pt idx="357">
                  <c:v>44146</c:v>
                </c:pt>
                <c:pt idx="358">
                  <c:v>44145</c:v>
                </c:pt>
                <c:pt idx="359">
                  <c:v>44144</c:v>
                </c:pt>
                <c:pt idx="360">
                  <c:v>44141</c:v>
                </c:pt>
                <c:pt idx="361">
                  <c:v>44140</c:v>
                </c:pt>
                <c:pt idx="362">
                  <c:v>44139</c:v>
                </c:pt>
                <c:pt idx="363">
                  <c:v>44138</c:v>
                </c:pt>
                <c:pt idx="364">
                  <c:v>44137</c:v>
                </c:pt>
                <c:pt idx="365">
                  <c:v>44134</c:v>
                </c:pt>
                <c:pt idx="366">
                  <c:v>44133</c:v>
                </c:pt>
                <c:pt idx="367">
                  <c:v>44132</c:v>
                </c:pt>
                <c:pt idx="368">
                  <c:v>44131</c:v>
                </c:pt>
                <c:pt idx="369">
                  <c:v>44130</c:v>
                </c:pt>
                <c:pt idx="370">
                  <c:v>44127</c:v>
                </c:pt>
                <c:pt idx="371">
                  <c:v>44126</c:v>
                </c:pt>
                <c:pt idx="372">
                  <c:v>44125</c:v>
                </c:pt>
                <c:pt idx="373">
                  <c:v>44124</c:v>
                </c:pt>
                <c:pt idx="374">
                  <c:v>44123</c:v>
                </c:pt>
                <c:pt idx="375">
                  <c:v>44120</c:v>
                </c:pt>
                <c:pt idx="376">
                  <c:v>44119</c:v>
                </c:pt>
                <c:pt idx="377">
                  <c:v>44118</c:v>
                </c:pt>
                <c:pt idx="378">
                  <c:v>44117</c:v>
                </c:pt>
                <c:pt idx="379">
                  <c:v>44116</c:v>
                </c:pt>
                <c:pt idx="380">
                  <c:v>44113</c:v>
                </c:pt>
                <c:pt idx="381">
                  <c:v>44112</c:v>
                </c:pt>
                <c:pt idx="382">
                  <c:v>44111</c:v>
                </c:pt>
                <c:pt idx="383">
                  <c:v>44110</c:v>
                </c:pt>
                <c:pt idx="384">
                  <c:v>44109</c:v>
                </c:pt>
                <c:pt idx="385">
                  <c:v>44106</c:v>
                </c:pt>
                <c:pt idx="386">
                  <c:v>44105</c:v>
                </c:pt>
                <c:pt idx="387">
                  <c:v>44104</c:v>
                </c:pt>
                <c:pt idx="388">
                  <c:v>44103</c:v>
                </c:pt>
                <c:pt idx="389">
                  <c:v>44102</c:v>
                </c:pt>
                <c:pt idx="390">
                  <c:v>44099</c:v>
                </c:pt>
                <c:pt idx="391">
                  <c:v>44098</c:v>
                </c:pt>
                <c:pt idx="392">
                  <c:v>44097</c:v>
                </c:pt>
                <c:pt idx="393">
                  <c:v>44096</c:v>
                </c:pt>
                <c:pt idx="394">
                  <c:v>44095</c:v>
                </c:pt>
                <c:pt idx="395">
                  <c:v>44092</c:v>
                </c:pt>
                <c:pt idx="396">
                  <c:v>44091</c:v>
                </c:pt>
                <c:pt idx="397">
                  <c:v>44090</c:v>
                </c:pt>
                <c:pt idx="398">
                  <c:v>44089</c:v>
                </c:pt>
                <c:pt idx="399">
                  <c:v>44088</c:v>
                </c:pt>
                <c:pt idx="400">
                  <c:v>44085</c:v>
                </c:pt>
                <c:pt idx="401">
                  <c:v>44084</c:v>
                </c:pt>
                <c:pt idx="402">
                  <c:v>44083</c:v>
                </c:pt>
                <c:pt idx="403">
                  <c:v>44082</c:v>
                </c:pt>
                <c:pt idx="404">
                  <c:v>44081</c:v>
                </c:pt>
                <c:pt idx="405">
                  <c:v>44078</c:v>
                </c:pt>
                <c:pt idx="406">
                  <c:v>44077</c:v>
                </c:pt>
                <c:pt idx="407">
                  <c:v>44076</c:v>
                </c:pt>
                <c:pt idx="408">
                  <c:v>44075</c:v>
                </c:pt>
                <c:pt idx="409">
                  <c:v>44074</c:v>
                </c:pt>
                <c:pt idx="410">
                  <c:v>44071</c:v>
                </c:pt>
                <c:pt idx="411">
                  <c:v>44070</c:v>
                </c:pt>
                <c:pt idx="412">
                  <c:v>44069</c:v>
                </c:pt>
                <c:pt idx="413">
                  <c:v>44068</c:v>
                </c:pt>
                <c:pt idx="414">
                  <c:v>44067</c:v>
                </c:pt>
                <c:pt idx="415">
                  <c:v>44064</c:v>
                </c:pt>
                <c:pt idx="416">
                  <c:v>44063</c:v>
                </c:pt>
                <c:pt idx="417">
                  <c:v>44062</c:v>
                </c:pt>
                <c:pt idx="418">
                  <c:v>44061</c:v>
                </c:pt>
                <c:pt idx="419">
                  <c:v>44060</c:v>
                </c:pt>
                <c:pt idx="420">
                  <c:v>44057</c:v>
                </c:pt>
                <c:pt idx="421">
                  <c:v>44056</c:v>
                </c:pt>
                <c:pt idx="422">
                  <c:v>44055</c:v>
                </c:pt>
                <c:pt idx="423">
                  <c:v>44054</c:v>
                </c:pt>
                <c:pt idx="424">
                  <c:v>44053</c:v>
                </c:pt>
                <c:pt idx="425">
                  <c:v>44050</c:v>
                </c:pt>
                <c:pt idx="426">
                  <c:v>44049</c:v>
                </c:pt>
                <c:pt idx="427">
                  <c:v>44048</c:v>
                </c:pt>
                <c:pt idx="428">
                  <c:v>44047</c:v>
                </c:pt>
                <c:pt idx="429">
                  <c:v>44046</c:v>
                </c:pt>
                <c:pt idx="430">
                  <c:v>44043</c:v>
                </c:pt>
                <c:pt idx="431">
                  <c:v>44042</c:v>
                </c:pt>
                <c:pt idx="432">
                  <c:v>44041</c:v>
                </c:pt>
                <c:pt idx="433">
                  <c:v>44040</c:v>
                </c:pt>
                <c:pt idx="434">
                  <c:v>44039</c:v>
                </c:pt>
                <c:pt idx="435">
                  <c:v>44036</c:v>
                </c:pt>
                <c:pt idx="436">
                  <c:v>44035</c:v>
                </c:pt>
                <c:pt idx="437">
                  <c:v>44034</c:v>
                </c:pt>
                <c:pt idx="438">
                  <c:v>44033</c:v>
                </c:pt>
                <c:pt idx="439">
                  <c:v>44032</c:v>
                </c:pt>
                <c:pt idx="440">
                  <c:v>44029</c:v>
                </c:pt>
                <c:pt idx="441">
                  <c:v>44028</c:v>
                </c:pt>
                <c:pt idx="442">
                  <c:v>44027</c:v>
                </c:pt>
                <c:pt idx="443">
                  <c:v>44026</c:v>
                </c:pt>
                <c:pt idx="444">
                  <c:v>44025</c:v>
                </c:pt>
                <c:pt idx="445">
                  <c:v>44022</c:v>
                </c:pt>
                <c:pt idx="446">
                  <c:v>44021</c:v>
                </c:pt>
                <c:pt idx="447">
                  <c:v>44020</c:v>
                </c:pt>
                <c:pt idx="448">
                  <c:v>44019</c:v>
                </c:pt>
                <c:pt idx="449">
                  <c:v>44018</c:v>
                </c:pt>
                <c:pt idx="450">
                  <c:v>44015</c:v>
                </c:pt>
                <c:pt idx="451">
                  <c:v>44014</c:v>
                </c:pt>
                <c:pt idx="452">
                  <c:v>44013</c:v>
                </c:pt>
                <c:pt idx="453">
                  <c:v>44012</c:v>
                </c:pt>
                <c:pt idx="454">
                  <c:v>44011</c:v>
                </c:pt>
                <c:pt idx="455">
                  <c:v>44008</c:v>
                </c:pt>
                <c:pt idx="456">
                  <c:v>44007</c:v>
                </c:pt>
              </c:numCache>
            </c:numRef>
          </c:cat>
          <c:val>
            <c:numRef>
              <c:f>'[Hartije od vrednosti na medjunarodnom trzistu SAJT 04.04.2022 (00000002).xlsx]EUROBOND 2027 offline'!$C$23:$C$479</c:f>
              <c:numCache>
                <c:formatCode>#,##0.000</c:formatCode>
                <c:ptCount val="457"/>
                <c:pt idx="0">
                  <c:v>3.6589999999999998</c:v>
                </c:pt>
                <c:pt idx="1">
                  <c:v>3.7749999999999999</c:v>
                </c:pt>
                <c:pt idx="2">
                  <c:v>3.806</c:v>
                </c:pt>
                <c:pt idx="3">
                  <c:v>3.8519999999999999</c:v>
                </c:pt>
                <c:pt idx="4">
                  <c:v>3.8420000000000001</c:v>
                </c:pt>
                <c:pt idx="5">
                  <c:v>3.8180000000000001</c:v>
                </c:pt>
                <c:pt idx="6">
                  <c:v>3.7610000000000001</c:v>
                </c:pt>
                <c:pt idx="7">
                  <c:v>3.7389999999999999</c:v>
                </c:pt>
                <c:pt idx="8">
                  <c:v>3.66</c:v>
                </c:pt>
                <c:pt idx="9">
                  <c:v>3.7269999999999999</c:v>
                </c:pt>
                <c:pt idx="10">
                  <c:v>3.8570000000000002</c:v>
                </c:pt>
                <c:pt idx="11">
                  <c:v>4.2679999999999998</c:v>
                </c:pt>
                <c:pt idx="12">
                  <c:v>4.835</c:v>
                </c:pt>
                <c:pt idx="13">
                  <c:v>4.8920000000000003</c:v>
                </c:pt>
                <c:pt idx="14">
                  <c:v>4.88</c:v>
                </c:pt>
                <c:pt idx="15">
                  <c:v>4.883</c:v>
                </c:pt>
                <c:pt idx="16">
                  <c:v>4.8070000000000004</c:v>
                </c:pt>
                <c:pt idx="17">
                  <c:v>4.7939999999999996</c:v>
                </c:pt>
                <c:pt idx="18">
                  <c:v>4.6029999999999998</c:v>
                </c:pt>
                <c:pt idx="19">
                  <c:v>4.3120000000000003</c:v>
                </c:pt>
                <c:pt idx="20">
                  <c:v>3.9820000000000002</c:v>
                </c:pt>
                <c:pt idx="21">
                  <c:v>3.84</c:v>
                </c:pt>
                <c:pt idx="22">
                  <c:v>3.6669999999999998</c:v>
                </c:pt>
                <c:pt idx="23">
                  <c:v>3.516</c:v>
                </c:pt>
                <c:pt idx="24">
                  <c:v>3.234</c:v>
                </c:pt>
                <c:pt idx="25">
                  <c:v>3.36</c:v>
                </c:pt>
                <c:pt idx="26">
                  <c:v>2.93</c:v>
                </c:pt>
                <c:pt idx="27">
                  <c:v>2.6659999999999999</c:v>
                </c:pt>
                <c:pt idx="28">
                  <c:v>2.5649999999999999</c:v>
                </c:pt>
                <c:pt idx="29">
                  <c:v>2.5099999999999998</c:v>
                </c:pt>
                <c:pt idx="30">
                  <c:v>2.4940000000000002</c:v>
                </c:pt>
                <c:pt idx="31">
                  <c:v>2.4820000000000002</c:v>
                </c:pt>
                <c:pt idx="32">
                  <c:v>2.4860000000000002</c:v>
                </c:pt>
                <c:pt idx="33">
                  <c:v>2.468</c:v>
                </c:pt>
                <c:pt idx="34">
                  <c:v>2.4369999999999998</c:v>
                </c:pt>
                <c:pt idx="35">
                  <c:v>2.3679999999999999</c:v>
                </c:pt>
                <c:pt idx="36">
                  <c:v>2.3109999999999999</c:v>
                </c:pt>
                <c:pt idx="37">
                  <c:v>2.3519999999999999</c:v>
                </c:pt>
                <c:pt idx="38">
                  <c:v>2.2650000000000001</c:v>
                </c:pt>
                <c:pt idx="39">
                  <c:v>2.0779999999999998</c:v>
                </c:pt>
                <c:pt idx="40">
                  <c:v>1.869</c:v>
                </c:pt>
                <c:pt idx="41">
                  <c:v>1.794</c:v>
                </c:pt>
                <c:pt idx="42">
                  <c:v>1.7729999999999999</c:v>
                </c:pt>
                <c:pt idx="43">
                  <c:v>1.7450000000000001</c:v>
                </c:pt>
                <c:pt idx="44">
                  <c:v>1.7330000000000001</c:v>
                </c:pt>
                <c:pt idx="45">
                  <c:v>1.726</c:v>
                </c:pt>
                <c:pt idx="46">
                  <c:v>1.7130000000000001</c:v>
                </c:pt>
                <c:pt idx="47">
                  <c:v>1.7250000000000001</c:v>
                </c:pt>
                <c:pt idx="48">
                  <c:v>1.7350000000000001</c:v>
                </c:pt>
                <c:pt idx="49">
                  <c:v>1.7330000000000001</c:v>
                </c:pt>
                <c:pt idx="50">
                  <c:v>1.7749999999999999</c:v>
                </c:pt>
                <c:pt idx="51">
                  <c:v>1.802</c:v>
                </c:pt>
                <c:pt idx="52">
                  <c:v>1.79</c:v>
                </c:pt>
                <c:pt idx="53">
                  <c:v>1.772</c:v>
                </c:pt>
                <c:pt idx="54">
                  <c:v>1.756</c:v>
                </c:pt>
                <c:pt idx="55">
                  <c:v>1.736</c:v>
                </c:pt>
                <c:pt idx="56">
                  <c:v>1.7749999999999999</c:v>
                </c:pt>
                <c:pt idx="57">
                  <c:v>1.806</c:v>
                </c:pt>
                <c:pt idx="58">
                  <c:v>1.8109999999999999</c:v>
                </c:pt>
                <c:pt idx="59">
                  <c:v>1.792</c:v>
                </c:pt>
                <c:pt idx="60">
                  <c:v>1.8089999999999999</c:v>
                </c:pt>
                <c:pt idx="61">
                  <c:v>1.7729999999999999</c:v>
                </c:pt>
                <c:pt idx="62">
                  <c:v>1.7849999999999999</c:v>
                </c:pt>
                <c:pt idx="63">
                  <c:v>1.778</c:v>
                </c:pt>
                <c:pt idx="64">
                  <c:v>1.7789999999999999</c:v>
                </c:pt>
                <c:pt idx="65">
                  <c:v>1.78</c:v>
                </c:pt>
                <c:pt idx="66">
                  <c:v>1.7869999999999999</c:v>
                </c:pt>
                <c:pt idx="67">
                  <c:v>1.7889999999999999</c:v>
                </c:pt>
                <c:pt idx="68">
                  <c:v>1.7889999999999999</c:v>
                </c:pt>
                <c:pt idx="69">
                  <c:v>1.7909999999999999</c:v>
                </c:pt>
                <c:pt idx="70">
                  <c:v>1.7929999999999999</c:v>
                </c:pt>
                <c:pt idx="71">
                  <c:v>1.778</c:v>
                </c:pt>
                <c:pt idx="72">
                  <c:v>1.7689999999999999</c:v>
                </c:pt>
                <c:pt idx="73">
                  <c:v>1.7609999999999999</c:v>
                </c:pt>
                <c:pt idx="74">
                  <c:v>1.764</c:v>
                </c:pt>
                <c:pt idx="75">
                  <c:v>1.7889999999999999</c:v>
                </c:pt>
                <c:pt idx="76">
                  <c:v>1.8069999999999999</c:v>
                </c:pt>
                <c:pt idx="77">
                  <c:v>1.81</c:v>
                </c:pt>
                <c:pt idx="78">
                  <c:v>1.82</c:v>
                </c:pt>
                <c:pt idx="79">
                  <c:v>1.8129999999999999</c:v>
                </c:pt>
                <c:pt idx="80">
                  <c:v>1.8089999999999999</c:v>
                </c:pt>
                <c:pt idx="81">
                  <c:v>1.8109999999999999</c:v>
                </c:pt>
                <c:pt idx="82">
                  <c:v>1.8029999999999999</c:v>
                </c:pt>
                <c:pt idx="83">
                  <c:v>1.8180000000000001</c:v>
                </c:pt>
                <c:pt idx="84">
                  <c:v>1.8140000000000001</c:v>
                </c:pt>
                <c:pt idx="85">
                  <c:v>1.8460000000000001</c:v>
                </c:pt>
                <c:pt idx="86">
                  <c:v>1.9550000000000001</c:v>
                </c:pt>
                <c:pt idx="87">
                  <c:v>1.994</c:v>
                </c:pt>
                <c:pt idx="88">
                  <c:v>1.98</c:v>
                </c:pt>
                <c:pt idx="89">
                  <c:v>1.929</c:v>
                </c:pt>
                <c:pt idx="90">
                  <c:v>1.84</c:v>
                </c:pt>
                <c:pt idx="91">
                  <c:v>1.786</c:v>
                </c:pt>
                <c:pt idx="92">
                  <c:v>1.726</c:v>
                </c:pt>
                <c:pt idx="93">
                  <c:v>1.619</c:v>
                </c:pt>
                <c:pt idx="94">
                  <c:v>1.5820000000000001</c:v>
                </c:pt>
                <c:pt idx="95">
                  <c:v>1.5589999999999999</c:v>
                </c:pt>
                <c:pt idx="96">
                  <c:v>1.5409999999999999</c:v>
                </c:pt>
                <c:pt idx="97">
                  <c:v>1.53</c:v>
                </c:pt>
                <c:pt idx="98">
                  <c:v>1.516</c:v>
                </c:pt>
                <c:pt idx="99">
                  <c:v>1.4950000000000001</c:v>
                </c:pt>
                <c:pt idx="100">
                  <c:v>1.5009999999999999</c:v>
                </c:pt>
                <c:pt idx="101">
                  <c:v>1.476</c:v>
                </c:pt>
                <c:pt idx="102">
                  <c:v>1.4359999999999999</c:v>
                </c:pt>
                <c:pt idx="103">
                  <c:v>1.4370000000000001</c:v>
                </c:pt>
                <c:pt idx="104">
                  <c:v>1.4590000000000001</c:v>
                </c:pt>
                <c:pt idx="105">
                  <c:v>1.4670000000000001</c:v>
                </c:pt>
                <c:pt idx="106">
                  <c:v>1.4830000000000001</c:v>
                </c:pt>
                <c:pt idx="107">
                  <c:v>1.4870000000000001</c:v>
                </c:pt>
                <c:pt idx="108">
                  <c:v>1.494</c:v>
                </c:pt>
                <c:pt idx="109">
                  <c:v>1.47</c:v>
                </c:pt>
                <c:pt idx="110">
                  <c:v>1.446</c:v>
                </c:pt>
                <c:pt idx="111">
                  <c:v>1.4470000000000001</c:v>
                </c:pt>
                <c:pt idx="112">
                  <c:v>1.4630000000000001</c:v>
                </c:pt>
                <c:pt idx="113">
                  <c:v>1.4570000000000001</c:v>
                </c:pt>
                <c:pt idx="114">
                  <c:v>1.44</c:v>
                </c:pt>
                <c:pt idx="115">
                  <c:v>1.4379999999999999</c:v>
                </c:pt>
                <c:pt idx="116">
                  <c:v>1.43</c:v>
                </c:pt>
                <c:pt idx="117">
                  <c:v>1.419</c:v>
                </c:pt>
                <c:pt idx="118">
                  <c:v>1.4139999999999999</c:v>
                </c:pt>
                <c:pt idx="119">
                  <c:v>1.395</c:v>
                </c:pt>
                <c:pt idx="120">
                  <c:v>1.387</c:v>
                </c:pt>
                <c:pt idx="121">
                  <c:v>1.419</c:v>
                </c:pt>
                <c:pt idx="122">
                  <c:v>1.4239999999999999</c:v>
                </c:pt>
                <c:pt idx="123">
                  <c:v>1.393</c:v>
                </c:pt>
                <c:pt idx="124">
                  <c:v>1.373</c:v>
                </c:pt>
                <c:pt idx="125">
                  <c:v>1.353</c:v>
                </c:pt>
                <c:pt idx="126">
                  <c:v>1.371</c:v>
                </c:pt>
                <c:pt idx="127">
                  <c:v>1.339</c:v>
                </c:pt>
                <c:pt idx="128">
                  <c:v>1.323</c:v>
                </c:pt>
                <c:pt idx="129">
                  <c:v>1.296</c:v>
                </c:pt>
                <c:pt idx="130">
                  <c:v>1.2470000000000001</c:v>
                </c:pt>
                <c:pt idx="131">
                  <c:v>1.238</c:v>
                </c:pt>
                <c:pt idx="132">
                  <c:v>1.234</c:v>
                </c:pt>
                <c:pt idx="133">
                  <c:v>1.1850000000000001</c:v>
                </c:pt>
                <c:pt idx="134">
                  <c:v>1.1619999999999999</c:v>
                </c:pt>
                <c:pt idx="135">
                  <c:v>1.1459999999999999</c:v>
                </c:pt>
                <c:pt idx="136">
                  <c:v>1.135</c:v>
                </c:pt>
                <c:pt idx="137">
                  <c:v>1.125</c:v>
                </c:pt>
                <c:pt idx="138">
                  <c:v>1.1140000000000001</c:v>
                </c:pt>
                <c:pt idx="139">
                  <c:v>1.1000000000000001</c:v>
                </c:pt>
                <c:pt idx="140">
                  <c:v>1.1359999999999999</c:v>
                </c:pt>
                <c:pt idx="141">
                  <c:v>1.1359999999999999</c:v>
                </c:pt>
                <c:pt idx="142">
                  <c:v>1.143</c:v>
                </c:pt>
                <c:pt idx="143">
                  <c:v>1.0720000000000001</c:v>
                </c:pt>
                <c:pt idx="144">
                  <c:v>1.0489999999999999</c:v>
                </c:pt>
                <c:pt idx="145">
                  <c:v>1.0469999999999999</c:v>
                </c:pt>
                <c:pt idx="146">
                  <c:v>1.0489999999999999</c:v>
                </c:pt>
                <c:pt idx="147">
                  <c:v>1.03</c:v>
                </c:pt>
                <c:pt idx="148">
                  <c:v>1.0249999999999999</c:v>
                </c:pt>
                <c:pt idx="149">
                  <c:v>1.0229999999999999</c:v>
                </c:pt>
                <c:pt idx="150">
                  <c:v>1.022</c:v>
                </c:pt>
                <c:pt idx="151">
                  <c:v>1.028</c:v>
                </c:pt>
                <c:pt idx="152">
                  <c:v>0.97499999999999998</c:v>
                </c:pt>
                <c:pt idx="153">
                  <c:v>1.004</c:v>
                </c:pt>
                <c:pt idx="154">
                  <c:v>0.999</c:v>
                </c:pt>
                <c:pt idx="155">
                  <c:v>1.0129999999999999</c:v>
                </c:pt>
                <c:pt idx="156">
                  <c:v>1.008</c:v>
                </c:pt>
                <c:pt idx="157">
                  <c:v>1.0069999999999999</c:v>
                </c:pt>
                <c:pt idx="158">
                  <c:v>1.012</c:v>
                </c:pt>
                <c:pt idx="159">
                  <c:v>1.0149999999999999</c:v>
                </c:pt>
                <c:pt idx="160">
                  <c:v>1.02</c:v>
                </c:pt>
                <c:pt idx="161">
                  <c:v>1.022</c:v>
                </c:pt>
                <c:pt idx="162">
                  <c:v>1.0269999999999999</c:v>
                </c:pt>
                <c:pt idx="163">
                  <c:v>1.0269999999999999</c:v>
                </c:pt>
                <c:pt idx="164">
                  <c:v>1.0269999999999999</c:v>
                </c:pt>
                <c:pt idx="165">
                  <c:v>1.026</c:v>
                </c:pt>
                <c:pt idx="166">
                  <c:v>1.03</c:v>
                </c:pt>
                <c:pt idx="167">
                  <c:v>1.0189999999999999</c:v>
                </c:pt>
                <c:pt idx="168">
                  <c:v>1.008</c:v>
                </c:pt>
                <c:pt idx="169">
                  <c:v>1.01</c:v>
                </c:pt>
                <c:pt idx="170">
                  <c:v>1.006</c:v>
                </c:pt>
                <c:pt idx="171">
                  <c:v>1.02</c:v>
                </c:pt>
                <c:pt idx="172">
                  <c:v>1.0329999999999999</c:v>
                </c:pt>
                <c:pt idx="173">
                  <c:v>1.0469999999999999</c:v>
                </c:pt>
                <c:pt idx="174">
                  <c:v>1.052</c:v>
                </c:pt>
                <c:pt idx="175">
                  <c:v>1.0569999999999999</c:v>
                </c:pt>
                <c:pt idx="176">
                  <c:v>1.0589999999999999</c:v>
                </c:pt>
                <c:pt idx="177">
                  <c:v>1.0569999999999999</c:v>
                </c:pt>
                <c:pt idx="178">
                  <c:v>1.06</c:v>
                </c:pt>
                <c:pt idx="179">
                  <c:v>1.0609999999999999</c:v>
                </c:pt>
                <c:pt idx="180">
                  <c:v>1.0660000000000001</c:v>
                </c:pt>
                <c:pt idx="181">
                  <c:v>1.07</c:v>
                </c:pt>
                <c:pt idx="182">
                  <c:v>1.073</c:v>
                </c:pt>
                <c:pt idx="183">
                  <c:v>1.077</c:v>
                </c:pt>
                <c:pt idx="184">
                  <c:v>1.0760000000000001</c:v>
                </c:pt>
                <c:pt idx="185">
                  <c:v>1.08</c:v>
                </c:pt>
                <c:pt idx="186">
                  <c:v>1.0900000000000001</c:v>
                </c:pt>
                <c:pt idx="187">
                  <c:v>1.0880000000000001</c:v>
                </c:pt>
                <c:pt idx="188">
                  <c:v>1.087</c:v>
                </c:pt>
                <c:pt idx="189">
                  <c:v>1.0880000000000001</c:v>
                </c:pt>
                <c:pt idx="190">
                  <c:v>1.0880000000000001</c:v>
                </c:pt>
                <c:pt idx="191">
                  <c:v>1.089</c:v>
                </c:pt>
                <c:pt idx="192">
                  <c:v>1.0920000000000001</c:v>
                </c:pt>
                <c:pt idx="193">
                  <c:v>1.0920000000000001</c:v>
                </c:pt>
                <c:pt idx="194">
                  <c:v>1.093</c:v>
                </c:pt>
                <c:pt idx="195">
                  <c:v>1.095</c:v>
                </c:pt>
                <c:pt idx="196">
                  <c:v>1.1060000000000001</c:v>
                </c:pt>
                <c:pt idx="197">
                  <c:v>1.109</c:v>
                </c:pt>
                <c:pt idx="198">
                  <c:v>1.115</c:v>
                </c:pt>
                <c:pt idx="199">
                  <c:v>1.1200000000000001</c:v>
                </c:pt>
                <c:pt idx="200">
                  <c:v>1.1200000000000001</c:v>
                </c:pt>
                <c:pt idx="201">
                  <c:v>1.121</c:v>
                </c:pt>
                <c:pt idx="202">
                  <c:v>1.123</c:v>
                </c:pt>
                <c:pt idx="203">
                  <c:v>1.1120000000000001</c:v>
                </c:pt>
                <c:pt idx="204">
                  <c:v>1.107</c:v>
                </c:pt>
                <c:pt idx="205">
                  <c:v>1.111</c:v>
                </c:pt>
                <c:pt idx="206">
                  <c:v>1.093</c:v>
                </c:pt>
                <c:pt idx="207">
                  <c:v>1.0980000000000001</c:v>
                </c:pt>
                <c:pt idx="208">
                  <c:v>1.0820000000000001</c:v>
                </c:pt>
                <c:pt idx="209">
                  <c:v>1.085</c:v>
                </c:pt>
                <c:pt idx="210">
                  <c:v>1.1160000000000001</c:v>
                </c:pt>
                <c:pt idx="211">
                  <c:v>1.1299999999999999</c:v>
                </c:pt>
                <c:pt idx="212">
                  <c:v>1.157</c:v>
                </c:pt>
                <c:pt idx="213">
                  <c:v>1.1819999999999999</c:v>
                </c:pt>
                <c:pt idx="214">
                  <c:v>1.1850000000000001</c:v>
                </c:pt>
                <c:pt idx="215">
                  <c:v>1.1910000000000001</c:v>
                </c:pt>
                <c:pt idx="216">
                  <c:v>1.196</c:v>
                </c:pt>
                <c:pt idx="217">
                  <c:v>1.204</c:v>
                </c:pt>
                <c:pt idx="218">
                  <c:v>1.204</c:v>
                </c:pt>
                <c:pt idx="219">
                  <c:v>1.21</c:v>
                </c:pt>
                <c:pt idx="220">
                  <c:v>1.2110000000000001</c:v>
                </c:pt>
                <c:pt idx="221">
                  <c:v>1.2290000000000001</c:v>
                </c:pt>
                <c:pt idx="222">
                  <c:v>1.2549999999999999</c:v>
                </c:pt>
                <c:pt idx="223">
                  <c:v>1.266</c:v>
                </c:pt>
                <c:pt idx="224">
                  <c:v>1.2749999999999999</c:v>
                </c:pt>
                <c:pt idx="225">
                  <c:v>1.304</c:v>
                </c:pt>
                <c:pt idx="226">
                  <c:v>1.34</c:v>
                </c:pt>
                <c:pt idx="227">
                  <c:v>1.3180000000000001</c:v>
                </c:pt>
                <c:pt idx="228">
                  <c:v>1.2869999999999999</c:v>
                </c:pt>
                <c:pt idx="229">
                  <c:v>1.284</c:v>
                </c:pt>
                <c:pt idx="230">
                  <c:v>1.29</c:v>
                </c:pt>
                <c:pt idx="231">
                  <c:v>1.2749999999999999</c:v>
                </c:pt>
                <c:pt idx="232">
                  <c:v>1.258</c:v>
                </c:pt>
                <c:pt idx="233">
                  <c:v>1.2470000000000001</c:v>
                </c:pt>
                <c:pt idx="234">
                  <c:v>1.256</c:v>
                </c:pt>
                <c:pt idx="235">
                  <c:v>1.278</c:v>
                </c:pt>
                <c:pt idx="236">
                  <c:v>1.3260000000000001</c:v>
                </c:pt>
                <c:pt idx="237">
                  <c:v>1.349</c:v>
                </c:pt>
                <c:pt idx="238">
                  <c:v>1.3460000000000001</c:v>
                </c:pt>
                <c:pt idx="239">
                  <c:v>1.351</c:v>
                </c:pt>
                <c:pt idx="240">
                  <c:v>1.347</c:v>
                </c:pt>
                <c:pt idx="241">
                  <c:v>1.3340000000000001</c:v>
                </c:pt>
                <c:pt idx="242">
                  <c:v>1.29</c:v>
                </c:pt>
                <c:pt idx="243">
                  <c:v>1.2829999999999999</c:v>
                </c:pt>
                <c:pt idx="244">
                  <c:v>1.2669999999999999</c:v>
                </c:pt>
                <c:pt idx="245">
                  <c:v>1.266</c:v>
                </c:pt>
                <c:pt idx="246">
                  <c:v>1.2649999999999999</c:v>
                </c:pt>
                <c:pt idx="247">
                  <c:v>1.25</c:v>
                </c:pt>
                <c:pt idx="248">
                  <c:v>1.2290000000000001</c:v>
                </c:pt>
                <c:pt idx="249">
                  <c:v>1.2250000000000001</c:v>
                </c:pt>
                <c:pt idx="250">
                  <c:v>1.2190000000000001</c:v>
                </c:pt>
                <c:pt idx="251">
                  <c:v>1.222</c:v>
                </c:pt>
                <c:pt idx="252">
                  <c:v>1.22</c:v>
                </c:pt>
                <c:pt idx="253">
                  <c:v>1.216</c:v>
                </c:pt>
                <c:pt idx="254">
                  <c:v>1.214</c:v>
                </c:pt>
                <c:pt idx="255">
                  <c:v>1.2110000000000001</c:v>
                </c:pt>
                <c:pt idx="256">
                  <c:v>1.2170000000000001</c:v>
                </c:pt>
                <c:pt idx="257">
                  <c:v>1.2290000000000001</c:v>
                </c:pt>
                <c:pt idx="258">
                  <c:v>1.238</c:v>
                </c:pt>
                <c:pt idx="259">
                  <c:v>1.256</c:v>
                </c:pt>
                <c:pt idx="260">
                  <c:v>1.258</c:v>
                </c:pt>
                <c:pt idx="261">
                  <c:v>1.2450000000000001</c:v>
                </c:pt>
                <c:pt idx="262">
                  <c:v>1.2430000000000001</c:v>
                </c:pt>
                <c:pt idx="263">
                  <c:v>1.24</c:v>
                </c:pt>
                <c:pt idx="264">
                  <c:v>1.246</c:v>
                </c:pt>
                <c:pt idx="265">
                  <c:v>1.2509999999999999</c:v>
                </c:pt>
                <c:pt idx="266">
                  <c:v>1.252</c:v>
                </c:pt>
                <c:pt idx="267">
                  <c:v>1.256</c:v>
                </c:pt>
                <c:pt idx="268">
                  <c:v>1.254</c:v>
                </c:pt>
                <c:pt idx="269">
                  <c:v>1.2430000000000001</c:v>
                </c:pt>
                <c:pt idx="270">
                  <c:v>1.2350000000000001</c:v>
                </c:pt>
                <c:pt idx="271">
                  <c:v>1.246</c:v>
                </c:pt>
                <c:pt idx="272">
                  <c:v>1.258</c:v>
                </c:pt>
                <c:pt idx="273">
                  <c:v>1.23</c:v>
                </c:pt>
                <c:pt idx="274">
                  <c:v>1.31</c:v>
                </c:pt>
                <c:pt idx="275">
                  <c:v>1.323</c:v>
                </c:pt>
                <c:pt idx="276">
                  <c:v>1.33</c:v>
                </c:pt>
                <c:pt idx="277">
                  <c:v>1.286</c:v>
                </c:pt>
                <c:pt idx="278">
                  <c:v>1.2589999999999999</c:v>
                </c:pt>
                <c:pt idx="279">
                  <c:v>1.2490000000000001</c:v>
                </c:pt>
                <c:pt idx="280">
                  <c:v>1.2370000000000001</c:v>
                </c:pt>
                <c:pt idx="281">
                  <c:v>1.2549999999999999</c:v>
                </c:pt>
                <c:pt idx="282">
                  <c:v>1.2869999999999999</c:v>
                </c:pt>
                <c:pt idx="283">
                  <c:v>1.276</c:v>
                </c:pt>
                <c:pt idx="284">
                  <c:v>1.2589999999999999</c:v>
                </c:pt>
                <c:pt idx="285">
                  <c:v>1.2410000000000001</c:v>
                </c:pt>
                <c:pt idx="286">
                  <c:v>1.2330000000000001</c:v>
                </c:pt>
                <c:pt idx="287">
                  <c:v>1.198</c:v>
                </c:pt>
                <c:pt idx="288">
                  <c:v>1.1639999999999999</c:v>
                </c:pt>
                <c:pt idx="289">
                  <c:v>1.155</c:v>
                </c:pt>
                <c:pt idx="290">
                  <c:v>1.129</c:v>
                </c:pt>
                <c:pt idx="291">
                  <c:v>1.1100000000000001</c:v>
                </c:pt>
                <c:pt idx="292">
                  <c:v>1.089</c:v>
                </c:pt>
                <c:pt idx="293">
                  <c:v>1.081</c:v>
                </c:pt>
                <c:pt idx="294">
                  <c:v>1.0900000000000001</c:v>
                </c:pt>
                <c:pt idx="295">
                  <c:v>1.087</c:v>
                </c:pt>
                <c:pt idx="296">
                  <c:v>1.0780000000000001</c:v>
                </c:pt>
                <c:pt idx="297">
                  <c:v>1.0720000000000001</c:v>
                </c:pt>
                <c:pt idx="298">
                  <c:v>1.0920000000000001</c:v>
                </c:pt>
                <c:pt idx="299">
                  <c:v>1.115</c:v>
                </c:pt>
                <c:pt idx="300">
                  <c:v>1.1240000000000001</c:v>
                </c:pt>
                <c:pt idx="301">
                  <c:v>1.1319999999999999</c:v>
                </c:pt>
                <c:pt idx="302">
                  <c:v>1.147</c:v>
                </c:pt>
                <c:pt idx="303">
                  <c:v>1.151</c:v>
                </c:pt>
                <c:pt idx="304">
                  <c:v>1.18</c:v>
                </c:pt>
                <c:pt idx="305">
                  <c:v>1.1779999999999999</c:v>
                </c:pt>
                <c:pt idx="306">
                  <c:v>1.177</c:v>
                </c:pt>
                <c:pt idx="307">
                  <c:v>1.1739999999999999</c:v>
                </c:pt>
                <c:pt idx="308">
                  <c:v>1.1559999999999999</c:v>
                </c:pt>
                <c:pt idx="309">
                  <c:v>1.143</c:v>
                </c:pt>
                <c:pt idx="310">
                  <c:v>1.129</c:v>
                </c:pt>
                <c:pt idx="311">
                  <c:v>1.127</c:v>
                </c:pt>
                <c:pt idx="312">
                  <c:v>1.109</c:v>
                </c:pt>
                <c:pt idx="313">
                  <c:v>1.0940000000000001</c:v>
                </c:pt>
                <c:pt idx="314">
                  <c:v>1.109</c:v>
                </c:pt>
                <c:pt idx="315">
                  <c:v>1.123</c:v>
                </c:pt>
                <c:pt idx="316">
                  <c:v>1.0609999999999999</c:v>
                </c:pt>
                <c:pt idx="317">
                  <c:v>1.0449999999999999</c:v>
                </c:pt>
                <c:pt idx="318">
                  <c:v>1.0349999999999999</c:v>
                </c:pt>
                <c:pt idx="319">
                  <c:v>1.0109999999999999</c:v>
                </c:pt>
                <c:pt idx="320">
                  <c:v>1.0089999999999999</c:v>
                </c:pt>
                <c:pt idx="321">
                  <c:v>1.006</c:v>
                </c:pt>
                <c:pt idx="322">
                  <c:v>1.0589999999999999</c:v>
                </c:pt>
                <c:pt idx="323">
                  <c:v>1.0760000000000001</c:v>
                </c:pt>
                <c:pt idx="324">
                  <c:v>1.083</c:v>
                </c:pt>
                <c:pt idx="325">
                  <c:v>1.099</c:v>
                </c:pt>
                <c:pt idx="326">
                  <c:v>1.0880000000000001</c:v>
                </c:pt>
                <c:pt idx="327">
                  <c:v>1.099</c:v>
                </c:pt>
                <c:pt idx="328">
                  <c:v>1.1060000000000001</c:v>
                </c:pt>
                <c:pt idx="329">
                  <c:v>1.1000000000000001</c:v>
                </c:pt>
                <c:pt idx="330">
                  <c:v>1.103</c:v>
                </c:pt>
                <c:pt idx="331">
                  <c:v>1.117</c:v>
                </c:pt>
                <c:pt idx="332">
                  <c:v>1.143</c:v>
                </c:pt>
                <c:pt idx="333">
                  <c:v>1.1499999999999999</c:v>
                </c:pt>
                <c:pt idx="334">
                  <c:v>1.163</c:v>
                </c:pt>
                <c:pt idx="335">
                  <c:v>1.163</c:v>
                </c:pt>
                <c:pt idx="336">
                  <c:v>1.165</c:v>
                </c:pt>
                <c:pt idx="337">
                  <c:v>1.1639999999999999</c:v>
                </c:pt>
                <c:pt idx="338">
                  <c:v>1.17</c:v>
                </c:pt>
                <c:pt idx="339">
                  <c:v>1.1739999999999999</c:v>
                </c:pt>
                <c:pt idx="340">
                  <c:v>1.1759999999999999</c:v>
                </c:pt>
                <c:pt idx="341">
                  <c:v>1.1970000000000001</c:v>
                </c:pt>
                <c:pt idx="342">
                  <c:v>1.206</c:v>
                </c:pt>
                <c:pt idx="343">
                  <c:v>1.198</c:v>
                </c:pt>
                <c:pt idx="344">
                  <c:v>1.19</c:v>
                </c:pt>
                <c:pt idx="345">
                  <c:v>1.1970000000000001</c:v>
                </c:pt>
                <c:pt idx="346">
                  <c:v>1.1970000000000001</c:v>
                </c:pt>
                <c:pt idx="347">
                  <c:v>1.202</c:v>
                </c:pt>
                <c:pt idx="348">
                  <c:v>1.202</c:v>
                </c:pt>
                <c:pt idx="349">
                  <c:v>1.2629999999999999</c:v>
                </c:pt>
                <c:pt idx="350">
                  <c:v>1.369</c:v>
                </c:pt>
                <c:pt idx="351">
                  <c:v>1.373</c:v>
                </c:pt>
                <c:pt idx="352">
                  <c:v>1.381</c:v>
                </c:pt>
                <c:pt idx="353">
                  <c:v>1.391</c:v>
                </c:pt>
                <c:pt idx="354">
                  <c:v>1.3939999999999999</c:v>
                </c:pt>
                <c:pt idx="355">
                  <c:v>1.41</c:v>
                </c:pt>
                <c:pt idx="356">
                  <c:v>1.4079999999999999</c:v>
                </c:pt>
                <c:pt idx="357">
                  <c:v>1.3939999999999999</c:v>
                </c:pt>
                <c:pt idx="358">
                  <c:v>1.4039999999999999</c:v>
                </c:pt>
                <c:pt idx="359">
                  <c:v>1.3959999999999999</c:v>
                </c:pt>
                <c:pt idx="360">
                  <c:v>1.446</c:v>
                </c:pt>
                <c:pt idx="361">
                  <c:v>1.4419999999999999</c:v>
                </c:pt>
                <c:pt idx="362">
                  <c:v>1.552</c:v>
                </c:pt>
                <c:pt idx="363">
                  <c:v>1.6180000000000001</c:v>
                </c:pt>
                <c:pt idx="364">
                  <c:v>1.661</c:v>
                </c:pt>
                <c:pt idx="365">
                  <c:v>1.67</c:v>
                </c:pt>
                <c:pt idx="366">
                  <c:v>1.6639999999999999</c:v>
                </c:pt>
                <c:pt idx="367">
                  <c:v>1.657</c:v>
                </c:pt>
                <c:pt idx="368">
                  <c:v>1.601</c:v>
                </c:pt>
                <c:pt idx="369">
                  <c:v>1.593</c:v>
                </c:pt>
                <c:pt idx="370">
                  <c:v>1.5680000000000001</c:v>
                </c:pt>
                <c:pt idx="371">
                  <c:v>1.6140000000000001</c:v>
                </c:pt>
                <c:pt idx="372">
                  <c:v>1.6240000000000001</c:v>
                </c:pt>
                <c:pt idx="373">
                  <c:v>1.6120000000000001</c:v>
                </c:pt>
                <c:pt idx="374">
                  <c:v>1.5980000000000001</c:v>
                </c:pt>
                <c:pt idx="375">
                  <c:v>1.63</c:v>
                </c:pt>
                <c:pt idx="376">
                  <c:v>1.69</c:v>
                </c:pt>
                <c:pt idx="377">
                  <c:v>1.698</c:v>
                </c:pt>
                <c:pt idx="378">
                  <c:v>1.7050000000000001</c:v>
                </c:pt>
                <c:pt idx="379">
                  <c:v>1.75</c:v>
                </c:pt>
                <c:pt idx="380">
                  <c:v>1.772</c:v>
                </c:pt>
                <c:pt idx="381">
                  <c:v>1.8</c:v>
                </c:pt>
                <c:pt idx="382">
                  <c:v>1.8740000000000001</c:v>
                </c:pt>
                <c:pt idx="383">
                  <c:v>1.887</c:v>
                </c:pt>
                <c:pt idx="384">
                  <c:v>1.903</c:v>
                </c:pt>
                <c:pt idx="385">
                  <c:v>1.9139999999999999</c:v>
                </c:pt>
                <c:pt idx="386">
                  <c:v>1.923</c:v>
                </c:pt>
                <c:pt idx="387">
                  <c:v>1.9690000000000001</c:v>
                </c:pt>
                <c:pt idx="388">
                  <c:v>1.96</c:v>
                </c:pt>
                <c:pt idx="389">
                  <c:v>1.9159999999999999</c:v>
                </c:pt>
                <c:pt idx="390">
                  <c:v>1.913</c:v>
                </c:pt>
                <c:pt idx="391">
                  <c:v>1.9139999999999999</c:v>
                </c:pt>
                <c:pt idx="392">
                  <c:v>1.8779999999999999</c:v>
                </c:pt>
                <c:pt idx="393">
                  <c:v>1.87</c:v>
                </c:pt>
                <c:pt idx="394">
                  <c:v>1.849</c:v>
                </c:pt>
                <c:pt idx="395">
                  <c:v>1.7969999999999999</c:v>
                </c:pt>
                <c:pt idx="396">
                  <c:v>1.796</c:v>
                </c:pt>
                <c:pt idx="397">
                  <c:v>1.79</c:v>
                </c:pt>
                <c:pt idx="398">
                  <c:v>1.7969999999999999</c:v>
                </c:pt>
                <c:pt idx="399">
                  <c:v>1.841</c:v>
                </c:pt>
                <c:pt idx="400">
                  <c:v>1.861</c:v>
                </c:pt>
                <c:pt idx="401">
                  <c:v>1.871</c:v>
                </c:pt>
                <c:pt idx="402">
                  <c:v>1.879</c:v>
                </c:pt>
                <c:pt idx="403">
                  <c:v>1.8839999999999999</c:v>
                </c:pt>
                <c:pt idx="404">
                  <c:v>1.88</c:v>
                </c:pt>
                <c:pt idx="405">
                  <c:v>1.885</c:v>
                </c:pt>
                <c:pt idx="406">
                  <c:v>1.9019999999999999</c:v>
                </c:pt>
                <c:pt idx="407">
                  <c:v>1.921</c:v>
                </c:pt>
                <c:pt idx="408">
                  <c:v>1.956</c:v>
                </c:pt>
                <c:pt idx="409">
                  <c:v>1.9610000000000001</c:v>
                </c:pt>
                <c:pt idx="410">
                  <c:v>1.9650000000000001</c:v>
                </c:pt>
                <c:pt idx="411">
                  <c:v>1.9610000000000001</c:v>
                </c:pt>
                <c:pt idx="412">
                  <c:v>1.9590000000000001</c:v>
                </c:pt>
                <c:pt idx="413">
                  <c:v>1.96</c:v>
                </c:pt>
                <c:pt idx="414">
                  <c:v>1.9550000000000001</c:v>
                </c:pt>
                <c:pt idx="415">
                  <c:v>1.9610000000000001</c:v>
                </c:pt>
                <c:pt idx="416">
                  <c:v>1.962</c:v>
                </c:pt>
                <c:pt idx="417">
                  <c:v>1.9610000000000001</c:v>
                </c:pt>
                <c:pt idx="418">
                  <c:v>1.964</c:v>
                </c:pt>
                <c:pt idx="419">
                  <c:v>1.9510000000000001</c:v>
                </c:pt>
                <c:pt idx="420">
                  <c:v>1.954</c:v>
                </c:pt>
                <c:pt idx="421">
                  <c:v>1.9490000000000001</c:v>
                </c:pt>
                <c:pt idx="422">
                  <c:v>1.974</c:v>
                </c:pt>
                <c:pt idx="423">
                  <c:v>1.968</c:v>
                </c:pt>
                <c:pt idx="424">
                  <c:v>1.976</c:v>
                </c:pt>
                <c:pt idx="425">
                  <c:v>2</c:v>
                </c:pt>
                <c:pt idx="426">
                  <c:v>2.012</c:v>
                </c:pt>
                <c:pt idx="427">
                  <c:v>2.0339999999999998</c:v>
                </c:pt>
                <c:pt idx="428">
                  <c:v>2.0499999999999998</c:v>
                </c:pt>
                <c:pt idx="429">
                  <c:v>2.0609999999999999</c:v>
                </c:pt>
                <c:pt idx="430">
                  <c:v>2.0659999999999998</c:v>
                </c:pt>
                <c:pt idx="431">
                  <c:v>2.0670000000000002</c:v>
                </c:pt>
                <c:pt idx="432">
                  <c:v>2.0329999999999999</c:v>
                </c:pt>
                <c:pt idx="433">
                  <c:v>2.0230000000000001</c:v>
                </c:pt>
                <c:pt idx="434">
                  <c:v>2.0030000000000001</c:v>
                </c:pt>
                <c:pt idx="435">
                  <c:v>1.9830000000000001</c:v>
                </c:pt>
                <c:pt idx="436">
                  <c:v>1.909</c:v>
                </c:pt>
                <c:pt idx="437">
                  <c:v>2.0659999999999998</c:v>
                </c:pt>
                <c:pt idx="438">
                  <c:v>2.1110000000000002</c:v>
                </c:pt>
                <c:pt idx="439">
                  <c:v>2.1640000000000001</c:v>
                </c:pt>
                <c:pt idx="440">
                  <c:v>2.2010000000000001</c:v>
                </c:pt>
                <c:pt idx="441">
                  <c:v>2.2389999999999999</c:v>
                </c:pt>
                <c:pt idx="442">
                  <c:v>2.25</c:v>
                </c:pt>
                <c:pt idx="443">
                  <c:v>2.2789999999999999</c:v>
                </c:pt>
                <c:pt idx="444">
                  <c:v>2.2650000000000001</c:v>
                </c:pt>
                <c:pt idx="445">
                  <c:v>2.2530000000000001</c:v>
                </c:pt>
                <c:pt idx="446">
                  <c:v>2.2050000000000001</c:v>
                </c:pt>
                <c:pt idx="447">
                  <c:v>2.15</c:v>
                </c:pt>
                <c:pt idx="448">
                  <c:v>2.1549999999999998</c:v>
                </c:pt>
                <c:pt idx="449">
                  <c:v>2.214</c:v>
                </c:pt>
                <c:pt idx="450">
                  <c:v>2.262</c:v>
                </c:pt>
                <c:pt idx="451">
                  <c:v>2.2829999999999999</c:v>
                </c:pt>
                <c:pt idx="452">
                  <c:v>2.343</c:v>
                </c:pt>
                <c:pt idx="453">
                  <c:v>2.3530000000000002</c:v>
                </c:pt>
                <c:pt idx="454">
                  <c:v>2.3570000000000002</c:v>
                </c:pt>
                <c:pt idx="455">
                  <c:v>2.359</c:v>
                </c:pt>
                <c:pt idx="456">
                  <c:v>2.367</c:v>
                </c:pt>
              </c:numCache>
            </c:numRef>
          </c:val>
          <c:smooth val="0"/>
          <c:extLst>
            <c:ext xmlns:c16="http://schemas.microsoft.com/office/drawing/2014/chart" uri="{C3380CC4-5D6E-409C-BE32-E72D297353CC}">
              <c16:uniqueId val="{00000001-7E75-4994-A703-5D0B0647533E}"/>
            </c:ext>
          </c:extLst>
        </c:ser>
        <c:dLbls>
          <c:showLegendKey val="0"/>
          <c:showVal val="0"/>
          <c:showCatName val="0"/>
          <c:showSerName val="0"/>
          <c:showPercent val="0"/>
          <c:showBubbleSize val="0"/>
        </c:dLbls>
        <c:marker val="1"/>
        <c:smooth val="0"/>
        <c:axId val="180163328"/>
        <c:axId val="180091520"/>
      </c:lineChart>
      <c:dateAx>
        <c:axId val="180084096"/>
        <c:scaling>
          <c:orientation val="minMax"/>
          <c:max val="44651"/>
          <c:min val="44012"/>
        </c:scaling>
        <c:delete val="0"/>
        <c:axPos val="b"/>
        <c:numFmt formatCode="dd\/mm\/yy"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2700000" spcFirstLastPara="1" vertOverflow="ellipsis" wrap="square" anchor="ctr" anchorCtr="1"/>
          <a:lstStyle/>
          <a:p>
            <a:pPr>
              <a:defRPr sz="700" b="0" i="0" u="none" strike="noStrike" kern="1200" baseline="0">
                <a:solidFill>
                  <a:schemeClr val="tx1"/>
                </a:solidFill>
                <a:latin typeface="Calibri" panose="020F0502020204030204" pitchFamily="34" charset="0"/>
                <a:ea typeface="+mn-ea"/>
                <a:cs typeface="Times New Roman" pitchFamily="18" charset="0"/>
              </a:defRPr>
            </a:pPr>
            <a:endParaRPr lang="sr-Latn-RS"/>
          </a:p>
        </c:txPr>
        <c:crossAx val="180089984"/>
        <c:crosses val="autoZero"/>
        <c:auto val="1"/>
        <c:lblOffset val="100"/>
        <c:baseTimeUnit val="days"/>
        <c:majorUnit val="1"/>
        <c:majorTimeUnit val="months"/>
        <c:minorUnit val="31"/>
        <c:minorTimeUnit val="months"/>
      </c:dateAx>
      <c:valAx>
        <c:axId val="180089984"/>
        <c:scaling>
          <c:orientation val="minMax"/>
          <c:max val="120"/>
          <c:min val="90"/>
        </c:scaling>
        <c:delete val="0"/>
        <c:axPos val="l"/>
        <c:numFmt formatCode="#,##0.0\ [$€-407]"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700" b="0" i="0" u="none" strike="noStrike" kern="1200" baseline="0">
                <a:solidFill>
                  <a:schemeClr val="tx1"/>
                </a:solidFill>
                <a:latin typeface="+mn-lt"/>
                <a:ea typeface="+mn-ea"/>
                <a:cs typeface="Times New Roman" pitchFamily="18" charset="0"/>
              </a:defRPr>
            </a:pPr>
            <a:endParaRPr lang="sr-Latn-RS"/>
          </a:p>
        </c:txPr>
        <c:crossAx val="180084096"/>
        <c:crosses val="autoZero"/>
        <c:crossBetween val="between"/>
        <c:majorUnit val="4"/>
      </c:valAx>
      <c:valAx>
        <c:axId val="180091520"/>
        <c:scaling>
          <c:orientation val="minMax"/>
          <c:max val="5.5"/>
          <c:min val="0.5"/>
        </c:scaling>
        <c:delete val="0"/>
        <c:axPos val="r"/>
        <c:numFmt formatCode="#,##0.0"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700" b="0" i="0" u="none" strike="noStrike" kern="1200" baseline="0">
                <a:solidFill>
                  <a:schemeClr val="tx1"/>
                </a:solidFill>
                <a:latin typeface="Calibri" panose="020F0502020204030204" pitchFamily="34" charset="0"/>
                <a:ea typeface="+mn-ea"/>
                <a:cs typeface="Times New Roman" pitchFamily="18" charset="0"/>
              </a:defRPr>
            </a:pPr>
            <a:endParaRPr lang="sr-Latn-RS"/>
          </a:p>
        </c:txPr>
        <c:crossAx val="180163328"/>
        <c:crosses val="max"/>
        <c:crossBetween val="between"/>
        <c:majorUnit val="0.5"/>
      </c:valAx>
      <c:dateAx>
        <c:axId val="180163328"/>
        <c:scaling>
          <c:orientation val="minMax"/>
        </c:scaling>
        <c:delete val="1"/>
        <c:axPos val="b"/>
        <c:numFmt formatCode="dd\/mm\/yy" sourceLinked="1"/>
        <c:majorTickMark val="out"/>
        <c:minorTickMark val="none"/>
        <c:tickLblPos val="none"/>
        <c:crossAx val="180091520"/>
        <c:crosses val="autoZero"/>
        <c:auto val="1"/>
        <c:lblOffset val="100"/>
        <c:baseTimeUnit val="days"/>
      </c:dateAx>
      <c:spPr>
        <a:solidFill>
          <a:schemeClr val="bg1"/>
        </a:solidFill>
        <a:ln>
          <a:noFill/>
        </a:ln>
        <a:effectLst/>
      </c:spPr>
    </c:plotArea>
    <c:legend>
      <c:legendPos val="r"/>
      <c:layout>
        <c:manualLayout>
          <c:xMode val="edge"/>
          <c:yMode val="edge"/>
          <c:x val="1.4658385093167699E-2"/>
          <c:y val="0.93413470105227669"/>
          <c:w val="0.96424675176472507"/>
          <c:h val="6.5562378097233268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Calibri" panose="020F0502020204030204" pitchFamily="34" charset="0"/>
              <a:ea typeface="+mn-ea"/>
              <a:cs typeface="Times New Roman" pitchFamily="18" charset="0"/>
            </a:defRPr>
          </a:pPr>
          <a:endParaRPr lang="sr-Latn-RS"/>
        </a:p>
      </c:txPr>
    </c:legend>
    <c:plotVisOnly val="1"/>
    <c:dispBlanksAs val="gap"/>
    <c:showDLblsOverMax val="0"/>
  </c:chart>
  <c:spPr>
    <a:solidFill>
      <a:schemeClr val="bg1"/>
    </a:solidFill>
    <a:ln w="9525" cap="flat" cmpd="sng" algn="ctr">
      <a:noFill/>
      <a:prstDash val="solid"/>
      <a:round/>
    </a:ln>
    <a:effectLst/>
  </c:spPr>
  <c:txPr>
    <a:bodyPr/>
    <a:lstStyle/>
    <a:p>
      <a:pPr>
        <a:defRPr>
          <a:latin typeface="Times New Roman" pitchFamily="18" charset="0"/>
          <a:cs typeface="Times New Roman" pitchFamily="18" charset="0"/>
        </a:defRPr>
      </a:pPr>
      <a:endParaRPr lang="sr-Latn-RS"/>
    </a:p>
  </c:txPr>
  <c:externalData r:id="rId4">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133405954974584"/>
          <c:y val="5.9781904620413023E-2"/>
          <c:w val="0.76869750181372043"/>
          <c:h val="0.72077888377160393"/>
        </c:manualLayout>
      </c:layout>
      <c:areaChart>
        <c:grouping val="standard"/>
        <c:varyColors val="0"/>
        <c:ser>
          <c:idx val="0"/>
          <c:order val="0"/>
          <c:tx>
            <c:strRef>
              <c:f>'[Hartije od vrednosti na medjunarodnom trzistu SAJT 04.04.2022 (00000002).xlsx]EUROBOND 2028 offline'!$B$4</c:f>
              <c:strCache>
                <c:ptCount val="1"/>
                <c:pt idx="0">
                  <c:v>Цена на затварању</c:v>
                </c:pt>
              </c:strCache>
            </c:strRef>
          </c:tx>
          <c:spPr>
            <a:solidFill>
              <a:srgbClr val="4472C4">
                <a:lumMod val="75000"/>
              </a:srgbClr>
            </a:solidFill>
            <a:ln w="25400">
              <a:noFill/>
            </a:ln>
          </c:spPr>
          <c:cat>
            <c:numRef>
              <c:f>'[Hartije od vrednosti na medjunarodnom trzistu SAJT 04.04.2022 (00000002).xlsx]EUROBOND 2028 offline'!$A$6:$A$128</c:f>
              <c:numCache>
                <c:formatCode>dd\/mm\/yy</c:formatCode>
                <c:ptCount val="123"/>
                <c:pt idx="0">
                  <c:v>44678</c:v>
                </c:pt>
                <c:pt idx="1">
                  <c:v>44677</c:v>
                </c:pt>
                <c:pt idx="2">
                  <c:v>44676</c:v>
                </c:pt>
                <c:pt idx="3">
                  <c:v>44673</c:v>
                </c:pt>
                <c:pt idx="4">
                  <c:v>44672</c:v>
                </c:pt>
                <c:pt idx="5">
                  <c:v>44671</c:v>
                </c:pt>
                <c:pt idx="6">
                  <c:v>44670</c:v>
                </c:pt>
                <c:pt idx="7">
                  <c:v>44665</c:v>
                </c:pt>
                <c:pt idx="8">
                  <c:v>44664</c:v>
                </c:pt>
                <c:pt idx="9">
                  <c:v>44663</c:v>
                </c:pt>
                <c:pt idx="10">
                  <c:v>44662</c:v>
                </c:pt>
                <c:pt idx="11">
                  <c:v>44659</c:v>
                </c:pt>
                <c:pt idx="12">
                  <c:v>44658</c:v>
                </c:pt>
                <c:pt idx="13">
                  <c:v>44657</c:v>
                </c:pt>
                <c:pt idx="14">
                  <c:v>44656</c:v>
                </c:pt>
                <c:pt idx="15">
                  <c:v>44655</c:v>
                </c:pt>
                <c:pt idx="16">
                  <c:v>44652</c:v>
                </c:pt>
                <c:pt idx="17">
                  <c:v>44651</c:v>
                </c:pt>
                <c:pt idx="18">
                  <c:v>44650</c:v>
                </c:pt>
                <c:pt idx="19">
                  <c:v>44649</c:v>
                </c:pt>
                <c:pt idx="20">
                  <c:v>44648</c:v>
                </c:pt>
                <c:pt idx="21">
                  <c:v>44645</c:v>
                </c:pt>
                <c:pt idx="22">
                  <c:v>44644</c:v>
                </c:pt>
                <c:pt idx="23">
                  <c:v>44643</c:v>
                </c:pt>
                <c:pt idx="24">
                  <c:v>44642</c:v>
                </c:pt>
                <c:pt idx="25">
                  <c:v>44641</c:v>
                </c:pt>
                <c:pt idx="26">
                  <c:v>44638</c:v>
                </c:pt>
                <c:pt idx="27">
                  <c:v>44637</c:v>
                </c:pt>
                <c:pt idx="28">
                  <c:v>44636</c:v>
                </c:pt>
                <c:pt idx="29">
                  <c:v>44635</c:v>
                </c:pt>
                <c:pt idx="30">
                  <c:v>44634</c:v>
                </c:pt>
                <c:pt idx="31">
                  <c:v>44631</c:v>
                </c:pt>
                <c:pt idx="32">
                  <c:v>44630</c:v>
                </c:pt>
                <c:pt idx="33">
                  <c:v>44629</c:v>
                </c:pt>
                <c:pt idx="34">
                  <c:v>44628</c:v>
                </c:pt>
                <c:pt idx="35">
                  <c:v>44627</c:v>
                </c:pt>
                <c:pt idx="36">
                  <c:v>44624</c:v>
                </c:pt>
                <c:pt idx="37">
                  <c:v>44623</c:v>
                </c:pt>
                <c:pt idx="38">
                  <c:v>44622</c:v>
                </c:pt>
                <c:pt idx="39">
                  <c:v>44621</c:v>
                </c:pt>
                <c:pt idx="40">
                  <c:v>44620</c:v>
                </c:pt>
                <c:pt idx="41">
                  <c:v>44617</c:v>
                </c:pt>
                <c:pt idx="42">
                  <c:v>44616</c:v>
                </c:pt>
                <c:pt idx="43">
                  <c:v>44615</c:v>
                </c:pt>
                <c:pt idx="44">
                  <c:v>44614</c:v>
                </c:pt>
                <c:pt idx="45">
                  <c:v>44613</c:v>
                </c:pt>
                <c:pt idx="46">
                  <c:v>44610</c:v>
                </c:pt>
                <c:pt idx="47">
                  <c:v>44609</c:v>
                </c:pt>
                <c:pt idx="48">
                  <c:v>44608</c:v>
                </c:pt>
                <c:pt idx="49">
                  <c:v>44607</c:v>
                </c:pt>
                <c:pt idx="50">
                  <c:v>44606</c:v>
                </c:pt>
                <c:pt idx="51">
                  <c:v>44603</c:v>
                </c:pt>
                <c:pt idx="52">
                  <c:v>44602</c:v>
                </c:pt>
                <c:pt idx="53">
                  <c:v>44601</c:v>
                </c:pt>
                <c:pt idx="54">
                  <c:v>44600</c:v>
                </c:pt>
                <c:pt idx="55">
                  <c:v>44599</c:v>
                </c:pt>
                <c:pt idx="56">
                  <c:v>44596</c:v>
                </c:pt>
                <c:pt idx="57">
                  <c:v>44595</c:v>
                </c:pt>
                <c:pt idx="58">
                  <c:v>44594</c:v>
                </c:pt>
                <c:pt idx="59">
                  <c:v>44593</c:v>
                </c:pt>
                <c:pt idx="60">
                  <c:v>44592</c:v>
                </c:pt>
                <c:pt idx="61">
                  <c:v>44589</c:v>
                </c:pt>
                <c:pt idx="62">
                  <c:v>44588</c:v>
                </c:pt>
                <c:pt idx="63">
                  <c:v>44587</c:v>
                </c:pt>
                <c:pt idx="64">
                  <c:v>44586</c:v>
                </c:pt>
                <c:pt idx="65">
                  <c:v>44585</c:v>
                </c:pt>
                <c:pt idx="66">
                  <c:v>44582</c:v>
                </c:pt>
                <c:pt idx="67">
                  <c:v>44581</c:v>
                </c:pt>
                <c:pt idx="68">
                  <c:v>44580</c:v>
                </c:pt>
                <c:pt idx="69">
                  <c:v>44579</c:v>
                </c:pt>
                <c:pt idx="70">
                  <c:v>44578</c:v>
                </c:pt>
                <c:pt idx="71">
                  <c:v>44575</c:v>
                </c:pt>
                <c:pt idx="72">
                  <c:v>44574</c:v>
                </c:pt>
                <c:pt idx="73">
                  <c:v>44573</c:v>
                </c:pt>
                <c:pt idx="74">
                  <c:v>44572</c:v>
                </c:pt>
                <c:pt idx="75">
                  <c:v>44571</c:v>
                </c:pt>
                <c:pt idx="76">
                  <c:v>44568</c:v>
                </c:pt>
                <c:pt idx="77">
                  <c:v>44567</c:v>
                </c:pt>
                <c:pt idx="78">
                  <c:v>44566</c:v>
                </c:pt>
                <c:pt idx="79">
                  <c:v>44565</c:v>
                </c:pt>
                <c:pt idx="80">
                  <c:v>44564</c:v>
                </c:pt>
                <c:pt idx="81">
                  <c:v>44561</c:v>
                </c:pt>
                <c:pt idx="82">
                  <c:v>44560</c:v>
                </c:pt>
                <c:pt idx="83">
                  <c:v>44559</c:v>
                </c:pt>
                <c:pt idx="84">
                  <c:v>44558</c:v>
                </c:pt>
                <c:pt idx="85">
                  <c:v>44557</c:v>
                </c:pt>
                <c:pt idx="86">
                  <c:v>44554</c:v>
                </c:pt>
                <c:pt idx="87">
                  <c:v>44553</c:v>
                </c:pt>
                <c:pt idx="88">
                  <c:v>44552</c:v>
                </c:pt>
                <c:pt idx="89">
                  <c:v>44551</c:v>
                </c:pt>
                <c:pt idx="90">
                  <c:v>44550</c:v>
                </c:pt>
                <c:pt idx="91">
                  <c:v>44547</c:v>
                </c:pt>
                <c:pt idx="92">
                  <c:v>44546</c:v>
                </c:pt>
                <c:pt idx="93">
                  <c:v>44545</c:v>
                </c:pt>
                <c:pt idx="94">
                  <c:v>44544</c:v>
                </c:pt>
                <c:pt idx="95">
                  <c:v>44543</c:v>
                </c:pt>
                <c:pt idx="96">
                  <c:v>44540</c:v>
                </c:pt>
                <c:pt idx="97">
                  <c:v>44539</c:v>
                </c:pt>
                <c:pt idx="98">
                  <c:v>44538</c:v>
                </c:pt>
                <c:pt idx="99">
                  <c:v>44537</c:v>
                </c:pt>
                <c:pt idx="100">
                  <c:v>44536</c:v>
                </c:pt>
                <c:pt idx="101">
                  <c:v>44533</c:v>
                </c:pt>
                <c:pt idx="102">
                  <c:v>44532</c:v>
                </c:pt>
                <c:pt idx="103">
                  <c:v>44531</c:v>
                </c:pt>
                <c:pt idx="104">
                  <c:v>44530</c:v>
                </c:pt>
                <c:pt idx="105">
                  <c:v>44529</c:v>
                </c:pt>
                <c:pt idx="106">
                  <c:v>44526</c:v>
                </c:pt>
                <c:pt idx="107">
                  <c:v>44525</c:v>
                </c:pt>
                <c:pt idx="108">
                  <c:v>44524</c:v>
                </c:pt>
                <c:pt idx="109">
                  <c:v>44523</c:v>
                </c:pt>
                <c:pt idx="110">
                  <c:v>44522</c:v>
                </c:pt>
                <c:pt idx="111">
                  <c:v>44519</c:v>
                </c:pt>
                <c:pt idx="112">
                  <c:v>44518</c:v>
                </c:pt>
                <c:pt idx="113">
                  <c:v>44517</c:v>
                </c:pt>
                <c:pt idx="114">
                  <c:v>44516</c:v>
                </c:pt>
                <c:pt idx="115">
                  <c:v>44515</c:v>
                </c:pt>
                <c:pt idx="116">
                  <c:v>44512</c:v>
                </c:pt>
                <c:pt idx="117">
                  <c:v>44511</c:v>
                </c:pt>
                <c:pt idx="118">
                  <c:v>44510</c:v>
                </c:pt>
                <c:pt idx="119">
                  <c:v>44509</c:v>
                </c:pt>
                <c:pt idx="120">
                  <c:v>44508</c:v>
                </c:pt>
                <c:pt idx="121">
                  <c:v>44505</c:v>
                </c:pt>
                <c:pt idx="122">
                  <c:v>44504</c:v>
                </c:pt>
              </c:numCache>
            </c:numRef>
          </c:cat>
          <c:val>
            <c:numRef>
              <c:f>'[Hartije od vrednosti na medjunarodnom trzistu SAJT 04.04.2022 (00000002).xlsx]EUROBOND 2028 offline'!$B$6:$B$128</c:f>
              <c:numCache>
                <c:formatCode>#,##0.000</c:formatCode>
                <c:ptCount val="123"/>
                <c:pt idx="0">
                  <c:v>79.126999999999995</c:v>
                </c:pt>
                <c:pt idx="1">
                  <c:v>79.319999999999993</c:v>
                </c:pt>
                <c:pt idx="2">
                  <c:v>79.650999999999996</c:v>
                </c:pt>
                <c:pt idx="3">
                  <c:v>80.019000000000005</c:v>
                </c:pt>
                <c:pt idx="4">
                  <c:v>80.462999999999994</c:v>
                </c:pt>
                <c:pt idx="5">
                  <c:v>80.956999999999994</c:v>
                </c:pt>
                <c:pt idx="6">
                  <c:v>81.123000000000005</c:v>
                </c:pt>
                <c:pt idx="7">
                  <c:v>82.168999999999997</c:v>
                </c:pt>
                <c:pt idx="8">
                  <c:v>82.263000000000005</c:v>
                </c:pt>
                <c:pt idx="9">
                  <c:v>82.304000000000002</c:v>
                </c:pt>
                <c:pt idx="10">
                  <c:v>82.998999999999995</c:v>
                </c:pt>
                <c:pt idx="11">
                  <c:v>83.442999999999998</c:v>
                </c:pt>
                <c:pt idx="12">
                  <c:v>83.739000000000004</c:v>
                </c:pt>
                <c:pt idx="13">
                  <c:v>83.897000000000006</c:v>
                </c:pt>
                <c:pt idx="14">
                  <c:v>84.19</c:v>
                </c:pt>
                <c:pt idx="15">
                  <c:v>84.447999999999993</c:v>
                </c:pt>
                <c:pt idx="16">
                  <c:v>84.406000000000006</c:v>
                </c:pt>
                <c:pt idx="17">
                  <c:v>84.495999999999995</c:v>
                </c:pt>
                <c:pt idx="18">
                  <c:v>83.981999999999999</c:v>
                </c:pt>
                <c:pt idx="19">
                  <c:v>83.875</c:v>
                </c:pt>
                <c:pt idx="20">
                  <c:v>83.588999999999999</c:v>
                </c:pt>
                <c:pt idx="21">
                  <c:v>83.703999999999994</c:v>
                </c:pt>
                <c:pt idx="22">
                  <c:v>83.825000000000003</c:v>
                </c:pt>
                <c:pt idx="23">
                  <c:v>84.08</c:v>
                </c:pt>
                <c:pt idx="24">
                  <c:v>84.23</c:v>
                </c:pt>
                <c:pt idx="25">
                  <c:v>84.686000000000007</c:v>
                </c:pt>
                <c:pt idx="26">
                  <c:v>84.257000000000005</c:v>
                </c:pt>
                <c:pt idx="27">
                  <c:v>83.628</c:v>
                </c:pt>
                <c:pt idx="28">
                  <c:v>81.552000000000007</c:v>
                </c:pt>
                <c:pt idx="29">
                  <c:v>78.757999999999996</c:v>
                </c:pt>
                <c:pt idx="30">
                  <c:v>78.322000000000003</c:v>
                </c:pt>
                <c:pt idx="31">
                  <c:v>78.353999999999999</c:v>
                </c:pt>
                <c:pt idx="32">
                  <c:v>78.426000000000002</c:v>
                </c:pt>
                <c:pt idx="33">
                  <c:v>78.710999999999999</c:v>
                </c:pt>
                <c:pt idx="34">
                  <c:v>78.488</c:v>
                </c:pt>
                <c:pt idx="35">
                  <c:v>79.8</c:v>
                </c:pt>
                <c:pt idx="36">
                  <c:v>81.322999999999993</c:v>
                </c:pt>
                <c:pt idx="37">
                  <c:v>83.007999999999996</c:v>
                </c:pt>
                <c:pt idx="38">
                  <c:v>83.477999999999994</c:v>
                </c:pt>
                <c:pt idx="39">
                  <c:v>84.302999999999997</c:v>
                </c:pt>
                <c:pt idx="40">
                  <c:v>84.915999999999997</c:v>
                </c:pt>
                <c:pt idx="41">
                  <c:v>86.509</c:v>
                </c:pt>
                <c:pt idx="42">
                  <c:v>85.025999999999996</c:v>
                </c:pt>
                <c:pt idx="43">
                  <c:v>87.507999999999996</c:v>
                </c:pt>
                <c:pt idx="44">
                  <c:v>88.792000000000002</c:v>
                </c:pt>
                <c:pt idx="45">
                  <c:v>89.281000000000006</c:v>
                </c:pt>
                <c:pt idx="46">
                  <c:v>89.397000000000006</c:v>
                </c:pt>
                <c:pt idx="47">
                  <c:v>89.504999999999995</c:v>
                </c:pt>
                <c:pt idx="48">
                  <c:v>89.662999999999997</c:v>
                </c:pt>
                <c:pt idx="49">
                  <c:v>89.820999999999998</c:v>
                </c:pt>
                <c:pt idx="50">
                  <c:v>89.887</c:v>
                </c:pt>
                <c:pt idx="51">
                  <c:v>90.186000000000007</c:v>
                </c:pt>
                <c:pt idx="52">
                  <c:v>90.603999999999999</c:v>
                </c:pt>
                <c:pt idx="53">
                  <c:v>90.959000000000003</c:v>
                </c:pt>
                <c:pt idx="54">
                  <c:v>90.394999999999996</c:v>
                </c:pt>
                <c:pt idx="55">
                  <c:v>90.906000000000006</c:v>
                </c:pt>
                <c:pt idx="56">
                  <c:v>92.159000000000006</c:v>
                </c:pt>
                <c:pt idx="57">
                  <c:v>93.265000000000001</c:v>
                </c:pt>
                <c:pt idx="58">
                  <c:v>93.884</c:v>
                </c:pt>
                <c:pt idx="59">
                  <c:v>93.887</c:v>
                </c:pt>
                <c:pt idx="60">
                  <c:v>93.968000000000004</c:v>
                </c:pt>
                <c:pt idx="61">
                  <c:v>94.075999999999993</c:v>
                </c:pt>
                <c:pt idx="62">
                  <c:v>94.147000000000006</c:v>
                </c:pt>
                <c:pt idx="63">
                  <c:v>94.195999999999998</c:v>
                </c:pt>
                <c:pt idx="64">
                  <c:v>94.072000000000003</c:v>
                </c:pt>
                <c:pt idx="65">
                  <c:v>94.031999999999996</c:v>
                </c:pt>
                <c:pt idx="66">
                  <c:v>94.045000000000002</c:v>
                </c:pt>
                <c:pt idx="67">
                  <c:v>93.811999999999998</c:v>
                </c:pt>
                <c:pt idx="68">
                  <c:v>93.676000000000002</c:v>
                </c:pt>
                <c:pt idx="69">
                  <c:v>93.82</c:v>
                </c:pt>
                <c:pt idx="70">
                  <c:v>94.111000000000004</c:v>
                </c:pt>
                <c:pt idx="71">
                  <c:v>94.224000000000004</c:v>
                </c:pt>
                <c:pt idx="72">
                  <c:v>94.313999999999993</c:v>
                </c:pt>
                <c:pt idx="73">
                  <c:v>94.126000000000005</c:v>
                </c:pt>
                <c:pt idx="74">
                  <c:v>94.09</c:v>
                </c:pt>
                <c:pt idx="75">
                  <c:v>94.149000000000001</c:v>
                </c:pt>
                <c:pt idx="76">
                  <c:v>94.39</c:v>
                </c:pt>
                <c:pt idx="77">
                  <c:v>94.516999999999996</c:v>
                </c:pt>
                <c:pt idx="78">
                  <c:v>94.814999999999998</c:v>
                </c:pt>
                <c:pt idx="79">
                  <c:v>94.884</c:v>
                </c:pt>
                <c:pt idx="80">
                  <c:v>95.051000000000002</c:v>
                </c:pt>
                <c:pt idx="81">
                  <c:v>94.968000000000004</c:v>
                </c:pt>
                <c:pt idx="82">
                  <c:v>94.974999999999994</c:v>
                </c:pt>
                <c:pt idx="83">
                  <c:v>94.935000000000002</c:v>
                </c:pt>
                <c:pt idx="84">
                  <c:v>95.072000000000003</c:v>
                </c:pt>
                <c:pt idx="85">
                  <c:v>95.072000000000003</c:v>
                </c:pt>
                <c:pt idx="86">
                  <c:v>94.968999999999994</c:v>
                </c:pt>
                <c:pt idx="87">
                  <c:v>94.900999999999996</c:v>
                </c:pt>
                <c:pt idx="88">
                  <c:v>95.066000000000003</c:v>
                </c:pt>
                <c:pt idx="89">
                  <c:v>95.063999999999993</c:v>
                </c:pt>
                <c:pt idx="90">
                  <c:v>95.058000000000007</c:v>
                </c:pt>
                <c:pt idx="91">
                  <c:v>95.018000000000001</c:v>
                </c:pt>
                <c:pt idx="92">
                  <c:v>94.74</c:v>
                </c:pt>
                <c:pt idx="93">
                  <c:v>94.549000000000007</c:v>
                </c:pt>
                <c:pt idx="94">
                  <c:v>94.44</c:v>
                </c:pt>
                <c:pt idx="95">
                  <c:v>94.411000000000001</c:v>
                </c:pt>
                <c:pt idx="96">
                  <c:v>94.488</c:v>
                </c:pt>
                <c:pt idx="97">
                  <c:v>94.605000000000004</c:v>
                </c:pt>
                <c:pt idx="98">
                  <c:v>94.712000000000003</c:v>
                </c:pt>
                <c:pt idx="99">
                  <c:v>94.872</c:v>
                </c:pt>
                <c:pt idx="100">
                  <c:v>94.748999999999995</c:v>
                </c:pt>
                <c:pt idx="101">
                  <c:v>94.724000000000004</c:v>
                </c:pt>
                <c:pt idx="102">
                  <c:v>94.399000000000001</c:v>
                </c:pt>
                <c:pt idx="103">
                  <c:v>93.641000000000005</c:v>
                </c:pt>
                <c:pt idx="104">
                  <c:v>93.375</c:v>
                </c:pt>
                <c:pt idx="105">
                  <c:v>93.454999999999998</c:v>
                </c:pt>
                <c:pt idx="106">
                  <c:v>94.057000000000002</c:v>
                </c:pt>
                <c:pt idx="107">
                  <c:v>94.346000000000004</c:v>
                </c:pt>
                <c:pt idx="108">
                  <c:v>94.622</c:v>
                </c:pt>
                <c:pt idx="109">
                  <c:v>95.058999999999997</c:v>
                </c:pt>
                <c:pt idx="110">
                  <c:v>95.808000000000007</c:v>
                </c:pt>
                <c:pt idx="111">
                  <c:v>96.143000000000001</c:v>
                </c:pt>
                <c:pt idx="112">
                  <c:v>96.239000000000004</c:v>
                </c:pt>
                <c:pt idx="113">
                  <c:v>96.471000000000004</c:v>
                </c:pt>
                <c:pt idx="114">
                  <c:v>96.691999999999993</c:v>
                </c:pt>
                <c:pt idx="115">
                  <c:v>96.853999999999999</c:v>
                </c:pt>
                <c:pt idx="116">
                  <c:v>96.903000000000006</c:v>
                </c:pt>
                <c:pt idx="117">
                  <c:v>96.888000000000005</c:v>
                </c:pt>
                <c:pt idx="118">
                  <c:v>97.010999999999996</c:v>
                </c:pt>
                <c:pt idx="119">
                  <c:v>97.209000000000003</c:v>
                </c:pt>
                <c:pt idx="120">
                  <c:v>97.182000000000002</c:v>
                </c:pt>
                <c:pt idx="121">
                  <c:v>96.97</c:v>
                </c:pt>
                <c:pt idx="122">
                  <c:v>96.849000000000004</c:v>
                </c:pt>
              </c:numCache>
            </c:numRef>
          </c:val>
          <c:extLst>
            <c:ext xmlns:c16="http://schemas.microsoft.com/office/drawing/2014/chart" uri="{C3380CC4-5D6E-409C-BE32-E72D297353CC}">
              <c16:uniqueId val="{00000000-6E85-4F6A-B933-B19B8ED14882}"/>
            </c:ext>
          </c:extLst>
        </c:ser>
        <c:dLbls>
          <c:showLegendKey val="0"/>
          <c:showVal val="0"/>
          <c:showCatName val="0"/>
          <c:showSerName val="0"/>
          <c:showPercent val="0"/>
          <c:showBubbleSize val="0"/>
        </c:dLbls>
        <c:axId val="201576448"/>
        <c:axId val="201577984"/>
      </c:areaChart>
      <c:lineChart>
        <c:grouping val="standard"/>
        <c:varyColors val="0"/>
        <c:ser>
          <c:idx val="1"/>
          <c:order val="1"/>
          <c:tx>
            <c:strRef>
              <c:f>'[Hartije od vrednosti na medjunarodnom trzistu SAJT 04.04.2022 (00000002).xlsx]EUROBOND 2028 offline'!$C$4</c:f>
              <c:strCache>
                <c:ptCount val="1"/>
                <c:pt idx="0">
                  <c:v>Средњи принос до доспећа</c:v>
                </c:pt>
              </c:strCache>
            </c:strRef>
          </c:tx>
          <c:spPr>
            <a:ln>
              <a:solidFill>
                <a:srgbClr val="4472C4">
                  <a:lumMod val="60000"/>
                  <a:lumOff val="40000"/>
                </a:srgbClr>
              </a:solidFill>
            </a:ln>
          </c:spPr>
          <c:marker>
            <c:symbol val="none"/>
          </c:marker>
          <c:cat>
            <c:numRef>
              <c:f>'[Hartije od vrednosti na medjunarodnom trzistu SAJT 04.04.2022 (00000002).xlsx]EUROBOND 2028 offline'!$A$6:$A$128</c:f>
              <c:numCache>
                <c:formatCode>dd\/mm\/yy</c:formatCode>
                <c:ptCount val="123"/>
                <c:pt idx="0">
                  <c:v>44678</c:v>
                </c:pt>
                <c:pt idx="1">
                  <c:v>44677</c:v>
                </c:pt>
                <c:pt idx="2">
                  <c:v>44676</c:v>
                </c:pt>
                <c:pt idx="3">
                  <c:v>44673</c:v>
                </c:pt>
                <c:pt idx="4">
                  <c:v>44672</c:v>
                </c:pt>
                <c:pt idx="5">
                  <c:v>44671</c:v>
                </c:pt>
                <c:pt idx="6">
                  <c:v>44670</c:v>
                </c:pt>
                <c:pt idx="7">
                  <c:v>44665</c:v>
                </c:pt>
                <c:pt idx="8">
                  <c:v>44664</c:v>
                </c:pt>
                <c:pt idx="9">
                  <c:v>44663</c:v>
                </c:pt>
                <c:pt idx="10">
                  <c:v>44662</c:v>
                </c:pt>
                <c:pt idx="11">
                  <c:v>44659</c:v>
                </c:pt>
                <c:pt idx="12">
                  <c:v>44658</c:v>
                </c:pt>
                <c:pt idx="13">
                  <c:v>44657</c:v>
                </c:pt>
                <c:pt idx="14">
                  <c:v>44656</c:v>
                </c:pt>
                <c:pt idx="15">
                  <c:v>44655</c:v>
                </c:pt>
                <c:pt idx="16">
                  <c:v>44652</c:v>
                </c:pt>
                <c:pt idx="17">
                  <c:v>44651</c:v>
                </c:pt>
                <c:pt idx="18">
                  <c:v>44650</c:v>
                </c:pt>
                <c:pt idx="19">
                  <c:v>44649</c:v>
                </c:pt>
                <c:pt idx="20">
                  <c:v>44648</c:v>
                </c:pt>
                <c:pt idx="21">
                  <c:v>44645</c:v>
                </c:pt>
                <c:pt idx="22">
                  <c:v>44644</c:v>
                </c:pt>
                <c:pt idx="23">
                  <c:v>44643</c:v>
                </c:pt>
                <c:pt idx="24">
                  <c:v>44642</c:v>
                </c:pt>
                <c:pt idx="25">
                  <c:v>44641</c:v>
                </c:pt>
                <c:pt idx="26">
                  <c:v>44638</c:v>
                </c:pt>
                <c:pt idx="27">
                  <c:v>44637</c:v>
                </c:pt>
                <c:pt idx="28">
                  <c:v>44636</c:v>
                </c:pt>
                <c:pt idx="29">
                  <c:v>44635</c:v>
                </c:pt>
                <c:pt idx="30">
                  <c:v>44634</c:v>
                </c:pt>
                <c:pt idx="31">
                  <c:v>44631</c:v>
                </c:pt>
                <c:pt idx="32">
                  <c:v>44630</c:v>
                </c:pt>
                <c:pt idx="33">
                  <c:v>44629</c:v>
                </c:pt>
                <c:pt idx="34">
                  <c:v>44628</c:v>
                </c:pt>
                <c:pt idx="35">
                  <c:v>44627</c:v>
                </c:pt>
                <c:pt idx="36">
                  <c:v>44624</c:v>
                </c:pt>
                <c:pt idx="37">
                  <c:v>44623</c:v>
                </c:pt>
                <c:pt idx="38">
                  <c:v>44622</c:v>
                </c:pt>
                <c:pt idx="39">
                  <c:v>44621</c:v>
                </c:pt>
                <c:pt idx="40">
                  <c:v>44620</c:v>
                </c:pt>
                <c:pt idx="41">
                  <c:v>44617</c:v>
                </c:pt>
                <c:pt idx="42">
                  <c:v>44616</c:v>
                </c:pt>
                <c:pt idx="43">
                  <c:v>44615</c:v>
                </c:pt>
                <c:pt idx="44">
                  <c:v>44614</c:v>
                </c:pt>
                <c:pt idx="45">
                  <c:v>44613</c:v>
                </c:pt>
                <c:pt idx="46">
                  <c:v>44610</c:v>
                </c:pt>
                <c:pt idx="47">
                  <c:v>44609</c:v>
                </c:pt>
                <c:pt idx="48">
                  <c:v>44608</c:v>
                </c:pt>
                <c:pt idx="49">
                  <c:v>44607</c:v>
                </c:pt>
                <c:pt idx="50">
                  <c:v>44606</c:v>
                </c:pt>
                <c:pt idx="51">
                  <c:v>44603</c:v>
                </c:pt>
                <c:pt idx="52">
                  <c:v>44602</c:v>
                </c:pt>
                <c:pt idx="53">
                  <c:v>44601</c:v>
                </c:pt>
                <c:pt idx="54">
                  <c:v>44600</c:v>
                </c:pt>
                <c:pt idx="55">
                  <c:v>44599</c:v>
                </c:pt>
                <c:pt idx="56">
                  <c:v>44596</c:v>
                </c:pt>
                <c:pt idx="57">
                  <c:v>44595</c:v>
                </c:pt>
                <c:pt idx="58">
                  <c:v>44594</c:v>
                </c:pt>
                <c:pt idx="59">
                  <c:v>44593</c:v>
                </c:pt>
                <c:pt idx="60">
                  <c:v>44592</c:v>
                </c:pt>
                <c:pt idx="61">
                  <c:v>44589</c:v>
                </c:pt>
                <c:pt idx="62">
                  <c:v>44588</c:v>
                </c:pt>
                <c:pt idx="63">
                  <c:v>44587</c:v>
                </c:pt>
                <c:pt idx="64">
                  <c:v>44586</c:v>
                </c:pt>
                <c:pt idx="65">
                  <c:v>44585</c:v>
                </c:pt>
                <c:pt idx="66">
                  <c:v>44582</c:v>
                </c:pt>
                <c:pt idx="67">
                  <c:v>44581</c:v>
                </c:pt>
                <c:pt idx="68">
                  <c:v>44580</c:v>
                </c:pt>
                <c:pt idx="69">
                  <c:v>44579</c:v>
                </c:pt>
                <c:pt idx="70">
                  <c:v>44578</c:v>
                </c:pt>
                <c:pt idx="71">
                  <c:v>44575</c:v>
                </c:pt>
                <c:pt idx="72">
                  <c:v>44574</c:v>
                </c:pt>
                <c:pt idx="73">
                  <c:v>44573</c:v>
                </c:pt>
                <c:pt idx="74">
                  <c:v>44572</c:v>
                </c:pt>
                <c:pt idx="75">
                  <c:v>44571</c:v>
                </c:pt>
                <c:pt idx="76">
                  <c:v>44568</c:v>
                </c:pt>
                <c:pt idx="77">
                  <c:v>44567</c:v>
                </c:pt>
                <c:pt idx="78">
                  <c:v>44566</c:v>
                </c:pt>
                <c:pt idx="79">
                  <c:v>44565</c:v>
                </c:pt>
                <c:pt idx="80">
                  <c:v>44564</c:v>
                </c:pt>
                <c:pt idx="81">
                  <c:v>44561</c:v>
                </c:pt>
                <c:pt idx="82">
                  <c:v>44560</c:v>
                </c:pt>
                <c:pt idx="83">
                  <c:v>44559</c:v>
                </c:pt>
                <c:pt idx="84">
                  <c:v>44558</c:v>
                </c:pt>
                <c:pt idx="85">
                  <c:v>44557</c:v>
                </c:pt>
                <c:pt idx="86">
                  <c:v>44554</c:v>
                </c:pt>
                <c:pt idx="87">
                  <c:v>44553</c:v>
                </c:pt>
                <c:pt idx="88">
                  <c:v>44552</c:v>
                </c:pt>
                <c:pt idx="89">
                  <c:v>44551</c:v>
                </c:pt>
                <c:pt idx="90">
                  <c:v>44550</c:v>
                </c:pt>
                <c:pt idx="91">
                  <c:v>44547</c:v>
                </c:pt>
                <c:pt idx="92">
                  <c:v>44546</c:v>
                </c:pt>
                <c:pt idx="93">
                  <c:v>44545</c:v>
                </c:pt>
                <c:pt idx="94">
                  <c:v>44544</c:v>
                </c:pt>
                <c:pt idx="95">
                  <c:v>44543</c:v>
                </c:pt>
                <c:pt idx="96">
                  <c:v>44540</c:v>
                </c:pt>
                <c:pt idx="97">
                  <c:v>44539</c:v>
                </c:pt>
                <c:pt idx="98">
                  <c:v>44538</c:v>
                </c:pt>
                <c:pt idx="99">
                  <c:v>44537</c:v>
                </c:pt>
                <c:pt idx="100">
                  <c:v>44536</c:v>
                </c:pt>
                <c:pt idx="101">
                  <c:v>44533</c:v>
                </c:pt>
                <c:pt idx="102">
                  <c:v>44532</c:v>
                </c:pt>
                <c:pt idx="103">
                  <c:v>44531</c:v>
                </c:pt>
                <c:pt idx="104">
                  <c:v>44530</c:v>
                </c:pt>
                <c:pt idx="105">
                  <c:v>44529</c:v>
                </c:pt>
                <c:pt idx="106">
                  <c:v>44526</c:v>
                </c:pt>
                <c:pt idx="107">
                  <c:v>44525</c:v>
                </c:pt>
                <c:pt idx="108">
                  <c:v>44524</c:v>
                </c:pt>
                <c:pt idx="109">
                  <c:v>44523</c:v>
                </c:pt>
                <c:pt idx="110">
                  <c:v>44522</c:v>
                </c:pt>
                <c:pt idx="111">
                  <c:v>44519</c:v>
                </c:pt>
                <c:pt idx="112">
                  <c:v>44518</c:v>
                </c:pt>
                <c:pt idx="113">
                  <c:v>44517</c:v>
                </c:pt>
                <c:pt idx="114">
                  <c:v>44516</c:v>
                </c:pt>
                <c:pt idx="115">
                  <c:v>44515</c:v>
                </c:pt>
                <c:pt idx="116">
                  <c:v>44512</c:v>
                </c:pt>
                <c:pt idx="117">
                  <c:v>44511</c:v>
                </c:pt>
                <c:pt idx="118">
                  <c:v>44510</c:v>
                </c:pt>
                <c:pt idx="119">
                  <c:v>44509</c:v>
                </c:pt>
                <c:pt idx="120">
                  <c:v>44508</c:v>
                </c:pt>
                <c:pt idx="121">
                  <c:v>44505</c:v>
                </c:pt>
                <c:pt idx="122">
                  <c:v>44504</c:v>
                </c:pt>
              </c:numCache>
            </c:numRef>
          </c:cat>
          <c:val>
            <c:numRef>
              <c:f>'[Hartije od vrednosti na medjunarodnom trzistu SAJT 04.04.2022 (00000002).xlsx]EUROBOND 2028 offline'!$C$6:$C$128</c:f>
              <c:numCache>
                <c:formatCode>#,##0.000</c:formatCode>
                <c:ptCount val="123"/>
                <c:pt idx="0">
                  <c:v>4.8719999999999999</c:v>
                </c:pt>
                <c:pt idx="1">
                  <c:v>4.8289999999999997</c:v>
                </c:pt>
                <c:pt idx="2">
                  <c:v>4.7569999999999997</c:v>
                </c:pt>
                <c:pt idx="3">
                  <c:v>4.6779999999999999</c:v>
                </c:pt>
                <c:pt idx="4">
                  <c:v>4.5839999999999996</c:v>
                </c:pt>
                <c:pt idx="5">
                  <c:v>4.476</c:v>
                </c:pt>
                <c:pt idx="6">
                  <c:v>4.4409999999999998</c:v>
                </c:pt>
                <c:pt idx="7">
                  <c:v>4.2249999999999996</c:v>
                </c:pt>
                <c:pt idx="8">
                  <c:v>4.2039999999999997</c:v>
                </c:pt>
                <c:pt idx="9">
                  <c:v>4.1890000000000001</c:v>
                </c:pt>
                <c:pt idx="10">
                  <c:v>4.048</c:v>
                </c:pt>
                <c:pt idx="11">
                  <c:v>3.9580000000000002</c:v>
                </c:pt>
                <c:pt idx="12">
                  <c:v>3.8980000000000001</c:v>
                </c:pt>
                <c:pt idx="13">
                  <c:v>3.863</c:v>
                </c:pt>
                <c:pt idx="14">
                  <c:v>3.8039999999999998</c:v>
                </c:pt>
                <c:pt idx="15">
                  <c:v>3.7530000000000001</c:v>
                </c:pt>
                <c:pt idx="16">
                  <c:v>3.76</c:v>
                </c:pt>
                <c:pt idx="17">
                  <c:v>3.7410000000000001</c:v>
                </c:pt>
                <c:pt idx="18">
                  <c:v>3.8380000000000001</c:v>
                </c:pt>
                <c:pt idx="19">
                  <c:v>3.8580000000000001</c:v>
                </c:pt>
                <c:pt idx="20">
                  <c:v>3.9129999999999998</c:v>
                </c:pt>
                <c:pt idx="21">
                  <c:v>3.89</c:v>
                </c:pt>
                <c:pt idx="22">
                  <c:v>3.8639999999999999</c:v>
                </c:pt>
                <c:pt idx="23">
                  <c:v>3.8109999999999999</c:v>
                </c:pt>
                <c:pt idx="24">
                  <c:v>3.78</c:v>
                </c:pt>
                <c:pt idx="25">
                  <c:v>3.6909999999999998</c:v>
                </c:pt>
                <c:pt idx="26">
                  <c:v>3.7730000000000001</c:v>
                </c:pt>
                <c:pt idx="27">
                  <c:v>3.895</c:v>
                </c:pt>
                <c:pt idx="28">
                  <c:v>4.3049999999999997</c:v>
                </c:pt>
                <c:pt idx="29">
                  <c:v>4.8810000000000002</c:v>
                </c:pt>
                <c:pt idx="30">
                  <c:v>4.9710000000000001</c:v>
                </c:pt>
                <c:pt idx="31">
                  <c:v>4.9630000000000001</c:v>
                </c:pt>
                <c:pt idx="32">
                  <c:v>4.9459999999999997</c:v>
                </c:pt>
                <c:pt idx="33">
                  <c:v>4.8810000000000002</c:v>
                </c:pt>
                <c:pt idx="34">
                  <c:v>4.9260000000000002</c:v>
                </c:pt>
                <c:pt idx="35">
                  <c:v>4.6509999999999998</c:v>
                </c:pt>
                <c:pt idx="36">
                  <c:v>4.3380000000000001</c:v>
                </c:pt>
                <c:pt idx="37">
                  <c:v>4</c:v>
                </c:pt>
                <c:pt idx="38">
                  <c:v>3.9039999999999999</c:v>
                </c:pt>
                <c:pt idx="39">
                  <c:v>3.742</c:v>
                </c:pt>
                <c:pt idx="40">
                  <c:v>3.6230000000000002</c:v>
                </c:pt>
                <c:pt idx="41">
                  <c:v>3.32</c:v>
                </c:pt>
                <c:pt idx="42">
                  <c:v>3.6</c:v>
                </c:pt>
                <c:pt idx="43">
                  <c:v>3.1309999999999998</c:v>
                </c:pt>
                <c:pt idx="44">
                  <c:v>2.895</c:v>
                </c:pt>
                <c:pt idx="45">
                  <c:v>2.806</c:v>
                </c:pt>
                <c:pt idx="46">
                  <c:v>2.7839999999999998</c:v>
                </c:pt>
                <c:pt idx="47">
                  <c:v>2.7639999999999998</c:v>
                </c:pt>
                <c:pt idx="48">
                  <c:v>2.734</c:v>
                </c:pt>
                <c:pt idx="49">
                  <c:v>2.7050000000000001</c:v>
                </c:pt>
                <c:pt idx="50">
                  <c:v>2.6920000000000002</c:v>
                </c:pt>
                <c:pt idx="51">
                  <c:v>2.6389999999999998</c:v>
                </c:pt>
                <c:pt idx="52">
                  <c:v>2.5640000000000001</c:v>
                </c:pt>
                <c:pt idx="53">
                  <c:v>2.5</c:v>
                </c:pt>
                <c:pt idx="54">
                  <c:v>2.5979999999999999</c:v>
                </c:pt>
                <c:pt idx="55">
                  <c:v>2.508</c:v>
                </c:pt>
                <c:pt idx="56">
                  <c:v>2.2890000000000001</c:v>
                </c:pt>
                <c:pt idx="57">
                  <c:v>2.0990000000000002</c:v>
                </c:pt>
                <c:pt idx="58">
                  <c:v>1.9930000000000001</c:v>
                </c:pt>
                <c:pt idx="59">
                  <c:v>1.992</c:v>
                </c:pt>
                <c:pt idx="60">
                  <c:v>1.978</c:v>
                </c:pt>
                <c:pt idx="61">
                  <c:v>1.96</c:v>
                </c:pt>
                <c:pt idx="62">
                  <c:v>1.9470000000000001</c:v>
                </c:pt>
                <c:pt idx="63">
                  <c:v>1.9379999999999999</c:v>
                </c:pt>
                <c:pt idx="64">
                  <c:v>1.958</c:v>
                </c:pt>
                <c:pt idx="65">
                  <c:v>1.9650000000000001</c:v>
                </c:pt>
                <c:pt idx="66">
                  <c:v>1.962</c:v>
                </c:pt>
                <c:pt idx="67">
                  <c:v>2.0009999999999999</c:v>
                </c:pt>
                <c:pt idx="68">
                  <c:v>2.0230000000000001</c:v>
                </c:pt>
                <c:pt idx="69">
                  <c:v>1.998</c:v>
                </c:pt>
                <c:pt idx="70">
                  <c:v>1.9490000000000001</c:v>
                </c:pt>
                <c:pt idx="71">
                  <c:v>1.93</c:v>
                </c:pt>
                <c:pt idx="72">
                  <c:v>1.9139999999999999</c:v>
                </c:pt>
                <c:pt idx="73">
                  <c:v>1.944</c:v>
                </c:pt>
                <c:pt idx="74">
                  <c:v>1.95</c:v>
                </c:pt>
                <c:pt idx="75">
                  <c:v>1.94</c:v>
                </c:pt>
                <c:pt idx="76">
                  <c:v>1.899</c:v>
                </c:pt>
                <c:pt idx="77">
                  <c:v>1.8779999999999999</c:v>
                </c:pt>
                <c:pt idx="78">
                  <c:v>1.8280000000000001</c:v>
                </c:pt>
                <c:pt idx="79">
                  <c:v>1.8160000000000001</c:v>
                </c:pt>
                <c:pt idx="80">
                  <c:v>1.788</c:v>
                </c:pt>
                <c:pt idx="81">
                  <c:v>1.802</c:v>
                </c:pt>
                <c:pt idx="82">
                  <c:v>1.8</c:v>
                </c:pt>
                <c:pt idx="83">
                  <c:v>1.806</c:v>
                </c:pt>
                <c:pt idx="84">
                  <c:v>1.7829999999999999</c:v>
                </c:pt>
                <c:pt idx="85">
                  <c:v>1.7829999999999999</c:v>
                </c:pt>
                <c:pt idx="86">
                  <c:v>1.7989999999999999</c:v>
                </c:pt>
                <c:pt idx="87">
                  <c:v>1.81</c:v>
                </c:pt>
                <c:pt idx="88">
                  <c:v>1.782</c:v>
                </c:pt>
                <c:pt idx="89">
                  <c:v>1.782</c:v>
                </c:pt>
                <c:pt idx="90">
                  <c:v>1.7829999999999999</c:v>
                </c:pt>
                <c:pt idx="91">
                  <c:v>1.7889999999999999</c:v>
                </c:pt>
                <c:pt idx="92">
                  <c:v>1.8340000000000001</c:v>
                </c:pt>
                <c:pt idx="93">
                  <c:v>1.865</c:v>
                </c:pt>
                <c:pt idx="94">
                  <c:v>1.8819999999999999</c:v>
                </c:pt>
                <c:pt idx="95">
                  <c:v>1.887</c:v>
                </c:pt>
                <c:pt idx="96">
                  <c:v>1.8740000000000001</c:v>
                </c:pt>
                <c:pt idx="97">
                  <c:v>1.8540000000000001</c:v>
                </c:pt>
                <c:pt idx="98">
                  <c:v>1.8360000000000001</c:v>
                </c:pt>
                <c:pt idx="99">
                  <c:v>1.8089999999999999</c:v>
                </c:pt>
                <c:pt idx="100">
                  <c:v>1.829</c:v>
                </c:pt>
                <c:pt idx="101">
                  <c:v>1.833</c:v>
                </c:pt>
                <c:pt idx="102">
                  <c:v>1.885</c:v>
                </c:pt>
                <c:pt idx="103">
                  <c:v>2.0089999999999999</c:v>
                </c:pt>
                <c:pt idx="104">
                  <c:v>2.052</c:v>
                </c:pt>
                <c:pt idx="105">
                  <c:v>2.0390000000000001</c:v>
                </c:pt>
                <c:pt idx="106">
                  <c:v>1.9390000000000001</c:v>
                </c:pt>
                <c:pt idx="107">
                  <c:v>1.8919999999999999</c:v>
                </c:pt>
                <c:pt idx="108">
                  <c:v>1.8460000000000001</c:v>
                </c:pt>
                <c:pt idx="109">
                  <c:v>1.7749999999999999</c:v>
                </c:pt>
                <c:pt idx="110">
                  <c:v>1.6539999999999999</c:v>
                </c:pt>
                <c:pt idx="111">
                  <c:v>1.6</c:v>
                </c:pt>
                <c:pt idx="112">
                  <c:v>1.585</c:v>
                </c:pt>
                <c:pt idx="113">
                  <c:v>1.5469999999999999</c:v>
                </c:pt>
                <c:pt idx="114">
                  <c:v>1.512</c:v>
                </c:pt>
                <c:pt idx="115">
                  <c:v>1.486</c:v>
                </c:pt>
                <c:pt idx="116">
                  <c:v>1.478</c:v>
                </c:pt>
                <c:pt idx="117">
                  <c:v>1.4810000000000001</c:v>
                </c:pt>
                <c:pt idx="118">
                  <c:v>1.4610000000000001</c:v>
                </c:pt>
                <c:pt idx="119">
                  <c:v>1.43</c:v>
                </c:pt>
                <c:pt idx="120">
                  <c:v>1.4339999999999999</c:v>
                </c:pt>
                <c:pt idx="121">
                  <c:v>1.4670000000000001</c:v>
                </c:pt>
                <c:pt idx="122">
                  <c:v>1.4850000000000001</c:v>
                </c:pt>
              </c:numCache>
            </c:numRef>
          </c:val>
          <c:smooth val="0"/>
          <c:extLst>
            <c:ext xmlns:c16="http://schemas.microsoft.com/office/drawing/2014/chart" uri="{C3380CC4-5D6E-409C-BE32-E72D297353CC}">
              <c16:uniqueId val="{00000001-6E85-4F6A-B933-B19B8ED14882}"/>
            </c:ext>
          </c:extLst>
        </c:ser>
        <c:dLbls>
          <c:showLegendKey val="0"/>
          <c:showVal val="0"/>
          <c:showCatName val="0"/>
          <c:showSerName val="0"/>
          <c:showPercent val="0"/>
          <c:showBubbleSize val="0"/>
        </c:dLbls>
        <c:marker val="1"/>
        <c:smooth val="0"/>
        <c:axId val="201598080"/>
        <c:axId val="201579520"/>
      </c:lineChart>
      <c:dateAx>
        <c:axId val="201576448"/>
        <c:scaling>
          <c:orientation val="minMax"/>
          <c:max val="44651"/>
          <c:min val="44499"/>
        </c:scaling>
        <c:delete val="0"/>
        <c:axPos val="b"/>
        <c:numFmt formatCode="dd\/mm\/yy" sourceLinked="1"/>
        <c:majorTickMark val="out"/>
        <c:minorTickMark val="none"/>
        <c:tickLblPos val="nextTo"/>
        <c:txPr>
          <a:bodyPr rot="-2700000"/>
          <a:lstStyle/>
          <a:p>
            <a:pPr>
              <a:defRPr sz="700">
                <a:latin typeface="Calibri" panose="020F0502020204030204" pitchFamily="34" charset="0"/>
              </a:defRPr>
            </a:pPr>
            <a:endParaRPr lang="sr-Latn-RS"/>
          </a:p>
        </c:txPr>
        <c:crossAx val="201577984"/>
        <c:crosses val="autoZero"/>
        <c:auto val="1"/>
        <c:lblOffset val="100"/>
        <c:baseTimeUnit val="days"/>
        <c:majorUnit val="1"/>
        <c:majorTimeUnit val="months"/>
        <c:minorUnit val="1"/>
        <c:minorTimeUnit val="months"/>
      </c:dateAx>
      <c:valAx>
        <c:axId val="201577984"/>
        <c:scaling>
          <c:orientation val="minMax"/>
          <c:max val="102"/>
          <c:min val="75"/>
        </c:scaling>
        <c:delete val="0"/>
        <c:axPos val="l"/>
        <c:numFmt formatCode="#,##0.0\ [$€-407]" sourceLinked="0"/>
        <c:majorTickMark val="out"/>
        <c:minorTickMark val="none"/>
        <c:tickLblPos val="nextTo"/>
        <c:txPr>
          <a:bodyPr/>
          <a:lstStyle/>
          <a:p>
            <a:pPr>
              <a:defRPr sz="700">
                <a:latin typeface="+mn-lt"/>
              </a:defRPr>
            </a:pPr>
            <a:endParaRPr lang="sr-Latn-RS"/>
          </a:p>
        </c:txPr>
        <c:crossAx val="201576448"/>
        <c:crossesAt val="43637"/>
        <c:crossBetween val="between"/>
        <c:majorUnit val="3"/>
        <c:minorUnit val="0.60000000000000009"/>
      </c:valAx>
      <c:valAx>
        <c:axId val="201579520"/>
        <c:scaling>
          <c:orientation val="minMax"/>
          <c:max val="5.5"/>
          <c:min val="1"/>
        </c:scaling>
        <c:delete val="0"/>
        <c:axPos val="r"/>
        <c:numFmt formatCode="#,##0.0" sourceLinked="0"/>
        <c:majorTickMark val="out"/>
        <c:minorTickMark val="none"/>
        <c:tickLblPos val="nextTo"/>
        <c:txPr>
          <a:bodyPr/>
          <a:lstStyle/>
          <a:p>
            <a:pPr>
              <a:defRPr sz="700">
                <a:latin typeface="Calibri" panose="020F0502020204030204" pitchFamily="34" charset="0"/>
              </a:defRPr>
            </a:pPr>
            <a:endParaRPr lang="sr-Latn-RS"/>
          </a:p>
        </c:txPr>
        <c:crossAx val="201598080"/>
        <c:crosses val="max"/>
        <c:crossBetween val="between"/>
        <c:majorUnit val="0.5"/>
      </c:valAx>
      <c:dateAx>
        <c:axId val="201598080"/>
        <c:scaling>
          <c:orientation val="minMax"/>
        </c:scaling>
        <c:delete val="1"/>
        <c:axPos val="b"/>
        <c:numFmt formatCode="dd\/mm\/yy" sourceLinked="1"/>
        <c:majorTickMark val="out"/>
        <c:minorTickMark val="none"/>
        <c:tickLblPos val="none"/>
        <c:crossAx val="201579520"/>
        <c:crosses val="autoZero"/>
        <c:auto val="1"/>
        <c:lblOffset val="100"/>
        <c:baseTimeUnit val="days"/>
      </c:dateAx>
    </c:plotArea>
    <c:legend>
      <c:legendPos val="r"/>
      <c:layout>
        <c:manualLayout>
          <c:xMode val="edge"/>
          <c:yMode val="edge"/>
          <c:x val="0"/>
          <c:y val="0.91006229881642153"/>
          <c:w val="0.98338830287723455"/>
          <c:h val="8.9635022037339668E-2"/>
        </c:manualLayout>
      </c:layout>
      <c:overlay val="0"/>
      <c:txPr>
        <a:bodyPr/>
        <a:lstStyle/>
        <a:p>
          <a:pPr>
            <a:defRPr sz="800">
              <a:latin typeface="Calibri" panose="020F0502020204030204" pitchFamily="34" charset="0"/>
            </a:defRPr>
          </a:pPr>
          <a:endParaRPr lang="sr-Latn-RS"/>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sr-Latn-RS"/>
    </a:p>
  </c:txPr>
  <c:externalData r:id="rId2">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133405954974584"/>
          <c:y val="6.60851408443833E-2"/>
          <c:w val="0.76869750181372043"/>
          <c:h val="0.71447589497409481"/>
        </c:manualLayout>
      </c:layout>
      <c:areaChart>
        <c:grouping val="standard"/>
        <c:varyColors val="0"/>
        <c:ser>
          <c:idx val="0"/>
          <c:order val="0"/>
          <c:tx>
            <c:strRef>
              <c:f>'[Hartije od vrednosti na medjunarodnom trzistu SAJT 04.04.2022 (00000002).xlsx]EUROBOND 2029 offline'!$B$4</c:f>
              <c:strCache>
                <c:ptCount val="1"/>
                <c:pt idx="0">
                  <c:v>Цена на затварању</c:v>
                </c:pt>
              </c:strCache>
            </c:strRef>
          </c:tx>
          <c:spPr>
            <a:solidFill>
              <a:schemeClr val="tx2"/>
            </a:solidFill>
            <a:ln w="25400">
              <a:noFill/>
            </a:ln>
          </c:spPr>
          <c:cat>
            <c:numRef>
              <c:f>'[Hartije od vrednosti na medjunarodnom trzistu SAJT 04.04.2022 (00000002).xlsx]EUROBOND 2029 offline'!$A$6:$A$586</c:f>
              <c:numCache>
                <c:formatCode>dd\/mm\/yy</c:formatCode>
                <c:ptCount val="581"/>
                <c:pt idx="0">
                  <c:v>44678</c:v>
                </c:pt>
                <c:pt idx="1">
                  <c:v>44677</c:v>
                </c:pt>
                <c:pt idx="2">
                  <c:v>44676</c:v>
                </c:pt>
                <c:pt idx="3">
                  <c:v>44673</c:v>
                </c:pt>
                <c:pt idx="4">
                  <c:v>44672</c:v>
                </c:pt>
                <c:pt idx="5">
                  <c:v>44671</c:v>
                </c:pt>
                <c:pt idx="6">
                  <c:v>44670</c:v>
                </c:pt>
                <c:pt idx="7">
                  <c:v>44665</c:v>
                </c:pt>
                <c:pt idx="8">
                  <c:v>44664</c:v>
                </c:pt>
                <c:pt idx="9">
                  <c:v>44663</c:v>
                </c:pt>
                <c:pt idx="10">
                  <c:v>44662</c:v>
                </c:pt>
                <c:pt idx="11">
                  <c:v>44659</c:v>
                </c:pt>
                <c:pt idx="12">
                  <c:v>44658</c:v>
                </c:pt>
                <c:pt idx="13">
                  <c:v>44657</c:v>
                </c:pt>
                <c:pt idx="14">
                  <c:v>44656</c:v>
                </c:pt>
                <c:pt idx="15">
                  <c:v>44655</c:v>
                </c:pt>
                <c:pt idx="16">
                  <c:v>44652</c:v>
                </c:pt>
                <c:pt idx="17">
                  <c:v>44651</c:v>
                </c:pt>
                <c:pt idx="18">
                  <c:v>44650</c:v>
                </c:pt>
                <c:pt idx="19">
                  <c:v>44649</c:v>
                </c:pt>
                <c:pt idx="20">
                  <c:v>44648</c:v>
                </c:pt>
                <c:pt idx="21">
                  <c:v>44645</c:v>
                </c:pt>
                <c:pt idx="22">
                  <c:v>44644</c:v>
                </c:pt>
                <c:pt idx="23">
                  <c:v>44643</c:v>
                </c:pt>
                <c:pt idx="24">
                  <c:v>44642</c:v>
                </c:pt>
                <c:pt idx="25">
                  <c:v>44641</c:v>
                </c:pt>
                <c:pt idx="26">
                  <c:v>44638</c:v>
                </c:pt>
                <c:pt idx="27">
                  <c:v>44637</c:v>
                </c:pt>
                <c:pt idx="28">
                  <c:v>44636</c:v>
                </c:pt>
                <c:pt idx="29">
                  <c:v>44635</c:v>
                </c:pt>
                <c:pt idx="30">
                  <c:v>44634</c:v>
                </c:pt>
                <c:pt idx="31">
                  <c:v>44631</c:v>
                </c:pt>
                <c:pt idx="32">
                  <c:v>44630</c:v>
                </c:pt>
                <c:pt idx="33">
                  <c:v>44629</c:v>
                </c:pt>
                <c:pt idx="34">
                  <c:v>44628</c:v>
                </c:pt>
                <c:pt idx="35">
                  <c:v>44627</c:v>
                </c:pt>
                <c:pt idx="36">
                  <c:v>44624</c:v>
                </c:pt>
                <c:pt idx="37">
                  <c:v>44623</c:v>
                </c:pt>
                <c:pt idx="38">
                  <c:v>44622</c:v>
                </c:pt>
                <c:pt idx="39">
                  <c:v>44621</c:v>
                </c:pt>
                <c:pt idx="40">
                  <c:v>44620</c:v>
                </c:pt>
                <c:pt idx="41">
                  <c:v>44617</c:v>
                </c:pt>
                <c:pt idx="42">
                  <c:v>44616</c:v>
                </c:pt>
                <c:pt idx="43">
                  <c:v>44615</c:v>
                </c:pt>
                <c:pt idx="44">
                  <c:v>44614</c:v>
                </c:pt>
                <c:pt idx="45">
                  <c:v>44613</c:v>
                </c:pt>
                <c:pt idx="46">
                  <c:v>44610</c:v>
                </c:pt>
                <c:pt idx="47">
                  <c:v>44609</c:v>
                </c:pt>
                <c:pt idx="48">
                  <c:v>44608</c:v>
                </c:pt>
                <c:pt idx="49">
                  <c:v>44607</c:v>
                </c:pt>
                <c:pt idx="50">
                  <c:v>44606</c:v>
                </c:pt>
                <c:pt idx="51">
                  <c:v>44603</c:v>
                </c:pt>
                <c:pt idx="52">
                  <c:v>44602</c:v>
                </c:pt>
                <c:pt idx="53">
                  <c:v>44601</c:v>
                </c:pt>
                <c:pt idx="54">
                  <c:v>44600</c:v>
                </c:pt>
                <c:pt idx="55">
                  <c:v>44599</c:v>
                </c:pt>
                <c:pt idx="56">
                  <c:v>44596</c:v>
                </c:pt>
                <c:pt idx="57">
                  <c:v>44595</c:v>
                </c:pt>
                <c:pt idx="58">
                  <c:v>44594</c:v>
                </c:pt>
                <c:pt idx="59">
                  <c:v>44593</c:v>
                </c:pt>
                <c:pt idx="60">
                  <c:v>44592</c:v>
                </c:pt>
                <c:pt idx="61">
                  <c:v>44589</c:v>
                </c:pt>
                <c:pt idx="62">
                  <c:v>44588</c:v>
                </c:pt>
                <c:pt idx="63">
                  <c:v>44587</c:v>
                </c:pt>
                <c:pt idx="64">
                  <c:v>44586</c:v>
                </c:pt>
                <c:pt idx="65">
                  <c:v>44585</c:v>
                </c:pt>
                <c:pt idx="66">
                  <c:v>44582</c:v>
                </c:pt>
                <c:pt idx="67">
                  <c:v>44581</c:v>
                </c:pt>
                <c:pt idx="68">
                  <c:v>44580</c:v>
                </c:pt>
                <c:pt idx="69">
                  <c:v>44579</c:v>
                </c:pt>
                <c:pt idx="70">
                  <c:v>44578</c:v>
                </c:pt>
                <c:pt idx="71">
                  <c:v>44575</c:v>
                </c:pt>
                <c:pt idx="72">
                  <c:v>44574</c:v>
                </c:pt>
                <c:pt idx="73">
                  <c:v>44573</c:v>
                </c:pt>
                <c:pt idx="74">
                  <c:v>44572</c:v>
                </c:pt>
                <c:pt idx="75">
                  <c:v>44571</c:v>
                </c:pt>
                <c:pt idx="76">
                  <c:v>44568</c:v>
                </c:pt>
                <c:pt idx="77">
                  <c:v>44567</c:v>
                </c:pt>
                <c:pt idx="78">
                  <c:v>44566</c:v>
                </c:pt>
                <c:pt idx="79">
                  <c:v>44565</c:v>
                </c:pt>
                <c:pt idx="80">
                  <c:v>44564</c:v>
                </c:pt>
                <c:pt idx="81">
                  <c:v>44561</c:v>
                </c:pt>
                <c:pt idx="82">
                  <c:v>44560</c:v>
                </c:pt>
                <c:pt idx="83">
                  <c:v>44559</c:v>
                </c:pt>
                <c:pt idx="84">
                  <c:v>44558</c:v>
                </c:pt>
                <c:pt idx="85">
                  <c:v>44557</c:v>
                </c:pt>
                <c:pt idx="86">
                  <c:v>44554</c:v>
                </c:pt>
                <c:pt idx="87">
                  <c:v>44553</c:v>
                </c:pt>
                <c:pt idx="88">
                  <c:v>44552</c:v>
                </c:pt>
                <c:pt idx="89">
                  <c:v>44551</c:v>
                </c:pt>
                <c:pt idx="90">
                  <c:v>44550</c:v>
                </c:pt>
                <c:pt idx="91">
                  <c:v>44547</c:v>
                </c:pt>
                <c:pt idx="92">
                  <c:v>44546</c:v>
                </c:pt>
                <c:pt idx="93">
                  <c:v>44545</c:v>
                </c:pt>
                <c:pt idx="94">
                  <c:v>44544</c:v>
                </c:pt>
                <c:pt idx="95">
                  <c:v>44543</c:v>
                </c:pt>
                <c:pt idx="96">
                  <c:v>44540</c:v>
                </c:pt>
                <c:pt idx="97">
                  <c:v>44539</c:v>
                </c:pt>
                <c:pt idx="98">
                  <c:v>44538</c:v>
                </c:pt>
                <c:pt idx="99">
                  <c:v>44537</c:v>
                </c:pt>
                <c:pt idx="100">
                  <c:v>44536</c:v>
                </c:pt>
                <c:pt idx="101">
                  <c:v>44533</c:v>
                </c:pt>
                <c:pt idx="102">
                  <c:v>44532</c:v>
                </c:pt>
                <c:pt idx="103">
                  <c:v>44531</c:v>
                </c:pt>
                <c:pt idx="104">
                  <c:v>44530</c:v>
                </c:pt>
                <c:pt idx="105">
                  <c:v>44529</c:v>
                </c:pt>
                <c:pt idx="106">
                  <c:v>44526</c:v>
                </c:pt>
                <c:pt idx="107">
                  <c:v>44525</c:v>
                </c:pt>
                <c:pt idx="108">
                  <c:v>44524</c:v>
                </c:pt>
                <c:pt idx="109">
                  <c:v>44523</c:v>
                </c:pt>
                <c:pt idx="110">
                  <c:v>44522</c:v>
                </c:pt>
                <c:pt idx="111">
                  <c:v>44519</c:v>
                </c:pt>
                <c:pt idx="112">
                  <c:v>44518</c:v>
                </c:pt>
                <c:pt idx="113">
                  <c:v>44517</c:v>
                </c:pt>
                <c:pt idx="114">
                  <c:v>44516</c:v>
                </c:pt>
                <c:pt idx="115">
                  <c:v>44515</c:v>
                </c:pt>
                <c:pt idx="116">
                  <c:v>44512</c:v>
                </c:pt>
                <c:pt idx="117">
                  <c:v>44511</c:v>
                </c:pt>
                <c:pt idx="118">
                  <c:v>44510</c:v>
                </c:pt>
                <c:pt idx="119">
                  <c:v>44509</c:v>
                </c:pt>
                <c:pt idx="120">
                  <c:v>44508</c:v>
                </c:pt>
                <c:pt idx="121">
                  <c:v>44505</c:v>
                </c:pt>
                <c:pt idx="122">
                  <c:v>44504</c:v>
                </c:pt>
                <c:pt idx="123">
                  <c:v>44503</c:v>
                </c:pt>
                <c:pt idx="124">
                  <c:v>44502</c:v>
                </c:pt>
                <c:pt idx="125">
                  <c:v>44501</c:v>
                </c:pt>
                <c:pt idx="126">
                  <c:v>44498</c:v>
                </c:pt>
                <c:pt idx="127">
                  <c:v>44497</c:v>
                </c:pt>
                <c:pt idx="128">
                  <c:v>44496</c:v>
                </c:pt>
                <c:pt idx="129">
                  <c:v>44495</c:v>
                </c:pt>
                <c:pt idx="130">
                  <c:v>44494</c:v>
                </c:pt>
                <c:pt idx="131">
                  <c:v>44491</c:v>
                </c:pt>
                <c:pt idx="132">
                  <c:v>44490</c:v>
                </c:pt>
                <c:pt idx="133">
                  <c:v>44489</c:v>
                </c:pt>
                <c:pt idx="134">
                  <c:v>44488</c:v>
                </c:pt>
                <c:pt idx="135">
                  <c:v>44487</c:v>
                </c:pt>
                <c:pt idx="136">
                  <c:v>44484</c:v>
                </c:pt>
                <c:pt idx="137">
                  <c:v>44483</c:v>
                </c:pt>
                <c:pt idx="138">
                  <c:v>44482</c:v>
                </c:pt>
                <c:pt idx="139">
                  <c:v>44481</c:v>
                </c:pt>
                <c:pt idx="140">
                  <c:v>44480</c:v>
                </c:pt>
                <c:pt idx="141">
                  <c:v>44477</c:v>
                </c:pt>
                <c:pt idx="142">
                  <c:v>44476</c:v>
                </c:pt>
                <c:pt idx="143">
                  <c:v>44475</c:v>
                </c:pt>
                <c:pt idx="144">
                  <c:v>44474</c:v>
                </c:pt>
                <c:pt idx="145">
                  <c:v>44473</c:v>
                </c:pt>
                <c:pt idx="146">
                  <c:v>44470</c:v>
                </c:pt>
                <c:pt idx="147">
                  <c:v>44469</c:v>
                </c:pt>
                <c:pt idx="148">
                  <c:v>44468</c:v>
                </c:pt>
                <c:pt idx="149">
                  <c:v>44467</c:v>
                </c:pt>
                <c:pt idx="150">
                  <c:v>44466</c:v>
                </c:pt>
                <c:pt idx="151">
                  <c:v>44463</c:v>
                </c:pt>
                <c:pt idx="152">
                  <c:v>44462</c:v>
                </c:pt>
                <c:pt idx="153">
                  <c:v>44461</c:v>
                </c:pt>
                <c:pt idx="154">
                  <c:v>44460</c:v>
                </c:pt>
                <c:pt idx="155">
                  <c:v>44459</c:v>
                </c:pt>
                <c:pt idx="156">
                  <c:v>44456</c:v>
                </c:pt>
                <c:pt idx="157">
                  <c:v>44455</c:v>
                </c:pt>
                <c:pt idx="158">
                  <c:v>44454</c:v>
                </c:pt>
                <c:pt idx="159">
                  <c:v>44453</c:v>
                </c:pt>
                <c:pt idx="160">
                  <c:v>44452</c:v>
                </c:pt>
                <c:pt idx="161">
                  <c:v>44449</c:v>
                </c:pt>
                <c:pt idx="162">
                  <c:v>44448</c:v>
                </c:pt>
                <c:pt idx="163">
                  <c:v>44447</c:v>
                </c:pt>
                <c:pt idx="164">
                  <c:v>44446</c:v>
                </c:pt>
                <c:pt idx="165">
                  <c:v>44445</c:v>
                </c:pt>
                <c:pt idx="166">
                  <c:v>44442</c:v>
                </c:pt>
                <c:pt idx="167">
                  <c:v>44441</c:v>
                </c:pt>
                <c:pt idx="168">
                  <c:v>44440</c:v>
                </c:pt>
                <c:pt idx="169">
                  <c:v>44439</c:v>
                </c:pt>
                <c:pt idx="170">
                  <c:v>44438</c:v>
                </c:pt>
                <c:pt idx="171">
                  <c:v>44435</c:v>
                </c:pt>
                <c:pt idx="172">
                  <c:v>44434</c:v>
                </c:pt>
                <c:pt idx="173">
                  <c:v>44433</c:v>
                </c:pt>
                <c:pt idx="174">
                  <c:v>44432</c:v>
                </c:pt>
                <c:pt idx="175">
                  <c:v>44431</c:v>
                </c:pt>
                <c:pt idx="176">
                  <c:v>44428</c:v>
                </c:pt>
                <c:pt idx="177">
                  <c:v>44427</c:v>
                </c:pt>
                <c:pt idx="178">
                  <c:v>44426</c:v>
                </c:pt>
                <c:pt idx="179">
                  <c:v>44425</c:v>
                </c:pt>
                <c:pt idx="180">
                  <c:v>44424</c:v>
                </c:pt>
                <c:pt idx="181">
                  <c:v>44421</c:v>
                </c:pt>
                <c:pt idx="182">
                  <c:v>44420</c:v>
                </c:pt>
                <c:pt idx="183">
                  <c:v>44419</c:v>
                </c:pt>
                <c:pt idx="184">
                  <c:v>44418</c:v>
                </c:pt>
                <c:pt idx="185">
                  <c:v>44417</c:v>
                </c:pt>
                <c:pt idx="186">
                  <c:v>44414</c:v>
                </c:pt>
                <c:pt idx="187">
                  <c:v>44413</c:v>
                </c:pt>
                <c:pt idx="188">
                  <c:v>44412</c:v>
                </c:pt>
                <c:pt idx="189">
                  <c:v>44411</c:v>
                </c:pt>
                <c:pt idx="190">
                  <c:v>44410</c:v>
                </c:pt>
                <c:pt idx="191">
                  <c:v>44407</c:v>
                </c:pt>
                <c:pt idx="192">
                  <c:v>44406</c:v>
                </c:pt>
                <c:pt idx="193">
                  <c:v>44405</c:v>
                </c:pt>
                <c:pt idx="194">
                  <c:v>44404</c:v>
                </c:pt>
                <c:pt idx="195">
                  <c:v>44403</c:v>
                </c:pt>
                <c:pt idx="196">
                  <c:v>44400</c:v>
                </c:pt>
                <c:pt idx="197">
                  <c:v>44399</c:v>
                </c:pt>
                <c:pt idx="198">
                  <c:v>44398</c:v>
                </c:pt>
                <c:pt idx="199">
                  <c:v>44397</c:v>
                </c:pt>
                <c:pt idx="200">
                  <c:v>44396</c:v>
                </c:pt>
                <c:pt idx="201">
                  <c:v>44393</c:v>
                </c:pt>
                <c:pt idx="202">
                  <c:v>44392</c:v>
                </c:pt>
                <c:pt idx="203">
                  <c:v>44391</c:v>
                </c:pt>
                <c:pt idx="204">
                  <c:v>44390</c:v>
                </c:pt>
                <c:pt idx="205">
                  <c:v>44389</c:v>
                </c:pt>
                <c:pt idx="206">
                  <c:v>44386</c:v>
                </c:pt>
                <c:pt idx="207">
                  <c:v>44385</c:v>
                </c:pt>
                <c:pt idx="208">
                  <c:v>44384</c:v>
                </c:pt>
                <c:pt idx="209">
                  <c:v>44383</c:v>
                </c:pt>
                <c:pt idx="210">
                  <c:v>44382</c:v>
                </c:pt>
                <c:pt idx="211">
                  <c:v>44379</c:v>
                </c:pt>
                <c:pt idx="212">
                  <c:v>44378</c:v>
                </c:pt>
                <c:pt idx="213">
                  <c:v>44377</c:v>
                </c:pt>
                <c:pt idx="214">
                  <c:v>44376</c:v>
                </c:pt>
                <c:pt idx="215">
                  <c:v>44375</c:v>
                </c:pt>
                <c:pt idx="216">
                  <c:v>44372</c:v>
                </c:pt>
                <c:pt idx="217">
                  <c:v>44371</c:v>
                </c:pt>
                <c:pt idx="218">
                  <c:v>44370</c:v>
                </c:pt>
                <c:pt idx="219">
                  <c:v>44369</c:v>
                </c:pt>
                <c:pt idx="220">
                  <c:v>44368</c:v>
                </c:pt>
                <c:pt idx="221">
                  <c:v>44365</c:v>
                </c:pt>
                <c:pt idx="222">
                  <c:v>44364</c:v>
                </c:pt>
                <c:pt idx="223">
                  <c:v>44363</c:v>
                </c:pt>
                <c:pt idx="224">
                  <c:v>44362</c:v>
                </c:pt>
                <c:pt idx="225">
                  <c:v>44361</c:v>
                </c:pt>
                <c:pt idx="226">
                  <c:v>44358</c:v>
                </c:pt>
                <c:pt idx="227">
                  <c:v>44357</c:v>
                </c:pt>
                <c:pt idx="228">
                  <c:v>44356</c:v>
                </c:pt>
                <c:pt idx="229">
                  <c:v>44355</c:v>
                </c:pt>
                <c:pt idx="230">
                  <c:v>44354</c:v>
                </c:pt>
                <c:pt idx="231">
                  <c:v>44351</c:v>
                </c:pt>
                <c:pt idx="232">
                  <c:v>44350</c:v>
                </c:pt>
                <c:pt idx="233">
                  <c:v>44349</c:v>
                </c:pt>
                <c:pt idx="234">
                  <c:v>44348</c:v>
                </c:pt>
                <c:pt idx="235">
                  <c:v>44347</c:v>
                </c:pt>
                <c:pt idx="236">
                  <c:v>44344</c:v>
                </c:pt>
                <c:pt idx="237">
                  <c:v>44343</c:v>
                </c:pt>
                <c:pt idx="238">
                  <c:v>44342</c:v>
                </c:pt>
                <c:pt idx="239">
                  <c:v>44341</c:v>
                </c:pt>
                <c:pt idx="240">
                  <c:v>44340</c:v>
                </c:pt>
                <c:pt idx="241">
                  <c:v>44337</c:v>
                </c:pt>
                <c:pt idx="242">
                  <c:v>44336</c:v>
                </c:pt>
                <c:pt idx="243">
                  <c:v>44335</c:v>
                </c:pt>
                <c:pt idx="244">
                  <c:v>44334</c:v>
                </c:pt>
                <c:pt idx="245">
                  <c:v>44333</c:v>
                </c:pt>
                <c:pt idx="246">
                  <c:v>44330</c:v>
                </c:pt>
                <c:pt idx="247">
                  <c:v>44329</c:v>
                </c:pt>
                <c:pt idx="248">
                  <c:v>44328</c:v>
                </c:pt>
                <c:pt idx="249">
                  <c:v>44327</c:v>
                </c:pt>
                <c:pt idx="250">
                  <c:v>44326</c:v>
                </c:pt>
                <c:pt idx="251">
                  <c:v>44323</c:v>
                </c:pt>
                <c:pt idx="252">
                  <c:v>44322</c:v>
                </c:pt>
                <c:pt idx="253">
                  <c:v>44321</c:v>
                </c:pt>
                <c:pt idx="254">
                  <c:v>44320</c:v>
                </c:pt>
                <c:pt idx="255">
                  <c:v>44319</c:v>
                </c:pt>
                <c:pt idx="256">
                  <c:v>44316</c:v>
                </c:pt>
                <c:pt idx="257">
                  <c:v>44315</c:v>
                </c:pt>
                <c:pt idx="258">
                  <c:v>44314</c:v>
                </c:pt>
                <c:pt idx="259">
                  <c:v>44313</c:v>
                </c:pt>
                <c:pt idx="260">
                  <c:v>44312</c:v>
                </c:pt>
                <c:pt idx="261">
                  <c:v>44309</c:v>
                </c:pt>
                <c:pt idx="262">
                  <c:v>44308</c:v>
                </c:pt>
                <c:pt idx="263">
                  <c:v>44307</c:v>
                </c:pt>
                <c:pt idx="264">
                  <c:v>44306</c:v>
                </c:pt>
                <c:pt idx="265">
                  <c:v>44305</c:v>
                </c:pt>
                <c:pt idx="266">
                  <c:v>44302</c:v>
                </c:pt>
                <c:pt idx="267">
                  <c:v>44301</c:v>
                </c:pt>
                <c:pt idx="268">
                  <c:v>44300</c:v>
                </c:pt>
                <c:pt idx="269">
                  <c:v>44299</c:v>
                </c:pt>
                <c:pt idx="270">
                  <c:v>44298</c:v>
                </c:pt>
                <c:pt idx="271">
                  <c:v>44295</c:v>
                </c:pt>
                <c:pt idx="272">
                  <c:v>44294</c:v>
                </c:pt>
                <c:pt idx="273">
                  <c:v>44293</c:v>
                </c:pt>
                <c:pt idx="274">
                  <c:v>44292</c:v>
                </c:pt>
                <c:pt idx="275">
                  <c:v>44287</c:v>
                </c:pt>
                <c:pt idx="276">
                  <c:v>44286</c:v>
                </c:pt>
                <c:pt idx="277">
                  <c:v>44285</c:v>
                </c:pt>
                <c:pt idx="278">
                  <c:v>44284</c:v>
                </c:pt>
                <c:pt idx="279">
                  <c:v>44281</c:v>
                </c:pt>
                <c:pt idx="280">
                  <c:v>44280</c:v>
                </c:pt>
                <c:pt idx="281">
                  <c:v>44279</c:v>
                </c:pt>
                <c:pt idx="282">
                  <c:v>44278</c:v>
                </c:pt>
                <c:pt idx="283">
                  <c:v>44277</c:v>
                </c:pt>
                <c:pt idx="284">
                  <c:v>44274</c:v>
                </c:pt>
                <c:pt idx="285">
                  <c:v>44273</c:v>
                </c:pt>
                <c:pt idx="286">
                  <c:v>44272</c:v>
                </c:pt>
                <c:pt idx="287">
                  <c:v>44271</c:v>
                </c:pt>
                <c:pt idx="288">
                  <c:v>44270</c:v>
                </c:pt>
                <c:pt idx="289">
                  <c:v>44267</c:v>
                </c:pt>
                <c:pt idx="290">
                  <c:v>44266</c:v>
                </c:pt>
                <c:pt idx="291">
                  <c:v>44265</c:v>
                </c:pt>
                <c:pt idx="292">
                  <c:v>44264</c:v>
                </c:pt>
                <c:pt idx="293">
                  <c:v>44263</c:v>
                </c:pt>
                <c:pt idx="294">
                  <c:v>44260</c:v>
                </c:pt>
                <c:pt idx="295">
                  <c:v>44259</c:v>
                </c:pt>
                <c:pt idx="296">
                  <c:v>44258</c:v>
                </c:pt>
                <c:pt idx="297">
                  <c:v>44257</c:v>
                </c:pt>
                <c:pt idx="298">
                  <c:v>44256</c:v>
                </c:pt>
                <c:pt idx="299">
                  <c:v>44253</c:v>
                </c:pt>
                <c:pt idx="300">
                  <c:v>44252</c:v>
                </c:pt>
                <c:pt idx="301">
                  <c:v>44251</c:v>
                </c:pt>
                <c:pt idx="302">
                  <c:v>44250</c:v>
                </c:pt>
                <c:pt idx="303">
                  <c:v>44249</c:v>
                </c:pt>
                <c:pt idx="304">
                  <c:v>44246</c:v>
                </c:pt>
                <c:pt idx="305">
                  <c:v>44245</c:v>
                </c:pt>
                <c:pt idx="306">
                  <c:v>44244</c:v>
                </c:pt>
                <c:pt idx="307">
                  <c:v>44243</c:v>
                </c:pt>
                <c:pt idx="308">
                  <c:v>44242</c:v>
                </c:pt>
                <c:pt idx="309">
                  <c:v>44239</c:v>
                </c:pt>
                <c:pt idx="310">
                  <c:v>44238</c:v>
                </c:pt>
                <c:pt idx="311">
                  <c:v>44237</c:v>
                </c:pt>
                <c:pt idx="312">
                  <c:v>44236</c:v>
                </c:pt>
                <c:pt idx="313">
                  <c:v>44235</c:v>
                </c:pt>
                <c:pt idx="314">
                  <c:v>44232</c:v>
                </c:pt>
                <c:pt idx="315">
                  <c:v>44231</c:v>
                </c:pt>
                <c:pt idx="316">
                  <c:v>44230</c:v>
                </c:pt>
                <c:pt idx="317">
                  <c:v>44229</c:v>
                </c:pt>
                <c:pt idx="318">
                  <c:v>44228</c:v>
                </c:pt>
                <c:pt idx="319">
                  <c:v>44225</c:v>
                </c:pt>
                <c:pt idx="320">
                  <c:v>44224</c:v>
                </c:pt>
                <c:pt idx="321">
                  <c:v>44223</c:v>
                </c:pt>
                <c:pt idx="322">
                  <c:v>44222</c:v>
                </c:pt>
                <c:pt idx="323">
                  <c:v>44221</c:v>
                </c:pt>
                <c:pt idx="324">
                  <c:v>44218</c:v>
                </c:pt>
                <c:pt idx="325">
                  <c:v>44217</c:v>
                </c:pt>
                <c:pt idx="326">
                  <c:v>44216</c:v>
                </c:pt>
                <c:pt idx="327">
                  <c:v>44215</c:v>
                </c:pt>
                <c:pt idx="328">
                  <c:v>44214</c:v>
                </c:pt>
                <c:pt idx="329">
                  <c:v>44211</c:v>
                </c:pt>
                <c:pt idx="330">
                  <c:v>44210</c:v>
                </c:pt>
                <c:pt idx="331">
                  <c:v>44209</c:v>
                </c:pt>
                <c:pt idx="332">
                  <c:v>44208</c:v>
                </c:pt>
                <c:pt idx="333">
                  <c:v>44207</c:v>
                </c:pt>
                <c:pt idx="334">
                  <c:v>44204</c:v>
                </c:pt>
                <c:pt idx="335">
                  <c:v>44203</c:v>
                </c:pt>
                <c:pt idx="336">
                  <c:v>44202</c:v>
                </c:pt>
                <c:pt idx="337">
                  <c:v>44201</c:v>
                </c:pt>
                <c:pt idx="338">
                  <c:v>44200</c:v>
                </c:pt>
                <c:pt idx="339">
                  <c:v>44196</c:v>
                </c:pt>
                <c:pt idx="340">
                  <c:v>44195</c:v>
                </c:pt>
                <c:pt idx="341">
                  <c:v>44194</c:v>
                </c:pt>
                <c:pt idx="342">
                  <c:v>44193</c:v>
                </c:pt>
                <c:pt idx="343">
                  <c:v>44189</c:v>
                </c:pt>
                <c:pt idx="344">
                  <c:v>44188</c:v>
                </c:pt>
                <c:pt idx="345">
                  <c:v>44187</c:v>
                </c:pt>
                <c:pt idx="346">
                  <c:v>44186</c:v>
                </c:pt>
                <c:pt idx="347">
                  <c:v>44183</c:v>
                </c:pt>
                <c:pt idx="348">
                  <c:v>44182</c:v>
                </c:pt>
                <c:pt idx="349">
                  <c:v>44181</c:v>
                </c:pt>
                <c:pt idx="350">
                  <c:v>44180</c:v>
                </c:pt>
                <c:pt idx="351">
                  <c:v>44179</c:v>
                </c:pt>
                <c:pt idx="352">
                  <c:v>44176</c:v>
                </c:pt>
                <c:pt idx="353">
                  <c:v>44175</c:v>
                </c:pt>
                <c:pt idx="354">
                  <c:v>44174</c:v>
                </c:pt>
                <c:pt idx="355">
                  <c:v>44173</c:v>
                </c:pt>
                <c:pt idx="356">
                  <c:v>44172</c:v>
                </c:pt>
                <c:pt idx="357">
                  <c:v>44169</c:v>
                </c:pt>
                <c:pt idx="358">
                  <c:v>44168</c:v>
                </c:pt>
                <c:pt idx="359">
                  <c:v>44167</c:v>
                </c:pt>
                <c:pt idx="360">
                  <c:v>44166</c:v>
                </c:pt>
                <c:pt idx="361">
                  <c:v>44165</c:v>
                </c:pt>
                <c:pt idx="362">
                  <c:v>44162</c:v>
                </c:pt>
                <c:pt idx="363">
                  <c:v>44161</c:v>
                </c:pt>
                <c:pt idx="364">
                  <c:v>44160</c:v>
                </c:pt>
                <c:pt idx="365">
                  <c:v>44159</c:v>
                </c:pt>
                <c:pt idx="366">
                  <c:v>44158</c:v>
                </c:pt>
                <c:pt idx="367">
                  <c:v>44155</c:v>
                </c:pt>
                <c:pt idx="368">
                  <c:v>44154</c:v>
                </c:pt>
                <c:pt idx="369">
                  <c:v>44153</c:v>
                </c:pt>
                <c:pt idx="370">
                  <c:v>44152</c:v>
                </c:pt>
                <c:pt idx="371">
                  <c:v>44151</c:v>
                </c:pt>
                <c:pt idx="372">
                  <c:v>44148</c:v>
                </c:pt>
                <c:pt idx="373">
                  <c:v>44147</c:v>
                </c:pt>
                <c:pt idx="374">
                  <c:v>44146</c:v>
                </c:pt>
                <c:pt idx="375">
                  <c:v>44145</c:v>
                </c:pt>
                <c:pt idx="376">
                  <c:v>44144</c:v>
                </c:pt>
                <c:pt idx="377">
                  <c:v>44141</c:v>
                </c:pt>
                <c:pt idx="378">
                  <c:v>44140</c:v>
                </c:pt>
                <c:pt idx="379">
                  <c:v>44139</c:v>
                </c:pt>
                <c:pt idx="380">
                  <c:v>44138</c:v>
                </c:pt>
                <c:pt idx="381">
                  <c:v>44137</c:v>
                </c:pt>
                <c:pt idx="382">
                  <c:v>44134</c:v>
                </c:pt>
                <c:pt idx="383">
                  <c:v>44133</c:v>
                </c:pt>
                <c:pt idx="384">
                  <c:v>44132</c:v>
                </c:pt>
                <c:pt idx="385">
                  <c:v>44131</c:v>
                </c:pt>
                <c:pt idx="386">
                  <c:v>44130</c:v>
                </c:pt>
                <c:pt idx="387">
                  <c:v>44127</c:v>
                </c:pt>
                <c:pt idx="388">
                  <c:v>44126</c:v>
                </c:pt>
                <c:pt idx="389">
                  <c:v>44125</c:v>
                </c:pt>
                <c:pt idx="390">
                  <c:v>44124</c:v>
                </c:pt>
                <c:pt idx="391">
                  <c:v>44123</c:v>
                </c:pt>
                <c:pt idx="392">
                  <c:v>44120</c:v>
                </c:pt>
                <c:pt idx="393">
                  <c:v>44119</c:v>
                </c:pt>
                <c:pt idx="394">
                  <c:v>44118</c:v>
                </c:pt>
                <c:pt idx="395">
                  <c:v>44117</c:v>
                </c:pt>
                <c:pt idx="396">
                  <c:v>44116</c:v>
                </c:pt>
                <c:pt idx="397">
                  <c:v>44113</c:v>
                </c:pt>
                <c:pt idx="398">
                  <c:v>44112</c:v>
                </c:pt>
                <c:pt idx="399">
                  <c:v>44111</c:v>
                </c:pt>
                <c:pt idx="400">
                  <c:v>44110</c:v>
                </c:pt>
                <c:pt idx="401">
                  <c:v>44109</c:v>
                </c:pt>
                <c:pt idx="402">
                  <c:v>44106</c:v>
                </c:pt>
                <c:pt idx="403">
                  <c:v>44105</c:v>
                </c:pt>
                <c:pt idx="404">
                  <c:v>44104</c:v>
                </c:pt>
                <c:pt idx="405">
                  <c:v>44103</c:v>
                </c:pt>
                <c:pt idx="406">
                  <c:v>44102</c:v>
                </c:pt>
                <c:pt idx="407">
                  <c:v>44099</c:v>
                </c:pt>
                <c:pt idx="408">
                  <c:v>44098</c:v>
                </c:pt>
                <c:pt idx="409">
                  <c:v>44097</c:v>
                </c:pt>
                <c:pt idx="410">
                  <c:v>44096</c:v>
                </c:pt>
                <c:pt idx="411">
                  <c:v>44095</c:v>
                </c:pt>
                <c:pt idx="412">
                  <c:v>44092</c:v>
                </c:pt>
                <c:pt idx="413">
                  <c:v>44091</c:v>
                </c:pt>
                <c:pt idx="414">
                  <c:v>44090</c:v>
                </c:pt>
                <c:pt idx="415">
                  <c:v>44089</c:v>
                </c:pt>
                <c:pt idx="416">
                  <c:v>44088</c:v>
                </c:pt>
                <c:pt idx="417">
                  <c:v>44085</c:v>
                </c:pt>
                <c:pt idx="418">
                  <c:v>44084</c:v>
                </c:pt>
                <c:pt idx="419">
                  <c:v>44083</c:v>
                </c:pt>
                <c:pt idx="420">
                  <c:v>44082</c:v>
                </c:pt>
                <c:pt idx="421">
                  <c:v>44081</c:v>
                </c:pt>
                <c:pt idx="422">
                  <c:v>44078</c:v>
                </c:pt>
                <c:pt idx="423">
                  <c:v>44077</c:v>
                </c:pt>
                <c:pt idx="424">
                  <c:v>44076</c:v>
                </c:pt>
                <c:pt idx="425">
                  <c:v>44075</c:v>
                </c:pt>
                <c:pt idx="426">
                  <c:v>44074</c:v>
                </c:pt>
                <c:pt idx="427">
                  <c:v>44071</c:v>
                </c:pt>
                <c:pt idx="428">
                  <c:v>44070</c:v>
                </c:pt>
                <c:pt idx="429">
                  <c:v>44069</c:v>
                </c:pt>
                <c:pt idx="430">
                  <c:v>44068</c:v>
                </c:pt>
                <c:pt idx="431">
                  <c:v>44067</c:v>
                </c:pt>
                <c:pt idx="432">
                  <c:v>44064</c:v>
                </c:pt>
                <c:pt idx="433">
                  <c:v>44063</c:v>
                </c:pt>
                <c:pt idx="434">
                  <c:v>44062</c:v>
                </c:pt>
                <c:pt idx="435">
                  <c:v>44061</c:v>
                </c:pt>
                <c:pt idx="436">
                  <c:v>44060</c:v>
                </c:pt>
                <c:pt idx="437">
                  <c:v>44057</c:v>
                </c:pt>
                <c:pt idx="438">
                  <c:v>44056</c:v>
                </c:pt>
                <c:pt idx="439">
                  <c:v>44055</c:v>
                </c:pt>
                <c:pt idx="440">
                  <c:v>44054</c:v>
                </c:pt>
                <c:pt idx="441">
                  <c:v>44053</c:v>
                </c:pt>
                <c:pt idx="442">
                  <c:v>44050</c:v>
                </c:pt>
                <c:pt idx="443">
                  <c:v>44049</c:v>
                </c:pt>
                <c:pt idx="444">
                  <c:v>44048</c:v>
                </c:pt>
                <c:pt idx="445">
                  <c:v>44047</c:v>
                </c:pt>
                <c:pt idx="446">
                  <c:v>44046</c:v>
                </c:pt>
                <c:pt idx="447">
                  <c:v>44043</c:v>
                </c:pt>
                <c:pt idx="448">
                  <c:v>44042</c:v>
                </c:pt>
                <c:pt idx="449">
                  <c:v>44041</c:v>
                </c:pt>
                <c:pt idx="450">
                  <c:v>44040</c:v>
                </c:pt>
                <c:pt idx="451">
                  <c:v>44039</c:v>
                </c:pt>
                <c:pt idx="452">
                  <c:v>44036</c:v>
                </c:pt>
                <c:pt idx="453">
                  <c:v>44035</c:v>
                </c:pt>
                <c:pt idx="454">
                  <c:v>44034</c:v>
                </c:pt>
                <c:pt idx="455">
                  <c:v>44033</c:v>
                </c:pt>
                <c:pt idx="456">
                  <c:v>44032</c:v>
                </c:pt>
                <c:pt idx="457">
                  <c:v>44029</c:v>
                </c:pt>
                <c:pt idx="458">
                  <c:v>44028</c:v>
                </c:pt>
                <c:pt idx="459">
                  <c:v>44027</c:v>
                </c:pt>
                <c:pt idx="460">
                  <c:v>44026</c:v>
                </c:pt>
                <c:pt idx="461">
                  <c:v>44025</c:v>
                </c:pt>
                <c:pt idx="462">
                  <c:v>44022</c:v>
                </c:pt>
                <c:pt idx="463">
                  <c:v>44021</c:v>
                </c:pt>
                <c:pt idx="464">
                  <c:v>44020</c:v>
                </c:pt>
                <c:pt idx="465">
                  <c:v>44019</c:v>
                </c:pt>
                <c:pt idx="466">
                  <c:v>44018</c:v>
                </c:pt>
                <c:pt idx="467">
                  <c:v>44015</c:v>
                </c:pt>
                <c:pt idx="468">
                  <c:v>44014</c:v>
                </c:pt>
                <c:pt idx="469">
                  <c:v>44013</c:v>
                </c:pt>
                <c:pt idx="470">
                  <c:v>44012</c:v>
                </c:pt>
                <c:pt idx="471">
                  <c:v>44011</c:v>
                </c:pt>
                <c:pt idx="472">
                  <c:v>44008</c:v>
                </c:pt>
                <c:pt idx="473">
                  <c:v>44007</c:v>
                </c:pt>
                <c:pt idx="474">
                  <c:v>44006</c:v>
                </c:pt>
                <c:pt idx="475">
                  <c:v>44005</c:v>
                </c:pt>
                <c:pt idx="476">
                  <c:v>44004</c:v>
                </c:pt>
                <c:pt idx="477">
                  <c:v>44001</c:v>
                </c:pt>
                <c:pt idx="478">
                  <c:v>44000</c:v>
                </c:pt>
                <c:pt idx="479">
                  <c:v>43999</c:v>
                </c:pt>
                <c:pt idx="480">
                  <c:v>43998</c:v>
                </c:pt>
                <c:pt idx="481">
                  <c:v>43997</c:v>
                </c:pt>
                <c:pt idx="482">
                  <c:v>43994</c:v>
                </c:pt>
                <c:pt idx="483">
                  <c:v>43993</c:v>
                </c:pt>
                <c:pt idx="484">
                  <c:v>43992</c:v>
                </c:pt>
                <c:pt idx="485">
                  <c:v>43991</c:v>
                </c:pt>
                <c:pt idx="486">
                  <c:v>43990</c:v>
                </c:pt>
                <c:pt idx="487">
                  <c:v>43987</c:v>
                </c:pt>
                <c:pt idx="488">
                  <c:v>43986</c:v>
                </c:pt>
                <c:pt idx="489">
                  <c:v>43985</c:v>
                </c:pt>
                <c:pt idx="490">
                  <c:v>43984</c:v>
                </c:pt>
                <c:pt idx="491">
                  <c:v>43983</c:v>
                </c:pt>
                <c:pt idx="492">
                  <c:v>43980</c:v>
                </c:pt>
                <c:pt idx="493">
                  <c:v>43979</c:v>
                </c:pt>
                <c:pt idx="494">
                  <c:v>43978</c:v>
                </c:pt>
                <c:pt idx="495">
                  <c:v>43977</c:v>
                </c:pt>
                <c:pt idx="496">
                  <c:v>43976</c:v>
                </c:pt>
                <c:pt idx="497">
                  <c:v>43973</c:v>
                </c:pt>
                <c:pt idx="498">
                  <c:v>43972</c:v>
                </c:pt>
                <c:pt idx="499">
                  <c:v>43971</c:v>
                </c:pt>
                <c:pt idx="500">
                  <c:v>43970</c:v>
                </c:pt>
                <c:pt idx="501">
                  <c:v>43969</c:v>
                </c:pt>
                <c:pt idx="502">
                  <c:v>43966</c:v>
                </c:pt>
                <c:pt idx="503">
                  <c:v>43965</c:v>
                </c:pt>
                <c:pt idx="504">
                  <c:v>43964</c:v>
                </c:pt>
                <c:pt idx="505">
                  <c:v>43963</c:v>
                </c:pt>
                <c:pt idx="506">
                  <c:v>43962</c:v>
                </c:pt>
                <c:pt idx="507">
                  <c:v>43959</c:v>
                </c:pt>
                <c:pt idx="508">
                  <c:v>43958</c:v>
                </c:pt>
                <c:pt idx="509">
                  <c:v>43957</c:v>
                </c:pt>
                <c:pt idx="510">
                  <c:v>43956</c:v>
                </c:pt>
                <c:pt idx="511">
                  <c:v>43955</c:v>
                </c:pt>
                <c:pt idx="512">
                  <c:v>43951</c:v>
                </c:pt>
                <c:pt idx="513">
                  <c:v>43950</c:v>
                </c:pt>
                <c:pt idx="514">
                  <c:v>43949</c:v>
                </c:pt>
                <c:pt idx="515">
                  <c:v>43948</c:v>
                </c:pt>
                <c:pt idx="516">
                  <c:v>43945</c:v>
                </c:pt>
                <c:pt idx="517">
                  <c:v>43944</c:v>
                </c:pt>
                <c:pt idx="518">
                  <c:v>43943</c:v>
                </c:pt>
                <c:pt idx="519">
                  <c:v>43942</c:v>
                </c:pt>
                <c:pt idx="520">
                  <c:v>43941</c:v>
                </c:pt>
                <c:pt idx="521">
                  <c:v>43938</c:v>
                </c:pt>
                <c:pt idx="522">
                  <c:v>43937</c:v>
                </c:pt>
                <c:pt idx="523">
                  <c:v>43936</c:v>
                </c:pt>
                <c:pt idx="524">
                  <c:v>43935</c:v>
                </c:pt>
                <c:pt idx="525">
                  <c:v>43930</c:v>
                </c:pt>
                <c:pt idx="526">
                  <c:v>43929</c:v>
                </c:pt>
                <c:pt idx="527">
                  <c:v>43928</c:v>
                </c:pt>
                <c:pt idx="528">
                  <c:v>43927</c:v>
                </c:pt>
                <c:pt idx="529">
                  <c:v>43924</c:v>
                </c:pt>
                <c:pt idx="530">
                  <c:v>43923</c:v>
                </c:pt>
                <c:pt idx="531">
                  <c:v>43922</c:v>
                </c:pt>
                <c:pt idx="532">
                  <c:v>43921</c:v>
                </c:pt>
                <c:pt idx="533">
                  <c:v>43920</c:v>
                </c:pt>
                <c:pt idx="534">
                  <c:v>43917</c:v>
                </c:pt>
                <c:pt idx="535">
                  <c:v>43916</c:v>
                </c:pt>
                <c:pt idx="536">
                  <c:v>43915</c:v>
                </c:pt>
                <c:pt idx="537">
                  <c:v>43914</c:v>
                </c:pt>
                <c:pt idx="538">
                  <c:v>43913</c:v>
                </c:pt>
                <c:pt idx="539">
                  <c:v>43910</c:v>
                </c:pt>
                <c:pt idx="540">
                  <c:v>43909</c:v>
                </c:pt>
                <c:pt idx="541">
                  <c:v>43908</c:v>
                </c:pt>
                <c:pt idx="542">
                  <c:v>43907</c:v>
                </c:pt>
                <c:pt idx="543">
                  <c:v>43906</c:v>
                </c:pt>
                <c:pt idx="544">
                  <c:v>43903</c:v>
                </c:pt>
                <c:pt idx="545">
                  <c:v>43902</c:v>
                </c:pt>
                <c:pt idx="546">
                  <c:v>43901</c:v>
                </c:pt>
                <c:pt idx="547">
                  <c:v>43900</c:v>
                </c:pt>
                <c:pt idx="548">
                  <c:v>43899</c:v>
                </c:pt>
                <c:pt idx="549">
                  <c:v>43896</c:v>
                </c:pt>
                <c:pt idx="550">
                  <c:v>43895</c:v>
                </c:pt>
                <c:pt idx="551">
                  <c:v>43894</c:v>
                </c:pt>
                <c:pt idx="552">
                  <c:v>43893</c:v>
                </c:pt>
                <c:pt idx="553">
                  <c:v>43892</c:v>
                </c:pt>
                <c:pt idx="554">
                  <c:v>43889</c:v>
                </c:pt>
                <c:pt idx="555">
                  <c:v>43888</c:v>
                </c:pt>
                <c:pt idx="556">
                  <c:v>43887</c:v>
                </c:pt>
                <c:pt idx="557">
                  <c:v>43886</c:v>
                </c:pt>
                <c:pt idx="558">
                  <c:v>43885</c:v>
                </c:pt>
                <c:pt idx="559">
                  <c:v>43882</c:v>
                </c:pt>
                <c:pt idx="560">
                  <c:v>43881</c:v>
                </c:pt>
                <c:pt idx="561">
                  <c:v>43880</c:v>
                </c:pt>
                <c:pt idx="562">
                  <c:v>43879</c:v>
                </c:pt>
                <c:pt idx="563">
                  <c:v>43878</c:v>
                </c:pt>
                <c:pt idx="564">
                  <c:v>43875</c:v>
                </c:pt>
                <c:pt idx="565">
                  <c:v>43874</c:v>
                </c:pt>
                <c:pt idx="566">
                  <c:v>43873</c:v>
                </c:pt>
                <c:pt idx="567">
                  <c:v>43872</c:v>
                </c:pt>
                <c:pt idx="568">
                  <c:v>43871</c:v>
                </c:pt>
                <c:pt idx="569">
                  <c:v>43868</c:v>
                </c:pt>
                <c:pt idx="570">
                  <c:v>43867</c:v>
                </c:pt>
                <c:pt idx="571">
                  <c:v>43866</c:v>
                </c:pt>
                <c:pt idx="572">
                  <c:v>43865</c:v>
                </c:pt>
                <c:pt idx="573">
                  <c:v>43864</c:v>
                </c:pt>
                <c:pt idx="574">
                  <c:v>43861</c:v>
                </c:pt>
                <c:pt idx="575">
                  <c:v>43860</c:v>
                </c:pt>
                <c:pt idx="576">
                  <c:v>43859</c:v>
                </c:pt>
                <c:pt idx="577">
                  <c:v>43858</c:v>
                </c:pt>
                <c:pt idx="578">
                  <c:v>43857</c:v>
                </c:pt>
                <c:pt idx="579">
                  <c:v>43854</c:v>
                </c:pt>
                <c:pt idx="580">
                  <c:v>43853</c:v>
                </c:pt>
              </c:numCache>
            </c:numRef>
          </c:cat>
          <c:val>
            <c:numRef>
              <c:f>'[Hartije od vrednosti na medjunarodnom trzistu SAJT 04.04.2022 (00000002).xlsx]EUROBOND 2029 offline'!$B$6:$B$586</c:f>
              <c:numCache>
                <c:formatCode>#,##0.000</c:formatCode>
                <c:ptCount val="581"/>
                <c:pt idx="0">
                  <c:v>79.489999999999995</c:v>
                </c:pt>
                <c:pt idx="1">
                  <c:v>79.832999999999998</c:v>
                </c:pt>
                <c:pt idx="2">
                  <c:v>80.180999999999997</c:v>
                </c:pt>
                <c:pt idx="3">
                  <c:v>80.653999999999996</c:v>
                </c:pt>
                <c:pt idx="4">
                  <c:v>81.316999999999993</c:v>
                </c:pt>
                <c:pt idx="5">
                  <c:v>81.641000000000005</c:v>
                </c:pt>
                <c:pt idx="6">
                  <c:v>81.861999999999995</c:v>
                </c:pt>
                <c:pt idx="7">
                  <c:v>82.584999999999994</c:v>
                </c:pt>
                <c:pt idx="8">
                  <c:v>82.754999999999995</c:v>
                </c:pt>
                <c:pt idx="9">
                  <c:v>83.058999999999997</c:v>
                </c:pt>
                <c:pt idx="10">
                  <c:v>83.707999999999998</c:v>
                </c:pt>
                <c:pt idx="11">
                  <c:v>84.37</c:v>
                </c:pt>
                <c:pt idx="12">
                  <c:v>84.626999999999995</c:v>
                </c:pt>
                <c:pt idx="13">
                  <c:v>84.822000000000003</c:v>
                </c:pt>
                <c:pt idx="14">
                  <c:v>85.108000000000004</c:v>
                </c:pt>
                <c:pt idx="15">
                  <c:v>85.355000000000004</c:v>
                </c:pt>
                <c:pt idx="16">
                  <c:v>85.197999999999993</c:v>
                </c:pt>
                <c:pt idx="17">
                  <c:v>85.197000000000003</c:v>
                </c:pt>
                <c:pt idx="18">
                  <c:v>84.522000000000006</c:v>
                </c:pt>
                <c:pt idx="19">
                  <c:v>84.524000000000001</c:v>
                </c:pt>
                <c:pt idx="20">
                  <c:v>84.474999999999994</c:v>
                </c:pt>
                <c:pt idx="21">
                  <c:v>84.733000000000004</c:v>
                </c:pt>
                <c:pt idx="22">
                  <c:v>84.820999999999998</c:v>
                </c:pt>
                <c:pt idx="23">
                  <c:v>85.162999999999997</c:v>
                </c:pt>
                <c:pt idx="24">
                  <c:v>85.367000000000004</c:v>
                </c:pt>
                <c:pt idx="25">
                  <c:v>85.977000000000004</c:v>
                </c:pt>
                <c:pt idx="26">
                  <c:v>85.653000000000006</c:v>
                </c:pt>
                <c:pt idx="27">
                  <c:v>85.28</c:v>
                </c:pt>
                <c:pt idx="28">
                  <c:v>83.152000000000001</c:v>
                </c:pt>
                <c:pt idx="29">
                  <c:v>79.712000000000003</c:v>
                </c:pt>
                <c:pt idx="30">
                  <c:v>79.194000000000003</c:v>
                </c:pt>
                <c:pt idx="31">
                  <c:v>79.200999999999993</c:v>
                </c:pt>
                <c:pt idx="32">
                  <c:v>79.262</c:v>
                </c:pt>
                <c:pt idx="33">
                  <c:v>79.311000000000007</c:v>
                </c:pt>
                <c:pt idx="34">
                  <c:v>79.206999999999994</c:v>
                </c:pt>
                <c:pt idx="35">
                  <c:v>80.516999999999996</c:v>
                </c:pt>
                <c:pt idx="36">
                  <c:v>82.31</c:v>
                </c:pt>
                <c:pt idx="37">
                  <c:v>83.927000000000007</c:v>
                </c:pt>
                <c:pt idx="38">
                  <c:v>84.293999999999997</c:v>
                </c:pt>
                <c:pt idx="39">
                  <c:v>84.778999999999996</c:v>
                </c:pt>
                <c:pt idx="40">
                  <c:v>85.468000000000004</c:v>
                </c:pt>
                <c:pt idx="41">
                  <c:v>87.070999999999998</c:v>
                </c:pt>
                <c:pt idx="42">
                  <c:v>85.188999999999993</c:v>
                </c:pt>
                <c:pt idx="43">
                  <c:v>88.308999999999997</c:v>
                </c:pt>
                <c:pt idx="44">
                  <c:v>89.653000000000006</c:v>
                </c:pt>
                <c:pt idx="45">
                  <c:v>90.185000000000002</c:v>
                </c:pt>
                <c:pt idx="46">
                  <c:v>90.337000000000003</c:v>
                </c:pt>
                <c:pt idx="47">
                  <c:v>90.524000000000001</c:v>
                </c:pt>
                <c:pt idx="48">
                  <c:v>90.6</c:v>
                </c:pt>
                <c:pt idx="49">
                  <c:v>90.459000000000003</c:v>
                </c:pt>
                <c:pt idx="50">
                  <c:v>90.492999999999995</c:v>
                </c:pt>
                <c:pt idx="51">
                  <c:v>90.885000000000005</c:v>
                </c:pt>
                <c:pt idx="52">
                  <c:v>91.414000000000001</c:v>
                </c:pt>
                <c:pt idx="53">
                  <c:v>91.751999999999995</c:v>
                </c:pt>
                <c:pt idx="54">
                  <c:v>91.066000000000003</c:v>
                </c:pt>
                <c:pt idx="55">
                  <c:v>91.525999999999996</c:v>
                </c:pt>
                <c:pt idx="56">
                  <c:v>93.043999999999997</c:v>
                </c:pt>
                <c:pt idx="57">
                  <c:v>94.308000000000007</c:v>
                </c:pt>
                <c:pt idx="58">
                  <c:v>94.9</c:v>
                </c:pt>
                <c:pt idx="59">
                  <c:v>94.903000000000006</c:v>
                </c:pt>
                <c:pt idx="60">
                  <c:v>95.016000000000005</c:v>
                </c:pt>
                <c:pt idx="61">
                  <c:v>95.182000000000002</c:v>
                </c:pt>
                <c:pt idx="62">
                  <c:v>95.198999999999998</c:v>
                </c:pt>
                <c:pt idx="63">
                  <c:v>95.319000000000003</c:v>
                </c:pt>
                <c:pt idx="64">
                  <c:v>95.039000000000001</c:v>
                </c:pt>
                <c:pt idx="65">
                  <c:v>95.007000000000005</c:v>
                </c:pt>
                <c:pt idx="66">
                  <c:v>95.100999999999999</c:v>
                </c:pt>
                <c:pt idx="67">
                  <c:v>94.798000000000002</c:v>
                </c:pt>
                <c:pt idx="68">
                  <c:v>94.739000000000004</c:v>
                </c:pt>
                <c:pt idx="69">
                  <c:v>94.998999999999995</c:v>
                </c:pt>
                <c:pt idx="70">
                  <c:v>95.373000000000005</c:v>
                </c:pt>
                <c:pt idx="71">
                  <c:v>95.552000000000007</c:v>
                </c:pt>
                <c:pt idx="72">
                  <c:v>95.876000000000005</c:v>
                </c:pt>
                <c:pt idx="73">
                  <c:v>95.936000000000007</c:v>
                </c:pt>
                <c:pt idx="74">
                  <c:v>95.906999999999996</c:v>
                </c:pt>
                <c:pt idx="75">
                  <c:v>95.921999999999997</c:v>
                </c:pt>
                <c:pt idx="76">
                  <c:v>96.352000000000004</c:v>
                </c:pt>
                <c:pt idx="77">
                  <c:v>96.486999999999995</c:v>
                </c:pt>
                <c:pt idx="78">
                  <c:v>96.822000000000003</c:v>
                </c:pt>
                <c:pt idx="79">
                  <c:v>96.866</c:v>
                </c:pt>
                <c:pt idx="80">
                  <c:v>96.905000000000001</c:v>
                </c:pt>
                <c:pt idx="81">
                  <c:v>96.956999999999994</c:v>
                </c:pt>
                <c:pt idx="82">
                  <c:v>96.968999999999994</c:v>
                </c:pt>
                <c:pt idx="83">
                  <c:v>96.988</c:v>
                </c:pt>
                <c:pt idx="84">
                  <c:v>97.034000000000006</c:v>
                </c:pt>
                <c:pt idx="85">
                  <c:v>97.034999999999997</c:v>
                </c:pt>
                <c:pt idx="86">
                  <c:v>96.998000000000005</c:v>
                </c:pt>
                <c:pt idx="87">
                  <c:v>96.951999999999998</c:v>
                </c:pt>
                <c:pt idx="88">
                  <c:v>97.043999999999997</c:v>
                </c:pt>
                <c:pt idx="89">
                  <c:v>97.108000000000004</c:v>
                </c:pt>
                <c:pt idx="90">
                  <c:v>97.188000000000002</c:v>
                </c:pt>
                <c:pt idx="91">
                  <c:v>97.233000000000004</c:v>
                </c:pt>
                <c:pt idx="92">
                  <c:v>96.97</c:v>
                </c:pt>
                <c:pt idx="93">
                  <c:v>96.69</c:v>
                </c:pt>
                <c:pt idx="94">
                  <c:v>96.614000000000004</c:v>
                </c:pt>
                <c:pt idx="95">
                  <c:v>96.56</c:v>
                </c:pt>
                <c:pt idx="96">
                  <c:v>96.594999999999999</c:v>
                </c:pt>
                <c:pt idx="97">
                  <c:v>96.671999999999997</c:v>
                </c:pt>
                <c:pt idx="98">
                  <c:v>96.706999999999994</c:v>
                </c:pt>
                <c:pt idx="99">
                  <c:v>96.894999999999996</c:v>
                </c:pt>
                <c:pt idx="100">
                  <c:v>96.685000000000002</c:v>
                </c:pt>
                <c:pt idx="101">
                  <c:v>96.662999999999997</c:v>
                </c:pt>
                <c:pt idx="102">
                  <c:v>96.346000000000004</c:v>
                </c:pt>
                <c:pt idx="103">
                  <c:v>95.346000000000004</c:v>
                </c:pt>
                <c:pt idx="104">
                  <c:v>94.867999999999995</c:v>
                </c:pt>
                <c:pt idx="105">
                  <c:v>95.028000000000006</c:v>
                </c:pt>
                <c:pt idx="106">
                  <c:v>95.405000000000001</c:v>
                </c:pt>
                <c:pt idx="107">
                  <c:v>95.801000000000002</c:v>
                </c:pt>
                <c:pt idx="108">
                  <c:v>96.046999999999997</c:v>
                </c:pt>
                <c:pt idx="109">
                  <c:v>96.534000000000006</c:v>
                </c:pt>
                <c:pt idx="110">
                  <c:v>97.334999999999994</c:v>
                </c:pt>
                <c:pt idx="111">
                  <c:v>97.659000000000006</c:v>
                </c:pt>
                <c:pt idx="112">
                  <c:v>97.703999999999994</c:v>
                </c:pt>
                <c:pt idx="113">
                  <c:v>97.918000000000006</c:v>
                </c:pt>
                <c:pt idx="114">
                  <c:v>97.998000000000005</c:v>
                </c:pt>
                <c:pt idx="115">
                  <c:v>98.158000000000001</c:v>
                </c:pt>
                <c:pt idx="116">
                  <c:v>98.28</c:v>
                </c:pt>
                <c:pt idx="117">
                  <c:v>98.305000000000007</c:v>
                </c:pt>
                <c:pt idx="118">
                  <c:v>98.513000000000005</c:v>
                </c:pt>
                <c:pt idx="119">
                  <c:v>98.739000000000004</c:v>
                </c:pt>
                <c:pt idx="120">
                  <c:v>98.683000000000007</c:v>
                </c:pt>
                <c:pt idx="121">
                  <c:v>98.391999999999996</c:v>
                </c:pt>
                <c:pt idx="122">
                  <c:v>98.218000000000004</c:v>
                </c:pt>
                <c:pt idx="123">
                  <c:v>98.075999999999993</c:v>
                </c:pt>
                <c:pt idx="124">
                  <c:v>98.081000000000003</c:v>
                </c:pt>
                <c:pt idx="125">
                  <c:v>98.105000000000004</c:v>
                </c:pt>
                <c:pt idx="126">
                  <c:v>98.176000000000002</c:v>
                </c:pt>
                <c:pt idx="127">
                  <c:v>98.328999999999994</c:v>
                </c:pt>
                <c:pt idx="128">
                  <c:v>98.287000000000006</c:v>
                </c:pt>
                <c:pt idx="129">
                  <c:v>98.084000000000003</c:v>
                </c:pt>
                <c:pt idx="130">
                  <c:v>98.028000000000006</c:v>
                </c:pt>
                <c:pt idx="131">
                  <c:v>98.024000000000001</c:v>
                </c:pt>
                <c:pt idx="132">
                  <c:v>98.04</c:v>
                </c:pt>
                <c:pt idx="133">
                  <c:v>98.106999999999999</c:v>
                </c:pt>
                <c:pt idx="134">
                  <c:v>98.236999999999995</c:v>
                </c:pt>
                <c:pt idx="135">
                  <c:v>98.361999999999995</c:v>
                </c:pt>
                <c:pt idx="136">
                  <c:v>98.471000000000004</c:v>
                </c:pt>
                <c:pt idx="137">
                  <c:v>98.537000000000006</c:v>
                </c:pt>
                <c:pt idx="138">
                  <c:v>98.123999999999995</c:v>
                </c:pt>
                <c:pt idx="139">
                  <c:v>97.951999999999998</c:v>
                </c:pt>
                <c:pt idx="140">
                  <c:v>98.111000000000004</c:v>
                </c:pt>
                <c:pt idx="141">
                  <c:v>98.328999999999994</c:v>
                </c:pt>
                <c:pt idx="142">
                  <c:v>98.483000000000004</c:v>
                </c:pt>
                <c:pt idx="143">
                  <c:v>98.331999999999994</c:v>
                </c:pt>
                <c:pt idx="144">
                  <c:v>98.548000000000002</c:v>
                </c:pt>
                <c:pt idx="145">
                  <c:v>98.652000000000001</c:v>
                </c:pt>
                <c:pt idx="146">
                  <c:v>98.710999999999999</c:v>
                </c:pt>
                <c:pt idx="147">
                  <c:v>98.915999999999997</c:v>
                </c:pt>
                <c:pt idx="148">
                  <c:v>98.879000000000005</c:v>
                </c:pt>
                <c:pt idx="149">
                  <c:v>98.936999999999998</c:v>
                </c:pt>
                <c:pt idx="150">
                  <c:v>100.065</c:v>
                </c:pt>
                <c:pt idx="151">
                  <c:v>100.259</c:v>
                </c:pt>
                <c:pt idx="152">
                  <c:v>100.58</c:v>
                </c:pt>
                <c:pt idx="153">
                  <c:v>100.634</c:v>
                </c:pt>
                <c:pt idx="154">
                  <c:v>100.64700000000001</c:v>
                </c:pt>
                <c:pt idx="155">
                  <c:v>100.583</c:v>
                </c:pt>
                <c:pt idx="156">
                  <c:v>100.815</c:v>
                </c:pt>
                <c:pt idx="157">
                  <c:v>100.593</c:v>
                </c:pt>
                <c:pt idx="158">
                  <c:v>100.584</c:v>
                </c:pt>
                <c:pt idx="159">
                  <c:v>100.605</c:v>
                </c:pt>
                <c:pt idx="160">
                  <c:v>101.108</c:v>
                </c:pt>
                <c:pt idx="161">
                  <c:v>101.28400000000001</c:v>
                </c:pt>
                <c:pt idx="162">
                  <c:v>101.35299999999999</c:v>
                </c:pt>
                <c:pt idx="163">
                  <c:v>101.378</c:v>
                </c:pt>
                <c:pt idx="164">
                  <c:v>101.575</c:v>
                </c:pt>
                <c:pt idx="165">
                  <c:v>101.67100000000001</c:v>
                </c:pt>
                <c:pt idx="166">
                  <c:v>101.678</c:v>
                </c:pt>
                <c:pt idx="167">
                  <c:v>101.723</c:v>
                </c:pt>
                <c:pt idx="168">
                  <c:v>101.72499999999999</c:v>
                </c:pt>
                <c:pt idx="169">
                  <c:v>101.904</c:v>
                </c:pt>
                <c:pt idx="170">
                  <c:v>101.75700000000001</c:v>
                </c:pt>
                <c:pt idx="171">
                  <c:v>101.789</c:v>
                </c:pt>
                <c:pt idx="172">
                  <c:v>101.69799999999999</c:v>
                </c:pt>
                <c:pt idx="173">
                  <c:v>101.73</c:v>
                </c:pt>
                <c:pt idx="174">
                  <c:v>101.753</c:v>
                </c:pt>
                <c:pt idx="175">
                  <c:v>101.706</c:v>
                </c:pt>
                <c:pt idx="176">
                  <c:v>101.69499999999999</c:v>
                </c:pt>
                <c:pt idx="177">
                  <c:v>101.678</c:v>
                </c:pt>
                <c:pt idx="178">
                  <c:v>101.70699999999999</c:v>
                </c:pt>
                <c:pt idx="179">
                  <c:v>101.705</c:v>
                </c:pt>
                <c:pt idx="180">
                  <c:v>101.702</c:v>
                </c:pt>
                <c:pt idx="181">
                  <c:v>101.732</c:v>
                </c:pt>
                <c:pt idx="182">
                  <c:v>101.73699999999999</c:v>
                </c:pt>
                <c:pt idx="183">
                  <c:v>101.733</c:v>
                </c:pt>
                <c:pt idx="184">
                  <c:v>101.77200000000001</c:v>
                </c:pt>
                <c:pt idx="185">
                  <c:v>101.818</c:v>
                </c:pt>
                <c:pt idx="186">
                  <c:v>101.839</c:v>
                </c:pt>
                <c:pt idx="187">
                  <c:v>101.941</c:v>
                </c:pt>
                <c:pt idx="188">
                  <c:v>101.721</c:v>
                </c:pt>
                <c:pt idx="189">
                  <c:v>101.628</c:v>
                </c:pt>
                <c:pt idx="190">
                  <c:v>101.496</c:v>
                </c:pt>
                <c:pt idx="191">
                  <c:v>101.352</c:v>
                </c:pt>
                <c:pt idx="192">
                  <c:v>101.342</c:v>
                </c:pt>
                <c:pt idx="193">
                  <c:v>101.31699999999999</c:v>
                </c:pt>
                <c:pt idx="194">
                  <c:v>101.307</c:v>
                </c:pt>
                <c:pt idx="195">
                  <c:v>101.31100000000001</c:v>
                </c:pt>
                <c:pt idx="196">
                  <c:v>101.309</c:v>
                </c:pt>
                <c:pt idx="197">
                  <c:v>101.27</c:v>
                </c:pt>
                <c:pt idx="198">
                  <c:v>101.221</c:v>
                </c:pt>
                <c:pt idx="199">
                  <c:v>101.206</c:v>
                </c:pt>
                <c:pt idx="200">
                  <c:v>101.18</c:v>
                </c:pt>
                <c:pt idx="201">
                  <c:v>101.193</c:v>
                </c:pt>
                <c:pt idx="202">
                  <c:v>101.148</c:v>
                </c:pt>
                <c:pt idx="203">
                  <c:v>101.092</c:v>
                </c:pt>
                <c:pt idx="204">
                  <c:v>101.084</c:v>
                </c:pt>
                <c:pt idx="205">
                  <c:v>101.077</c:v>
                </c:pt>
                <c:pt idx="206">
                  <c:v>101.06</c:v>
                </c:pt>
                <c:pt idx="207">
                  <c:v>101.04900000000001</c:v>
                </c:pt>
                <c:pt idx="208">
                  <c:v>101.068</c:v>
                </c:pt>
                <c:pt idx="209">
                  <c:v>101.014</c:v>
                </c:pt>
                <c:pt idx="210">
                  <c:v>101.023</c:v>
                </c:pt>
                <c:pt idx="211">
                  <c:v>101.014</c:v>
                </c:pt>
                <c:pt idx="212">
                  <c:v>100.977</c:v>
                </c:pt>
                <c:pt idx="213">
                  <c:v>100.93899999999999</c:v>
                </c:pt>
                <c:pt idx="214">
                  <c:v>100.875</c:v>
                </c:pt>
                <c:pt idx="215">
                  <c:v>100.85299999999999</c:v>
                </c:pt>
                <c:pt idx="216">
                  <c:v>100.834</c:v>
                </c:pt>
                <c:pt idx="217">
                  <c:v>100.825</c:v>
                </c:pt>
                <c:pt idx="218">
                  <c:v>100.8</c:v>
                </c:pt>
                <c:pt idx="219">
                  <c:v>100.738</c:v>
                </c:pt>
                <c:pt idx="220">
                  <c:v>100.821</c:v>
                </c:pt>
                <c:pt idx="221">
                  <c:v>100.824</c:v>
                </c:pt>
                <c:pt idx="222">
                  <c:v>100.81</c:v>
                </c:pt>
                <c:pt idx="223">
                  <c:v>100.965</c:v>
                </c:pt>
                <c:pt idx="224">
                  <c:v>100.889</c:v>
                </c:pt>
                <c:pt idx="225">
                  <c:v>101.02200000000001</c:v>
                </c:pt>
                <c:pt idx="226">
                  <c:v>100.988</c:v>
                </c:pt>
                <c:pt idx="227">
                  <c:v>100.63800000000001</c:v>
                </c:pt>
                <c:pt idx="228">
                  <c:v>100.502</c:v>
                </c:pt>
                <c:pt idx="229">
                  <c:v>100.276</c:v>
                </c:pt>
                <c:pt idx="230">
                  <c:v>100.054</c:v>
                </c:pt>
                <c:pt idx="231">
                  <c:v>100.021</c:v>
                </c:pt>
                <c:pt idx="232">
                  <c:v>99.953000000000003</c:v>
                </c:pt>
                <c:pt idx="233">
                  <c:v>99.92</c:v>
                </c:pt>
                <c:pt idx="234">
                  <c:v>99.869</c:v>
                </c:pt>
                <c:pt idx="235">
                  <c:v>99.834999999999994</c:v>
                </c:pt>
                <c:pt idx="236">
                  <c:v>99.826999999999998</c:v>
                </c:pt>
                <c:pt idx="237">
                  <c:v>99.805999999999997</c:v>
                </c:pt>
                <c:pt idx="238">
                  <c:v>99.623999999999995</c:v>
                </c:pt>
                <c:pt idx="239">
                  <c:v>99.421999999999997</c:v>
                </c:pt>
                <c:pt idx="240">
                  <c:v>99.36</c:v>
                </c:pt>
                <c:pt idx="241">
                  <c:v>99.322000000000003</c:v>
                </c:pt>
                <c:pt idx="242">
                  <c:v>99.18</c:v>
                </c:pt>
                <c:pt idx="243">
                  <c:v>99.11</c:v>
                </c:pt>
                <c:pt idx="244">
                  <c:v>99.325999999999993</c:v>
                </c:pt>
                <c:pt idx="245">
                  <c:v>99.566000000000003</c:v>
                </c:pt>
                <c:pt idx="246">
                  <c:v>99.623000000000005</c:v>
                </c:pt>
                <c:pt idx="247">
                  <c:v>99.613</c:v>
                </c:pt>
                <c:pt idx="248">
                  <c:v>99.802000000000007</c:v>
                </c:pt>
                <c:pt idx="249">
                  <c:v>100.02800000000001</c:v>
                </c:pt>
                <c:pt idx="250">
                  <c:v>100.127</c:v>
                </c:pt>
                <c:pt idx="251">
                  <c:v>100.045</c:v>
                </c:pt>
                <c:pt idx="252">
                  <c:v>99.811999999999998</c:v>
                </c:pt>
                <c:pt idx="253">
                  <c:v>99.507000000000005</c:v>
                </c:pt>
                <c:pt idx="254">
                  <c:v>99.272999999999996</c:v>
                </c:pt>
                <c:pt idx="255">
                  <c:v>99.24</c:v>
                </c:pt>
                <c:pt idx="256">
                  <c:v>99.231999999999999</c:v>
                </c:pt>
                <c:pt idx="257">
                  <c:v>99.295000000000002</c:v>
                </c:pt>
                <c:pt idx="258">
                  <c:v>99.433999999999997</c:v>
                </c:pt>
                <c:pt idx="259">
                  <c:v>99.902000000000001</c:v>
                </c:pt>
                <c:pt idx="260">
                  <c:v>100.05800000000001</c:v>
                </c:pt>
                <c:pt idx="261">
                  <c:v>100.235</c:v>
                </c:pt>
                <c:pt idx="262">
                  <c:v>100.28</c:v>
                </c:pt>
                <c:pt idx="263">
                  <c:v>100.404</c:v>
                </c:pt>
                <c:pt idx="264">
                  <c:v>100.486</c:v>
                </c:pt>
                <c:pt idx="265">
                  <c:v>100.649</c:v>
                </c:pt>
                <c:pt idx="266">
                  <c:v>100.63800000000001</c:v>
                </c:pt>
                <c:pt idx="267">
                  <c:v>100.65</c:v>
                </c:pt>
                <c:pt idx="268">
                  <c:v>100.69</c:v>
                </c:pt>
                <c:pt idx="269">
                  <c:v>100.676</c:v>
                </c:pt>
                <c:pt idx="270">
                  <c:v>100.721</c:v>
                </c:pt>
                <c:pt idx="271">
                  <c:v>100.703</c:v>
                </c:pt>
                <c:pt idx="272">
                  <c:v>100.703</c:v>
                </c:pt>
                <c:pt idx="273">
                  <c:v>100.65900000000001</c:v>
                </c:pt>
                <c:pt idx="274">
                  <c:v>100.55500000000001</c:v>
                </c:pt>
                <c:pt idx="275">
                  <c:v>100.477</c:v>
                </c:pt>
                <c:pt idx="276">
                  <c:v>100.36</c:v>
                </c:pt>
                <c:pt idx="277">
                  <c:v>100.36</c:v>
                </c:pt>
                <c:pt idx="278">
                  <c:v>100.505</c:v>
                </c:pt>
                <c:pt idx="279">
                  <c:v>100.53700000000001</c:v>
                </c:pt>
                <c:pt idx="280">
                  <c:v>100.55500000000001</c:v>
                </c:pt>
                <c:pt idx="281">
                  <c:v>100.58199999999999</c:v>
                </c:pt>
                <c:pt idx="282">
                  <c:v>100.57</c:v>
                </c:pt>
                <c:pt idx="283">
                  <c:v>100.562</c:v>
                </c:pt>
                <c:pt idx="284">
                  <c:v>100.539</c:v>
                </c:pt>
                <c:pt idx="285">
                  <c:v>100.54</c:v>
                </c:pt>
                <c:pt idx="286">
                  <c:v>100.664</c:v>
                </c:pt>
                <c:pt idx="287">
                  <c:v>100.74</c:v>
                </c:pt>
                <c:pt idx="288">
                  <c:v>100.64700000000001</c:v>
                </c:pt>
                <c:pt idx="289">
                  <c:v>100.58799999999999</c:v>
                </c:pt>
                <c:pt idx="290">
                  <c:v>100.696</c:v>
                </c:pt>
                <c:pt idx="291">
                  <c:v>100.206</c:v>
                </c:pt>
                <c:pt idx="292">
                  <c:v>100.15900000000001</c:v>
                </c:pt>
                <c:pt idx="293">
                  <c:v>100.045</c:v>
                </c:pt>
                <c:pt idx="294">
                  <c:v>100.42400000000001</c:v>
                </c:pt>
                <c:pt idx="295">
                  <c:v>100.626</c:v>
                </c:pt>
                <c:pt idx="296">
                  <c:v>100.738</c:v>
                </c:pt>
                <c:pt idx="297">
                  <c:v>100.88500000000001</c:v>
                </c:pt>
                <c:pt idx="298">
                  <c:v>100.764</c:v>
                </c:pt>
                <c:pt idx="299">
                  <c:v>100.538</c:v>
                </c:pt>
                <c:pt idx="300">
                  <c:v>100.685</c:v>
                </c:pt>
                <c:pt idx="301">
                  <c:v>100.908</c:v>
                </c:pt>
                <c:pt idx="302">
                  <c:v>101.477</c:v>
                </c:pt>
                <c:pt idx="303">
                  <c:v>101.51600000000001</c:v>
                </c:pt>
                <c:pt idx="304">
                  <c:v>101.768</c:v>
                </c:pt>
                <c:pt idx="305">
                  <c:v>101.979</c:v>
                </c:pt>
                <c:pt idx="306">
                  <c:v>102.078</c:v>
                </c:pt>
                <c:pt idx="307">
                  <c:v>102.425</c:v>
                </c:pt>
                <c:pt idx="308">
                  <c:v>102.676</c:v>
                </c:pt>
                <c:pt idx="309">
                  <c:v>102.98099999999999</c:v>
                </c:pt>
                <c:pt idx="310">
                  <c:v>103.119</c:v>
                </c:pt>
                <c:pt idx="311">
                  <c:v>103.16500000000001</c:v>
                </c:pt>
                <c:pt idx="312">
                  <c:v>103.212</c:v>
                </c:pt>
                <c:pt idx="313">
                  <c:v>103.27800000000001</c:v>
                </c:pt>
                <c:pt idx="314">
                  <c:v>103.322</c:v>
                </c:pt>
                <c:pt idx="315">
                  <c:v>103.11799999999999</c:v>
                </c:pt>
                <c:pt idx="316">
                  <c:v>102.902</c:v>
                </c:pt>
                <c:pt idx="317">
                  <c:v>102.81699999999999</c:v>
                </c:pt>
                <c:pt idx="318">
                  <c:v>102.752</c:v>
                </c:pt>
                <c:pt idx="319">
                  <c:v>102.55</c:v>
                </c:pt>
                <c:pt idx="320">
                  <c:v>102.455</c:v>
                </c:pt>
                <c:pt idx="321">
                  <c:v>102.35599999999999</c:v>
                </c:pt>
                <c:pt idx="322">
                  <c:v>102.43899999999999</c:v>
                </c:pt>
                <c:pt idx="323">
                  <c:v>102.447</c:v>
                </c:pt>
                <c:pt idx="324">
                  <c:v>102.465</c:v>
                </c:pt>
                <c:pt idx="325">
                  <c:v>102.598</c:v>
                </c:pt>
                <c:pt idx="326">
                  <c:v>102.90600000000001</c:v>
                </c:pt>
                <c:pt idx="327">
                  <c:v>103.13</c:v>
                </c:pt>
                <c:pt idx="328">
                  <c:v>103.304</c:v>
                </c:pt>
                <c:pt idx="329">
                  <c:v>103.447</c:v>
                </c:pt>
                <c:pt idx="330">
                  <c:v>103.63</c:v>
                </c:pt>
                <c:pt idx="331">
                  <c:v>103.47799999999999</c:v>
                </c:pt>
                <c:pt idx="332">
                  <c:v>103.28400000000001</c:v>
                </c:pt>
                <c:pt idx="333">
                  <c:v>103.79900000000001</c:v>
                </c:pt>
                <c:pt idx="334">
                  <c:v>103.91500000000001</c:v>
                </c:pt>
                <c:pt idx="335">
                  <c:v>104.008</c:v>
                </c:pt>
                <c:pt idx="336">
                  <c:v>104.358</c:v>
                </c:pt>
                <c:pt idx="337">
                  <c:v>104.553</c:v>
                </c:pt>
                <c:pt idx="338">
                  <c:v>104.53100000000001</c:v>
                </c:pt>
                <c:pt idx="339">
                  <c:v>103.643</c:v>
                </c:pt>
                <c:pt idx="340">
                  <c:v>103.54</c:v>
                </c:pt>
                <c:pt idx="341">
                  <c:v>103.48699999999999</c:v>
                </c:pt>
                <c:pt idx="342">
                  <c:v>103.43899999999999</c:v>
                </c:pt>
                <c:pt idx="343">
                  <c:v>103.33799999999999</c:v>
                </c:pt>
                <c:pt idx="344">
                  <c:v>103.355</c:v>
                </c:pt>
                <c:pt idx="345">
                  <c:v>103.31699999999999</c:v>
                </c:pt>
                <c:pt idx="346">
                  <c:v>103.42700000000001</c:v>
                </c:pt>
                <c:pt idx="347">
                  <c:v>103.423</c:v>
                </c:pt>
                <c:pt idx="348">
                  <c:v>103.214</c:v>
                </c:pt>
                <c:pt idx="349">
                  <c:v>102.93300000000001</c:v>
                </c:pt>
                <c:pt idx="350">
                  <c:v>102.75700000000001</c:v>
                </c:pt>
                <c:pt idx="351">
                  <c:v>102.636</c:v>
                </c:pt>
                <c:pt idx="352">
                  <c:v>102.551</c:v>
                </c:pt>
                <c:pt idx="353">
                  <c:v>102.486</c:v>
                </c:pt>
                <c:pt idx="354">
                  <c:v>102.376</c:v>
                </c:pt>
                <c:pt idx="355">
                  <c:v>102.23099999999999</c:v>
                </c:pt>
                <c:pt idx="356">
                  <c:v>102.185</c:v>
                </c:pt>
                <c:pt idx="357">
                  <c:v>102.033</c:v>
                </c:pt>
                <c:pt idx="358">
                  <c:v>101.89700000000001</c:v>
                </c:pt>
                <c:pt idx="359">
                  <c:v>101.446</c:v>
                </c:pt>
                <c:pt idx="360">
                  <c:v>101.276</c:v>
                </c:pt>
                <c:pt idx="361">
                  <c:v>101.32299999999999</c:v>
                </c:pt>
                <c:pt idx="362">
                  <c:v>101.306</c:v>
                </c:pt>
                <c:pt idx="363">
                  <c:v>101.292</c:v>
                </c:pt>
                <c:pt idx="364">
                  <c:v>101.288</c:v>
                </c:pt>
                <c:pt idx="365">
                  <c:v>101.20099999999999</c:v>
                </c:pt>
                <c:pt idx="366">
                  <c:v>100.663</c:v>
                </c:pt>
                <c:pt idx="367">
                  <c:v>100.081</c:v>
                </c:pt>
                <c:pt idx="368">
                  <c:v>100.072</c:v>
                </c:pt>
                <c:pt idx="369">
                  <c:v>99.995999999999995</c:v>
                </c:pt>
                <c:pt idx="370">
                  <c:v>99.962999999999994</c:v>
                </c:pt>
                <c:pt idx="371">
                  <c:v>99.933999999999997</c:v>
                </c:pt>
                <c:pt idx="372">
                  <c:v>99.853999999999999</c:v>
                </c:pt>
                <c:pt idx="373">
                  <c:v>99.873999999999995</c:v>
                </c:pt>
                <c:pt idx="374">
                  <c:v>99.959000000000003</c:v>
                </c:pt>
                <c:pt idx="375">
                  <c:v>99.945999999999998</c:v>
                </c:pt>
                <c:pt idx="376">
                  <c:v>99.957999999999998</c:v>
                </c:pt>
                <c:pt idx="377">
                  <c:v>99.671000000000006</c:v>
                </c:pt>
                <c:pt idx="378">
                  <c:v>99.625</c:v>
                </c:pt>
                <c:pt idx="379">
                  <c:v>98.581999999999994</c:v>
                </c:pt>
                <c:pt idx="380">
                  <c:v>98.052000000000007</c:v>
                </c:pt>
                <c:pt idx="381">
                  <c:v>97.748000000000005</c:v>
                </c:pt>
                <c:pt idx="382">
                  <c:v>97.742000000000004</c:v>
                </c:pt>
                <c:pt idx="383">
                  <c:v>97.793999999999997</c:v>
                </c:pt>
                <c:pt idx="384">
                  <c:v>97.872</c:v>
                </c:pt>
                <c:pt idx="385">
                  <c:v>98.433000000000007</c:v>
                </c:pt>
                <c:pt idx="386">
                  <c:v>98.536000000000001</c:v>
                </c:pt>
                <c:pt idx="387">
                  <c:v>98.778999999999996</c:v>
                </c:pt>
                <c:pt idx="388">
                  <c:v>98.596000000000004</c:v>
                </c:pt>
                <c:pt idx="389">
                  <c:v>98.558000000000007</c:v>
                </c:pt>
                <c:pt idx="390">
                  <c:v>98.61</c:v>
                </c:pt>
                <c:pt idx="391">
                  <c:v>98.68</c:v>
                </c:pt>
                <c:pt idx="392">
                  <c:v>98.47</c:v>
                </c:pt>
                <c:pt idx="393">
                  <c:v>98.179000000000002</c:v>
                </c:pt>
                <c:pt idx="394">
                  <c:v>98.185000000000002</c:v>
                </c:pt>
                <c:pt idx="395">
                  <c:v>98.123999999999995</c:v>
                </c:pt>
                <c:pt idx="396">
                  <c:v>97.706999999999994</c:v>
                </c:pt>
                <c:pt idx="397">
                  <c:v>97.606999999999999</c:v>
                </c:pt>
                <c:pt idx="398">
                  <c:v>97.424999999999997</c:v>
                </c:pt>
                <c:pt idx="399">
                  <c:v>97.02</c:v>
                </c:pt>
                <c:pt idx="400">
                  <c:v>97.006</c:v>
                </c:pt>
                <c:pt idx="401">
                  <c:v>96.88</c:v>
                </c:pt>
                <c:pt idx="402">
                  <c:v>96.850999999999999</c:v>
                </c:pt>
                <c:pt idx="403">
                  <c:v>96.843999999999994</c:v>
                </c:pt>
                <c:pt idx="404">
                  <c:v>96.781000000000006</c:v>
                </c:pt>
                <c:pt idx="405">
                  <c:v>96.908000000000001</c:v>
                </c:pt>
                <c:pt idx="406">
                  <c:v>97.247</c:v>
                </c:pt>
                <c:pt idx="407">
                  <c:v>97.278000000000006</c:v>
                </c:pt>
                <c:pt idx="408">
                  <c:v>97.332999999999998</c:v>
                </c:pt>
                <c:pt idx="409">
                  <c:v>97.694000000000003</c:v>
                </c:pt>
                <c:pt idx="410">
                  <c:v>97.798000000000002</c:v>
                </c:pt>
                <c:pt idx="411">
                  <c:v>97.962999999999994</c:v>
                </c:pt>
                <c:pt idx="412">
                  <c:v>98.263999999999996</c:v>
                </c:pt>
                <c:pt idx="413">
                  <c:v>98.281999999999996</c:v>
                </c:pt>
                <c:pt idx="414">
                  <c:v>98.346000000000004</c:v>
                </c:pt>
                <c:pt idx="415">
                  <c:v>98.328000000000003</c:v>
                </c:pt>
                <c:pt idx="416">
                  <c:v>98.051000000000002</c:v>
                </c:pt>
                <c:pt idx="417">
                  <c:v>97.906000000000006</c:v>
                </c:pt>
                <c:pt idx="418">
                  <c:v>97.789000000000001</c:v>
                </c:pt>
                <c:pt idx="419">
                  <c:v>97.724000000000004</c:v>
                </c:pt>
                <c:pt idx="420">
                  <c:v>97.67</c:v>
                </c:pt>
                <c:pt idx="421">
                  <c:v>97.683000000000007</c:v>
                </c:pt>
                <c:pt idx="422">
                  <c:v>97.593000000000004</c:v>
                </c:pt>
                <c:pt idx="423">
                  <c:v>97.468999999999994</c:v>
                </c:pt>
                <c:pt idx="424">
                  <c:v>97.204999999999998</c:v>
                </c:pt>
                <c:pt idx="425">
                  <c:v>96.962999999999994</c:v>
                </c:pt>
                <c:pt idx="426">
                  <c:v>96.850999999999999</c:v>
                </c:pt>
                <c:pt idx="427">
                  <c:v>96.825000000000003</c:v>
                </c:pt>
                <c:pt idx="428">
                  <c:v>96.838999999999999</c:v>
                </c:pt>
                <c:pt idx="429">
                  <c:v>96.786000000000001</c:v>
                </c:pt>
                <c:pt idx="430">
                  <c:v>96.82</c:v>
                </c:pt>
                <c:pt idx="431">
                  <c:v>96.808000000000007</c:v>
                </c:pt>
                <c:pt idx="432">
                  <c:v>96.777000000000001</c:v>
                </c:pt>
                <c:pt idx="433">
                  <c:v>96.754000000000005</c:v>
                </c:pt>
                <c:pt idx="434">
                  <c:v>96.742000000000004</c:v>
                </c:pt>
                <c:pt idx="435">
                  <c:v>96.713999999999999</c:v>
                </c:pt>
                <c:pt idx="436">
                  <c:v>96.784999999999997</c:v>
                </c:pt>
                <c:pt idx="437">
                  <c:v>96.683999999999997</c:v>
                </c:pt>
                <c:pt idx="438">
                  <c:v>96.724000000000004</c:v>
                </c:pt>
                <c:pt idx="439">
                  <c:v>96.582999999999998</c:v>
                </c:pt>
                <c:pt idx="440">
                  <c:v>96.623999999999995</c:v>
                </c:pt>
                <c:pt idx="441">
                  <c:v>96.611000000000004</c:v>
                </c:pt>
                <c:pt idx="442">
                  <c:v>96.527000000000001</c:v>
                </c:pt>
                <c:pt idx="443">
                  <c:v>96.353999999999999</c:v>
                </c:pt>
                <c:pt idx="444">
                  <c:v>96.183000000000007</c:v>
                </c:pt>
                <c:pt idx="445">
                  <c:v>95.938999999999993</c:v>
                </c:pt>
                <c:pt idx="446">
                  <c:v>95.846000000000004</c:v>
                </c:pt>
                <c:pt idx="447">
                  <c:v>95.846999999999994</c:v>
                </c:pt>
                <c:pt idx="448">
                  <c:v>95.888000000000005</c:v>
                </c:pt>
                <c:pt idx="449">
                  <c:v>96.102000000000004</c:v>
                </c:pt>
                <c:pt idx="450">
                  <c:v>96.111999999999995</c:v>
                </c:pt>
                <c:pt idx="451">
                  <c:v>96.227000000000004</c:v>
                </c:pt>
                <c:pt idx="452">
                  <c:v>96.316000000000003</c:v>
                </c:pt>
                <c:pt idx="453">
                  <c:v>96.650999999999996</c:v>
                </c:pt>
                <c:pt idx="454">
                  <c:v>95.927000000000007</c:v>
                </c:pt>
                <c:pt idx="455">
                  <c:v>95.506</c:v>
                </c:pt>
                <c:pt idx="456">
                  <c:v>95.135999999999996</c:v>
                </c:pt>
                <c:pt idx="457">
                  <c:v>94.844999999999999</c:v>
                </c:pt>
                <c:pt idx="458">
                  <c:v>94.637</c:v>
                </c:pt>
                <c:pt idx="459">
                  <c:v>94.551000000000002</c:v>
                </c:pt>
                <c:pt idx="460">
                  <c:v>94.430999999999997</c:v>
                </c:pt>
                <c:pt idx="461">
                  <c:v>94.551000000000002</c:v>
                </c:pt>
                <c:pt idx="462">
                  <c:v>94.563999999999993</c:v>
                </c:pt>
                <c:pt idx="463">
                  <c:v>94.915999999999997</c:v>
                </c:pt>
                <c:pt idx="464">
                  <c:v>95.16</c:v>
                </c:pt>
                <c:pt idx="465">
                  <c:v>95.218000000000004</c:v>
                </c:pt>
                <c:pt idx="466">
                  <c:v>94.891999999999996</c:v>
                </c:pt>
                <c:pt idx="467">
                  <c:v>94.453999999999994</c:v>
                </c:pt>
                <c:pt idx="468">
                  <c:v>94.405000000000001</c:v>
                </c:pt>
                <c:pt idx="469">
                  <c:v>94.111000000000004</c:v>
                </c:pt>
                <c:pt idx="470">
                  <c:v>94.006</c:v>
                </c:pt>
                <c:pt idx="471">
                  <c:v>93.915999999999997</c:v>
                </c:pt>
                <c:pt idx="472">
                  <c:v>93.92</c:v>
                </c:pt>
                <c:pt idx="473">
                  <c:v>93.852000000000004</c:v>
                </c:pt>
                <c:pt idx="474">
                  <c:v>93.944999999999993</c:v>
                </c:pt>
                <c:pt idx="475">
                  <c:v>94.024000000000001</c:v>
                </c:pt>
                <c:pt idx="476">
                  <c:v>93.947000000000003</c:v>
                </c:pt>
                <c:pt idx="477">
                  <c:v>93.798000000000002</c:v>
                </c:pt>
                <c:pt idx="478">
                  <c:v>93.748999999999995</c:v>
                </c:pt>
                <c:pt idx="479">
                  <c:v>93.725999999999999</c:v>
                </c:pt>
                <c:pt idx="480">
                  <c:v>93.623000000000005</c:v>
                </c:pt>
                <c:pt idx="481">
                  <c:v>92.88</c:v>
                </c:pt>
                <c:pt idx="482">
                  <c:v>93.358000000000004</c:v>
                </c:pt>
                <c:pt idx="483">
                  <c:v>93.394000000000005</c:v>
                </c:pt>
                <c:pt idx="484">
                  <c:v>93.739000000000004</c:v>
                </c:pt>
                <c:pt idx="485">
                  <c:v>94.284999999999997</c:v>
                </c:pt>
                <c:pt idx="486">
                  <c:v>94.605000000000004</c:v>
                </c:pt>
                <c:pt idx="487">
                  <c:v>94.513000000000005</c:v>
                </c:pt>
                <c:pt idx="488">
                  <c:v>94.554000000000002</c:v>
                </c:pt>
                <c:pt idx="489">
                  <c:v>95.084000000000003</c:v>
                </c:pt>
                <c:pt idx="490">
                  <c:v>95.004999999999995</c:v>
                </c:pt>
                <c:pt idx="491">
                  <c:v>94.716999999999999</c:v>
                </c:pt>
                <c:pt idx="492">
                  <c:v>94.171000000000006</c:v>
                </c:pt>
                <c:pt idx="493">
                  <c:v>92.135000000000005</c:v>
                </c:pt>
                <c:pt idx="494">
                  <c:v>90.239000000000004</c:v>
                </c:pt>
                <c:pt idx="495">
                  <c:v>89.108000000000004</c:v>
                </c:pt>
                <c:pt idx="496">
                  <c:v>88.587000000000003</c:v>
                </c:pt>
                <c:pt idx="497">
                  <c:v>88.634</c:v>
                </c:pt>
                <c:pt idx="498">
                  <c:v>88.551000000000002</c:v>
                </c:pt>
                <c:pt idx="499">
                  <c:v>88.421999999999997</c:v>
                </c:pt>
                <c:pt idx="500">
                  <c:v>88.138000000000005</c:v>
                </c:pt>
                <c:pt idx="501">
                  <c:v>87.869</c:v>
                </c:pt>
                <c:pt idx="502">
                  <c:v>87.762</c:v>
                </c:pt>
                <c:pt idx="503">
                  <c:v>88.045000000000002</c:v>
                </c:pt>
                <c:pt idx="504">
                  <c:v>88.603999999999999</c:v>
                </c:pt>
                <c:pt idx="505">
                  <c:v>88.662000000000006</c:v>
                </c:pt>
                <c:pt idx="506">
                  <c:v>88.623999999999995</c:v>
                </c:pt>
                <c:pt idx="507">
                  <c:v>88.218000000000004</c:v>
                </c:pt>
                <c:pt idx="508">
                  <c:v>88.138000000000005</c:v>
                </c:pt>
                <c:pt idx="509">
                  <c:v>87.275999999999996</c:v>
                </c:pt>
                <c:pt idx="510">
                  <c:v>87.171999999999997</c:v>
                </c:pt>
                <c:pt idx="511">
                  <c:v>86.376999999999995</c:v>
                </c:pt>
                <c:pt idx="512">
                  <c:v>86.600999999999999</c:v>
                </c:pt>
                <c:pt idx="513">
                  <c:v>86.638000000000005</c:v>
                </c:pt>
                <c:pt idx="514">
                  <c:v>86.790999999999997</c:v>
                </c:pt>
                <c:pt idx="515">
                  <c:v>86.938999999999993</c:v>
                </c:pt>
                <c:pt idx="516">
                  <c:v>87.341999999999999</c:v>
                </c:pt>
                <c:pt idx="517">
                  <c:v>87.51</c:v>
                </c:pt>
                <c:pt idx="518">
                  <c:v>88.275999999999996</c:v>
                </c:pt>
                <c:pt idx="519">
                  <c:v>88.608999999999995</c:v>
                </c:pt>
                <c:pt idx="520">
                  <c:v>88.975999999999999</c:v>
                </c:pt>
                <c:pt idx="521">
                  <c:v>89.498000000000005</c:v>
                </c:pt>
                <c:pt idx="522">
                  <c:v>90.158000000000001</c:v>
                </c:pt>
                <c:pt idx="523">
                  <c:v>90.275999999999996</c:v>
                </c:pt>
                <c:pt idx="524">
                  <c:v>90.263999999999996</c:v>
                </c:pt>
                <c:pt idx="525">
                  <c:v>90.108000000000004</c:v>
                </c:pt>
                <c:pt idx="526">
                  <c:v>90.209000000000003</c:v>
                </c:pt>
                <c:pt idx="527">
                  <c:v>90.411000000000001</c:v>
                </c:pt>
                <c:pt idx="528">
                  <c:v>90.480999999999995</c:v>
                </c:pt>
                <c:pt idx="529">
                  <c:v>90.543999999999997</c:v>
                </c:pt>
                <c:pt idx="530">
                  <c:v>90.706999999999994</c:v>
                </c:pt>
                <c:pt idx="531">
                  <c:v>91.501999999999995</c:v>
                </c:pt>
                <c:pt idx="532">
                  <c:v>91.85</c:v>
                </c:pt>
                <c:pt idx="533">
                  <c:v>92.350999999999999</c:v>
                </c:pt>
                <c:pt idx="534">
                  <c:v>93.363</c:v>
                </c:pt>
                <c:pt idx="535">
                  <c:v>93.795000000000002</c:v>
                </c:pt>
                <c:pt idx="536">
                  <c:v>94.085999999999999</c:v>
                </c:pt>
                <c:pt idx="537">
                  <c:v>94.245999999999995</c:v>
                </c:pt>
                <c:pt idx="538">
                  <c:v>94.825000000000003</c:v>
                </c:pt>
                <c:pt idx="539">
                  <c:v>95.622</c:v>
                </c:pt>
                <c:pt idx="540">
                  <c:v>95.989000000000004</c:v>
                </c:pt>
                <c:pt idx="541">
                  <c:v>96.578000000000003</c:v>
                </c:pt>
                <c:pt idx="542">
                  <c:v>97.566000000000003</c:v>
                </c:pt>
                <c:pt idx="543">
                  <c:v>98.021000000000001</c:v>
                </c:pt>
                <c:pt idx="544">
                  <c:v>99.558999999999997</c:v>
                </c:pt>
                <c:pt idx="545">
                  <c:v>100.426</c:v>
                </c:pt>
                <c:pt idx="546">
                  <c:v>102.181</c:v>
                </c:pt>
                <c:pt idx="547">
                  <c:v>102.611</c:v>
                </c:pt>
                <c:pt idx="548">
                  <c:v>102.723</c:v>
                </c:pt>
                <c:pt idx="549">
                  <c:v>103.623</c:v>
                </c:pt>
                <c:pt idx="550">
                  <c:v>103.971</c:v>
                </c:pt>
                <c:pt idx="551">
                  <c:v>104.337</c:v>
                </c:pt>
                <c:pt idx="552">
                  <c:v>103.456</c:v>
                </c:pt>
                <c:pt idx="553">
                  <c:v>102.399</c:v>
                </c:pt>
                <c:pt idx="554">
                  <c:v>102.867</c:v>
                </c:pt>
                <c:pt idx="555">
                  <c:v>104.017</c:v>
                </c:pt>
                <c:pt idx="556">
                  <c:v>104.669</c:v>
                </c:pt>
                <c:pt idx="557">
                  <c:v>104.98399999999999</c:v>
                </c:pt>
                <c:pt idx="558">
                  <c:v>105.072</c:v>
                </c:pt>
                <c:pt idx="559">
                  <c:v>105.208</c:v>
                </c:pt>
                <c:pt idx="560">
                  <c:v>105.13500000000001</c:v>
                </c:pt>
                <c:pt idx="561">
                  <c:v>104.947</c:v>
                </c:pt>
                <c:pt idx="562">
                  <c:v>104.77500000000001</c:v>
                </c:pt>
                <c:pt idx="563">
                  <c:v>104.651</c:v>
                </c:pt>
                <c:pt idx="564">
                  <c:v>104.65</c:v>
                </c:pt>
                <c:pt idx="565">
                  <c:v>104.61499999999999</c:v>
                </c:pt>
                <c:pt idx="566">
                  <c:v>104.374</c:v>
                </c:pt>
                <c:pt idx="567">
                  <c:v>104.28100000000001</c:v>
                </c:pt>
                <c:pt idx="568">
                  <c:v>104.181</c:v>
                </c:pt>
                <c:pt idx="569">
                  <c:v>104.114</c:v>
                </c:pt>
                <c:pt idx="570">
                  <c:v>103.789</c:v>
                </c:pt>
                <c:pt idx="571">
                  <c:v>103.23699999999999</c:v>
                </c:pt>
                <c:pt idx="572">
                  <c:v>103.051</c:v>
                </c:pt>
                <c:pt idx="573">
                  <c:v>103.02800000000001</c:v>
                </c:pt>
                <c:pt idx="574">
                  <c:v>102.714</c:v>
                </c:pt>
                <c:pt idx="575">
                  <c:v>102.47799999999999</c:v>
                </c:pt>
                <c:pt idx="576">
                  <c:v>102.399</c:v>
                </c:pt>
                <c:pt idx="577">
                  <c:v>102.188</c:v>
                </c:pt>
                <c:pt idx="578">
                  <c:v>102.054</c:v>
                </c:pt>
                <c:pt idx="579">
                  <c:v>102.021</c:v>
                </c:pt>
                <c:pt idx="580">
                  <c:v>101.955</c:v>
                </c:pt>
              </c:numCache>
            </c:numRef>
          </c:val>
          <c:extLst>
            <c:ext xmlns:c16="http://schemas.microsoft.com/office/drawing/2014/chart" uri="{C3380CC4-5D6E-409C-BE32-E72D297353CC}">
              <c16:uniqueId val="{00000000-AD58-465F-BD9F-21A6ADBD6599}"/>
            </c:ext>
          </c:extLst>
        </c:ser>
        <c:dLbls>
          <c:showLegendKey val="0"/>
          <c:showVal val="0"/>
          <c:showCatName val="0"/>
          <c:showSerName val="0"/>
          <c:showPercent val="0"/>
          <c:showBubbleSize val="0"/>
        </c:dLbls>
        <c:axId val="201675136"/>
        <c:axId val="201676672"/>
      </c:areaChart>
      <c:lineChart>
        <c:grouping val="standard"/>
        <c:varyColors val="0"/>
        <c:ser>
          <c:idx val="1"/>
          <c:order val="1"/>
          <c:tx>
            <c:strRef>
              <c:f>'[Hartije od vrednosti na medjunarodnom trzistu SAJT 04.04.2022 (00000002).xlsx]EUROBOND 2029 offline'!$C$4</c:f>
              <c:strCache>
                <c:ptCount val="1"/>
                <c:pt idx="0">
                  <c:v>Средњи принос до доспећа</c:v>
                </c:pt>
              </c:strCache>
            </c:strRef>
          </c:tx>
          <c:spPr>
            <a:ln>
              <a:solidFill>
                <a:srgbClr val="4472C4">
                  <a:lumMod val="60000"/>
                  <a:lumOff val="40000"/>
                </a:srgbClr>
              </a:solidFill>
            </a:ln>
          </c:spPr>
          <c:marker>
            <c:symbol val="none"/>
          </c:marker>
          <c:cat>
            <c:numRef>
              <c:f>'[Hartije od vrednosti na medjunarodnom trzistu SAJT 04.04.2022 (00000002).xlsx]EUROBOND 2029 offline'!$A$6:$A$586</c:f>
              <c:numCache>
                <c:formatCode>dd\/mm\/yy</c:formatCode>
                <c:ptCount val="581"/>
                <c:pt idx="0">
                  <c:v>44678</c:v>
                </c:pt>
                <c:pt idx="1">
                  <c:v>44677</c:v>
                </c:pt>
                <c:pt idx="2">
                  <c:v>44676</c:v>
                </c:pt>
                <c:pt idx="3">
                  <c:v>44673</c:v>
                </c:pt>
                <c:pt idx="4">
                  <c:v>44672</c:v>
                </c:pt>
                <c:pt idx="5">
                  <c:v>44671</c:v>
                </c:pt>
                <c:pt idx="6">
                  <c:v>44670</c:v>
                </c:pt>
                <c:pt idx="7">
                  <c:v>44665</c:v>
                </c:pt>
                <c:pt idx="8">
                  <c:v>44664</c:v>
                </c:pt>
                <c:pt idx="9">
                  <c:v>44663</c:v>
                </c:pt>
                <c:pt idx="10">
                  <c:v>44662</c:v>
                </c:pt>
                <c:pt idx="11">
                  <c:v>44659</c:v>
                </c:pt>
                <c:pt idx="12">
                  <c:v>44658</c:v>
                </c:pt>
                <c:pt idx="13">
                  <c:v>44657</c:v>
                </c:pt>
                <c:pt idx="14">
                  <c:v>44656</c:v>
                </c:pt>
                <c:pt idx="15">
                  <c:v>44655</c:v>
                </c:pt>
                <c:pt idx="16">
                  <c:v>44652</c:v>
                </c:pt>
                <c:pt idx="17">
                  <c:v>44651</c:v>
                </c:pt>
                <c:pt idx="18">
                  <c:v>44650</c:v>
                </c:pt>
                <c:pt idx="19">
                  <c:v>44649</c:v>
                </c:pt>
                <c:pt idx="20">
                  <c:v>44648</c:v>
                </c:pt>
                <c:pt idx="21">
                  <c:v>44645</c:v>
                </c:pt>
                <c:pt idx="22">
                  <c:v>44644</c:v>
                </c:pt>
                <c:pt idx="23">
                  <c:v>44643</c:v>
                </c:pt>
                <c:pt idx="24">
                  <c:v>44642</c:v>
                </c:pt>
                <c:pt idx="25">
                  <c:v>44641</c:v>
                </c:pt>
                <c:pt idx="26">
                  <c:v>44638</c:v>
                </c:pt>
                <c:pt idx="27">
                  <c:v>44637</c:v>
                </c:pt>
                <c:pt idx="28">
                  <c:v>44636</c:v>
                </c:pt>
                <c:pt idx="29">
                  <c:v>44635</c:v>
                </c:pt>
                <c:pt idx="30">
                  <c:v>44634</c:v>
                </c:pt>
                <c:pt idx="31">
                  <c:v>44631</c:v>
                </c:pt>
                <c:pt idx="32">
                  <c:v>44630</c:v>
                </c:pt>
                <c:pt idx="33">
                  <c:v>44629</c:v>
                </c:pt>
                <c:pt idx="34">
                  <c:v>44628</c:v>
                </c:pt>
                <c:pt idx="35">
                  <c:v>44627</c:v>
                </c:pt>
                <c:pt idx="36">
                  <c:v>44624</c:v>
                </c:pt>
                <c:pt idx="37">
                  <c:v>44623</c:v>
                </c:pt>
                <c:pt idx="38">
                  <c:v>44622</c:v>
                </c:pt>
                <c:pt idx="39">
                  <c:v>44621</c:v>
                </c:pt>
                <c:pt idx="40">
                  <c:v>44620</c:v>
                </c:pt>
                <c:pt idx="41">
                  <c:v>44617</c:v>
                </c:pt>
                <c:pt idx="42">
                  <c:v>44616</c:v>
                </c:pt>
                <c:pt idx="43">
                  <c:v>44615</c:v>
                </c:pt>
                <c:pt idx="44">
                  <c:v>44614</c:v>
                </c:pt>
                <c:pt idx="45">
                  <c:v>44613</c:v>
                </c:pt>
                <c:pt idx="46">
                  <c:v>44610</c:v>
                </c:pt>
                <c:pt idx="47">
                  <c:v>44609</c:v>
                </c:pt>
                <c:pt idx="48">
                  <c:v>44608</c:v>
                </c:pt>
                <c:pt idx="49">
                  <c:v>44607</c:v>
                </c:pt>
                <c:pt idx="50">
                  <c:v>44606</c:v>
                </c:pt>
                <c:pt idx="51">
                  <c:v>44603</c:v>
                </c:pt>
                <c:pt idx="52">
                  <c:v>44602</c:v>
                </c:pt>
                <c:pt idx="53">
                  <c:v>44601</c:v>
                </c:pt>
                <c:pt idx="54">
                  <c:v>44600</c:v>
                </c:pt>
                <c:pt idx="55">
                  <c:v>44599</c:v>
                </c:pt>
                <c:pt idx="56">
                  <c:v>44596</c:v>
                </c:pt>
                <c:pt idx="57">
                  <c:v>44595</c:v>
                </c:pt>
                <c:pt idx="58">
                  <c:v>44594</c:v>
                </c:pt>
                <c:pt idx="59">
                  <c:v>44593</c:v>
                </c:pt>
                <c:pt idx="60">
                  <c:v>44592</c:v>
                </c:pt>
                <c:pt idx="61">
                  <c:v>44589</c:v>
                </c:pt>
                <c:pt idx="62">
                  <c:v>44588</c:v>
                </c:pt>
                <c:pt idx="63">
                  <c:v>44587</c:v>
                </c:pt>
                <c:pt idx="64">
                  <c:v>44586</c:v>
                </c:pt>
                <c:pt idx="65">
                  <c:v>44585</c:v>
                </c:pt>
                <c:pt idx="66">
                  <c:v>44582</c:v>
                </c:pt>
                <c:pt idx="67">
                  <c:v>44581</c:v>
                </c:pt>
                <c:pt idx="68">
                  <c:v>44580</c:v>
                </c:pt>
                <c:pt idx="69">
                  <c:v>44579</c:v>
                </c:pt>
                <c:pt idx="70">
                  <c:v>44578</c:v>
                </c:pt>
                <c:pt idx="71">
                  <c:v>44575</c:v>
                </c:pt>
                <c:pt idx="72">
                  <c:v>44574</c:v>
                </c:pt>
                <c:pt idx="73">
                  <c:v>44573</c:v>
                </c:pt>
                <c:pt idx="74">
                  <c:v>44572</c:v>
                </c:pt>
                <c:pt idx="75">
                  <c:v>44571</c:v>
                </c:pt>
                <c:pt idx="76">
                  <c:v>44568</c:v>
                </c:pt>
                <c:pt idx="77">
                  <c:v>44567</c:v>
                </c:pt>
                <c:pt idx="78">
                  <c:v>44566</c:v>
                </c:pt>
                <c:pt idx="79">
                  <c:v>44565</c:v>
                </c:pt>
                <c:pt idx="80">
                  <c:v>44564</c:v>
                </c:pt>
                <c:pt idx="81">
                  <c:v>44561</c:v>
                </c:pt>
                <c:pt idx="82">
                  <c:v>44560</c:v>
                </c:pt>
                <c:pt idx="83">
                  <c:v>44559</c:v>
                </c:pt>
                <c:pt idx="84">
                  <c:v>44558</c:v>
                </c:pt>
                <c:pt idx="85">
                  <c:v>44557</c:v>
                </c:pt>
                <c:pt idx="86">
                  <c:v>44554</c:v>
                </c:pt>
                <c:pt idx="87">
                  <c:v>44553</c:v>
                </c:pt>
                <c:pt idx="88">
                  <c:v>44552</c:v>
                </c:pt>
                <c:pt idx="89">
                  <c:v>44551</c:v>
                </c:pt>
                <c:pt idx="90">
                  <c:v>44550</c:v>
                </c:pt>
                <c:pt idx="91">
                  <c:v>44547</c:v>
                </c:pt>
                <c:pt idx="92">
                  <c:v>44546</c:v>
                </c:pt>
                <c:pt idx="93">
                  <c:v>44545</c:v>
                </c:pt>
                <c:pt idx="94">
                  <c:v>44544</c:v>
                </c:pt>
                <c:pt idx="95">
                  <c:v>44543</c:v>
                </c:pt>
                <c:pt idx="96">
                  <c:v>44540</c:v>
                </c:pt>
                <c:pt idx="97">
                  <c:v>44539</c:v>
                </c:pt>
                <c:pt idx="98">
                  <c:v>44538</c:v>
                </c:pt>
                <c:pt idx="99">
                  <c:v>44537</c:v>
                </c:pt>
                <c:pt idx="100">
                  <c:v>44536</c:v>
                </c:pt>
                <c:pt idx="101">
                  <c:v>44533</c:v>
                </c:pt>
                <c:pt idx="102">
                  <c:v>44532</c:v>
                </c:pt>
                <c:pt idx="103">
                  <c:v>44531</c:v>
                </c:pt>
                <c:pt idx="104">
                  <c:v>44530</c:v>
                </c:pt>
                <c:pt idx="105">
                  <c:v>44529</c:v>
                </c:pt>
                <c:pt idx="106">
                  <c:v>44526</c:v>
                </c:pt>
                <c:pt idx="107">
                  <c:v>44525</c:v>
                </c:pt>
                <c:pt idx="108">
                  <c:v>44524</c:v>
                </c:pt>
                <c:pt idx="109">
                  <c:v>44523</c:v>
                </c:pt>
                <c:pt idx="110">
                  <c:v>44522</c:v>
                </c:pt>
                <c:pt idx="111">
                  <c:v>44519</c:v>
                </c:pt>
                <c:pt idx="112">
                  <c:v>44518</c:v>
                </c:pt>
                <c:pt idx="113">
                  <c:v>44517</c:v>
                </c:pt>
                <c:pt idx="114">
                  <c:v>44516</c:v>
                </c:pt>
                <c:pt idx="115">
                  <c:v>44515</c:v>
                </c:pt>
                <c:pt idx="116">
                  <c:v>44512</c:v>
                </c:pt>
                <c:pt idx="117">
                  <c:v>44511</c:v>
                </c:pt>
                <c:pt idx="118">
                  <c:v>44510</c:v>
                </c:pt>
                <c:pt idx="119">
                  <c:v>44509</c:v>
                </c:pt>
                <c:pt idx="120">
                  <c:v>44508</c:v>
                </c:pt>
                <c:pt idx="121">
                  <c:v>44505</c:v>
                </c:pt>
                <c:pt idx="122">
                  <c:v>44504</c:v>
                </c:pt>
                <c:pt idx="123">
                  <c:v>44503</c:v>
                </c:pt>
                <c:pt idx="124">
                  <c:v>44502</c:v>
                </c:pt>
                <c:pt idx="125">
                  <c:v>44501</c:v>
                </c:pt>
                <c:pt idx="126">
                  <c:v>44498</c:v>
                </c:pt>
                <c:pt idx="127">
                  <c:v>44497</c:v>
                </c:pt>
                <c:pt idx="128">
                  <c:v>44496</c:v>
                </c:pt>
                <c:pt idx="129">
                  <c:v>44495</c:v>
                </c:pt>
                <c:pt idx="130">
                  <c:v>44494</c:v>
                </c:pt>
                <c:pt idx="131">
                  <c:v>44491</c:v>
                </c:pt>
                <c:pt idx="132">
                  <c:v>44490</c:v>
                </c:pt>
                <c:pt idx="133">
                  <c:v>44489</c:v>
                </c:pt>
                <c:pt idx="134">
                  <c:v>44488</c:v>
                </c:pt>
                <c:pt idx="135">
                  <c:v>44487</c:v>
                </c:pt>
                <c:pt idx="136">
                  <c:v>44484</c:v>
                </c:pt>
                <c:pt idx="137">
                  <c:v>44483</c:v>
                </c:pt>
                <c:pt idx="138">
                  <c:v>44482</c:v>
                </c:pt>
                <c:pt idx="139">
                  <c:v>44481</c:v>
                </c:pt>
                <c:pt idx="140">
                  <c:v>44480</c:v>
                </c:pt>
                <c:pt idx="141">
                  <c:v>44477</c:v>
                </c:pt>
                <c:pt idx="142">
                  <c:v>44476</c:v>
                </c:pt>
                <c:pt idx="143">
                  <c:v>44475</c:v>
                </c:pt>
                <c:pt idx="144">
                  <c:v>44474</c:v>
                </c:pt>
                <c:pt idx="145">
                  <c:v>44473</c:v>
                </c:pt>
                <c:pt idx="146">
                  <c:v>44470</c:v>
                </c:pt>
                <c:pt idx="147">
                  <c:v>44469</c:v>
                </c:pt>
                <c:pt idx="148">
                  <c:v>44468</c:v>
                </c:pt>
                <c:pt idx="149">
                  <c:v>44467</c:v>
                </c:pt>
                <c:pt idx="150">
                  <c:v>44466</c:v>
                </c:pt>
                <c:pt idx="151">
                  <c:v>44463</c:v>
                </c:pt>
                <c:pt idx="152">
                  <c:v>44462</c:v>
                </c:pt>
                <c:pt idx="153">
                  <c:v>44461</c:v>
                </c:pt>
                <c:pt idx="154">
                  <c:v>44460</c:v>
                </c:pt>
                <c:pt idx="155">
                  <c:v>44459</c:v>
                </c:pt>
                <c:pt idx="156">
                  <c:v>44456</c:v>
                </c:pt>
                <c:pt idx="157">
                  <c:v>44455</c:v>
                </c:pt>
                <c:pt idx="158">
                  <c:v>44454</c:v>
                </c:pt>
                <c:pt idx="159">
                  <c:v>44453</c:v>
                </c:pt>
                <c:pt idx="160">
                  <c:v>44452</c:v>
                </c:pt>
                <c:pt idx="161">
                  <c:v>44449</c:v>
                </c:pt>
                <c:pt idx="162">
                  <c:v>44448</c:v>
                </c:pt>
                <c:pt idx="163">
                  <c:v>44447</c:v>
                </c:pt>
                <c:pt idx="164">
                  <c:v>44446</c:v>
                </c:pt>
                <c:pt idx="165">
                  <c:v>44445</c:v>
                </c:pt>
                <c:pt idx="166">
                  <c:v>44442</c:v>
                </c:pt>
                <c:pt idx="167">
                  <c:v>44441</c:v>
                </c:pt>
                <c:pt idx="168">
                  <c:v>44440</c:v>
                </c:pt>
                <c:pt idx="169">
                  <c:v>44439</c:v>
                </c:pt>
                <c:pt idx="170">
                  <c:v>44438</c:v>
                </c:pt>
                <c:pt idx="171">
                  <c:v>44435</c:v>
                </c:pt>
                <c:pt idx="172">
                  <c:v>44434</c:v>
                </c:pt>
                <c:pt idx="173">
                  <c:v>44433</c:v>
                </c:pt>
                <c:pt idx="174">
                  <c:v>44432</c:v>
                </c:pt>
                <c:pt idx="175">
                  <c:v>44431</c:v>
                </c:pt>
                <c:pt idx="176">
                  <c:v>44428</c:v>
                </c:pt>
                <c:pt idx="177">
                  <c:v>44427</c:v>
                </c:pt>
                <c:pt idx="178">
                  <c:v>44426</c:v>
                </c:pt>
                <c:pt idx="179">
                  <c:v>44425</c:v>
                </c:pt>
                <c:pt idx="180">
                  <c:v>44424</c:v>
                </c:pt>
                <c:pt idx="181">
                  <c:v>44421</c:v>
                </c:pt>
                <c:pt idx="182">
                  <c:v>44420</c:v>
                </c:pt>
                <c:pt idx="183">
                  <c:v>44419</c:v>
                </c:pt>
                <c:pt idx="184">
                  <c:v>44418</c:v>
                </c:pt>
                <c:pt idx="185">
                  <c:v>44417</c:v>
                </c:pt>
                <c:pt idx="186">
                  <c:v>44414</c:v>
                </c:pt>
                <c:pt idx="187">
                  <c:v>44413</c:v>
                </c:pt>
                <c:pt idx="188">
                  <c:v>44412</c:v>
                </c:pt>
                <c:pt idx="189">
                  <c:v>44411</c:v>
                </c:pt>
                <c:pt idx="190">
                  <c:v>44410</c:v>
                </c:pt>
                <c:pt idx="191">
                  <c:v>44407</c:v>
                </c:pt>
                <c:pt idx="192">
                  <c:v>44406</c:v>
                </c:pt>
                <c:pt idx="193">
                  <c:v>44405</c:v>
                </c:pt>
                <c:pt idx="194">
                  <c:v>44404</c:v>
                </c:pt>
                <c:pt idx="195">
                  <c:v>44403</c:v>
                </c:pt>
                <c:pt idx="196">
                  <c:v>44400</c:v>
                </c:pt>
                <c:pt idx="197">
                  <c:v>44399</c:v>
                </c:pt>
                <c:pt idx="198">
                  <c:v>44398</c:v>
                </c:pt>
                <c:pt idx="199">
                  <c:v>44397</c:v>
                </c:pt>
                <c:pt idx="200">
                  <c:v>44396</c:v>
                </c:pt>
                <c:pt idx="201">
                  <c:v>44393</c:v>
                </c:pt>
                <c:pt idx="202">
                  <c:v>44392</c:v>
                </c:pt>
                <c:pt idx="203">
                  <c:v>44391</c:v>
                </c:pt>
                <c:pt idx="204">
                  <c:v>44390</c:v>
                </c:pt>
                <c:pt idx="205">
                  <c:v>44389</c:v>
                </c:pt>
                <c:pt idx="206">
                  <c:v>44386</c:v>
                </c:pt>
                <c:pt idx="207">
                  <c:v>44385</c:v>
                </c:pt>
                <c:pt idx="208">
                  <c:v>44384</c:v>
                </c:pt>
                <c:pt idx="209">
                  <c:v>44383</c:v>
                </c:pt>
                <c:pt idx="210">
                  <c:v>44382</c:v>
                </c:pt>
                <c:pt idx="211">
                  <c:v>44379</c:v>
                </c:pt>
                <c:pt idx="212">
                  <c:v>44378</c:v>
                </c:pt>
                <c:pt idx="213">
                  <c:v>44377</c:v>
                </c:pt>
                <c:pt idx="214">
                  <c:v>44376</c:v>
                </c:pt>
                <c:pt idx="215">
                  <c:v>44375</c:v>
                </c:pt>
                <c:pt idx="216">
                  <c:v>44372</c:v>
                </c:pt>
                <c:pt idx="217">
                  <c:v>44371</c:v>
                </c:pt>
                <c:pt idx="218">
                  <c:v>44370</c:v>
                </c:pt>
                <c:pt idx="219">
                  <c:v>44369</c:v>
                </c:pt>
                <c:pt idx="220">
                  <c:v>44368</c:v>
                </c:pt>
                <c:pt idx="221">
                  <c:v>44365</c:v>
                </c:pt>
                <c:pt idx="222">
                  <c:v>44364</c:v>
                </c:pt>
                <c:pt idx="223">
                  <c:v>44363</c:v>
                </c:pt>
                <c:pt idx="224">
                  <c:v>44362</c:v>
                </c:pt>
                <c:pt idx="225">
                  <c:v>44361</c:v>
                </c:pt>
                <c:pt idx="226">
                  <c:v>44358</c:v>
                </c:pt>
                <c:pt idx="227">
                  <c:v>44357</c:v>
                </c:pt>
                <c:pt idx="228">
                  <c:v>44356</c:v>
                </c:pt>
                <c:pt idx="229">
                  <c:v>44355</c:v>
                </c:pt>
                <c:pt idx="230">
                  <c:v>44354</c:v>
                </c:pt>
                <c:pt idx="231">
                  <c:v>44351</c:v>
                </c:pt>
                <c:pt idx="232">
                  <c:v>44350</c:v>
                </c:pt>
                <c:pt idx="233">
                  <c:v>44349</c:v>
                </c:pt>
                <c:pt idx="234">
                  <c:v>44348</c:v>
                </c:pt>
                <c:pt idx="235">
                  <c:v>44347</c:v>
                </c:pt>
                <c:pt idx="236">
                  <c:v>44344</c:v>
                </c:pt>
                <c:pt idx="237">
                  <c:v>44343</c:v>
                </c:pt>
                <c:pt idx="238">
                  <c:v>44342</c:v>
                </c:pt>
                <c:pt idx="239">
                  <c:v>44341</c:v>
                </c:pt>
                <c:pt idx="240">
                  <c:v>44340</c:v>
                </c:pt>
                <c:pt idx="241">
                  <c:v>44337</c:v>
                </c:pt>
                <c:pt idx="242">
                  <c:v>44336</c:v>
                </c:pt>
                <c:pt idx="243">
                  <c:v>44335</c:v>
                </c:pt>
                <c:pt idx="244">
                  <c:v>44334</c:v>
                </c:pt>
                <c:pt idx="245">
                  <c:v>44333</c:v>
                </c:pt>
                <c:pt idx="246">
                  <c:v>44330</c:v>
                </c:pt>
                <c:pt idx="247">
                  <c:v>44329</c:v>
                </c:pt>
                <c:pt idx="248">
                  <c:v>44328</c:v>
                </c:pt>
                <c:pt idx="249">
                  <c:v>44327</c:v>
                </c:pt>
                <c:pt idx="250">
                  <c:v>44326</c:v>
                </c:pt>
                <c:pt idx="251">
                  <c:v>44323</c:v>
                </c:pt>
                <c:pt idx="252">
                  <c:v>44322</c:v>
                </c:pt>
                <c:pt idx="253">
                  <c:v>44321</c:v>
                </c:pt>
                <c:pt idx="254">
                  <c:v>44320</c:v>
                </c:pt>
                <c:pt idx="255">
                  <c:v>44319</c:v>
                </c:pt>
                <c:pt idx="256">
                  <c:v>44316</c:v>
                </c:pt>
                <c:pt idx="257">
                  <c:v>44315</c:v>
                </c:pt>
                <c:pt idx="258">
                  <c:v>44314</c:v>
                </c:pt>
                <c:pt idx="259">
                  <c:v>44313</c:v>
                </c:pt>
                <c:pt idx="260">
                  <c:v>44312</c:v>
                </c:pt>
                <c:pt idx="261">
                  <c:v>44309</c:v>
                </c:pt>
                <c:pt idx="262">
                  <c:v>44308</c:v>
                </c:pt>
                <c:pt idx="263">
                  <c:v>44307</c:v>
                </c:pt>
                <c:pt idx="264">
                  <c:v>44306</c:v>
                </c:pt>
                <c:pt idx="265">
                  <c:v>44305</c:v>
                </c:pt>
                <c:pt idx="266">
                  <c:v>44302</c:v>
                </c:pt>
                <c:pt idx="267">
                  <c:v>44301</c:v>
                </c:pt>
                <c:pt idx="268">
                  <c:v>44300</c:v>
                </c:pt>
                <c:pt idx="269">
                  <c:v>44299</c:v>
                </c:pt>
                <c:pt idx="270">
                  <c:v>44298</c:v>
                </c:pt>
                <c:pt idx="271">
                  <c:v>44295</c:v>
                </c:pt>
                <c:pt idx="272">
                  <c:v>44294</c:v>
                </c:pt>
                <c:pt idx="273">
                  <c:v>44293</c:v>
                </c:pt>
                <c:pt idx="274">
                  <c:v>44292</c:v>
                </c:pt>
                <c:pt idx="275">
                  <c:v>44287</c:v>
                </c:pt>
                <c:pt idx="276">
                  <c:v>44286</c:v>
                </c:pt>
                <c:pt idx="277">
                  <c:v>44285</c:v>
                </c:pt>
                <c:pt idx="278">
                  <c:v>44284</c:v>
                </c:pt>
                <c:pt idx="279">
                  <c:v>44281</c:v>
                </c:pt>
                <c:pt idx="280">
                  <c:v>44280</c:v>
                </c:pt>
                <c:pt idx="281">
                  <c:v>44279</c:v>
                </c:pt>
                <c:pt idx="282">
                  <c:v>44278</c:v>
                </c:pt>
                <c:pt idx="283">
                  <c:v>44277</c:v>
                </c:pt>
                <c:pt idx="284">
                  <c:v>44274</c:v>
                </c:pt>
                <c:pt idx="285">
                  <c:v>44273</c:v>
                </c:pt>
                <c:pt idx="286">
                  <c:v>44272</c:v>
                </c:pt>
                <c:pt idx="287">
                  <c:v>44271</c:v>
                </c:pt>
                <c:pt idx="288">
                  <c:v>44270</c:v>
                </c:pt>
                <c:pt idx="289">
                  <c:v>44267</c:v>
                </c:pt>
                <c:pt idx="290">
                  <c:v>44266</c:v>
                </c:pt>
                <c:pt idx="291">
                  <c:v>44265</c:v>
                </c:pt>
                <c:pt idx="292">
                  <c:v>44264</c:v>
                </c:pt>
                <c:pt idx="293">
                  <c:v>44263</c:v>
                </c:pt>
                <c:pt idx="294">
                  <c:v>44260</c:v>
                </c:pt>
                <c:pt idx="295">
                  <c:v>44259</c:v>
                </c:pt>
                <c:pt idx="296">
                  <c:v>44258</c:v>
                </c:pt>
                <c:pt idx="297">
                  <c:v>44257</c:v>
                </c:pt>
                <c:pt idx="298">
                  <c:v>44256</c:v>
                </c:pt>
                <c:pt idx="299">
                  <c:v>44253</c:v>
                </c:pt>
                <c:pt idx="300">
                  <c:v>44252</c:v>
                </c:pt>
                <c:pt idx="301">
                  <c:v>44251</c:v>
                </c:pt>
                <c:pt idx="302">
                  <c:v>44250</c:v>
                </c:pt>
                <c:pt idx="303">
                  <c:v>44249</c:v>
                </c:pt>
                <c:pt idx="304">
                  <c:v>44246</c:v>
                </c:pt>
                <c:pt idx="305">
                  <c:v>44245</c:v>
                </c:pt>
                <c:pt idx="306">
                  <c:v>44244</c:v>
                </c:pt>
                <c:pt idx="307">
                  <c:v>44243</c:v>
                </c:pt>
                <c:pt idx="308">
                  <c:v>44242</c:v>
                </c:pt>
                <c:pt idx="309">
                  <c:v>44239</c:v>
                </c:pt>
                <c:pt idx="310">
                  <c:v>44238</c:v>
                </c:pt>
                <c:pt idx="311">
                  <c:v>44237</c:v>
                </c:pt>
                <c:pt idx="312">
                  <c:v>44236</c:v>
                </c:pt>
                <c:pt idx="313">
                  <c:v>44235</c:v>
                </c:pt>
                <c:pt idx="314">
                  <c:v>44232</c:v>
                </c:pt>
                <c:pt idx="315">
                  <c:v>44231</c:v>
                </c:pt>
                <c:pt idx="316">
                  <c:v>44230</c:v>
                </c:pt>
                <c:pt idx="317">
                  <c:v>44229</c:v>
                </c:pt>
                <c:pt idx="318">
                  <c:v>44228</c:v>
                </c:pt>
                <c:pt idx="319">
                  <c:v>44225</c:v>
                </c:pt>
                <c:pt idx="320">
                  <c:v>44224</c:v>
                </c:pt>
                <c:pt idx="321">
                  <c:v>44223</c:v>
                </c:pt>
                <c:pt idx="322">
                  <c:v>44222</c:v>
                </c:pt>
                <c:pt idx="323">
                  <c:v>44221</c:v>
                </c:pt>
                <c:pt idx="324">
                  <c:v>44218</c:v>
                </c:pt>
                <c:pt idx="325">
                  <c:v>44217</c:v>
                </c:pt>
                <c:pt idx="326">
                  <c:v>44216</c:v>
                </c:pt>
                <c:pt idx="327">
                  <c:v>44215</c:v>
                </c:pt>
                <c:pt idx="328">
                  <c:v>44214</c:v>
                </c:pt>
                <c:pt idx="329">
                  <c:v>44211</c:v>
                </c:pt>
                <c:pt idx="330">
                  <c:v>44210</c:v>
                </c:pt>
                <c:pt idx="331">
                  <c:v>44209</c:v>
                </c:pt>
                <c:pt idx="332">
                  <c:v>44208</c:v>
                </c:pt>
                <c:pt idx="333">
                  <c:v>44207</c:v>
                </c:pt>
                <c:pt idx="334">
                  <c:v>44204</c:v>
                </c:pt>
                <c:pt idx="335">
                  <c:v>44203</c:v>
                </c:pt>
                <c:pt idx="336">
                  <c:v>44202</c:v>
                </c:pt>
                <c:pt idx="337">
                  <c:v>44201</c:v>
                </c:pt>
                <c:pt idx="338">
                  <c:v>44200</c:v>
                </c:pt>
                <c:pt idx="339">
                  <c:v>44196</c:v>
                </c:pt>
                <c:pt idx="340">
                  <c:v>44195</c:v>
                </c:pt>
                <c:pt idx="341">
                  <c:v>44194</c:v>
                </c:pt>
                <c:pt idx="342">
                  <c:v>44193</c:v>
                </c:pt>
                <c:pt idx="343">
                  <c:v>44189</c:v>
                </c:pt>
                <c:pt idx="344">
                  <c:v>44188</c:v>
                </c:pt>
                <c:pt idx="345">
                  <c:v>44187</c:v>
                </c:pt>
                <c:pt idx="346">
                  <c:v>44186</c:v>
                </c:pt>
                <c:pt idx="347">
                  <c:v>44183</c:v>
                </c:pt>
                <c:pt idx="348">
                  <c:v>44182</c:v>
                </c:pt>
                <c:pt idx="349">
                  <c:v>44181</c:v>
                </c:pt>
                <c:pt idx="350">
                  <c:v>44180</c:v>
                </c:pt>
                <c:pt idx="351">
                  <c:v>44179</c:v>
                </c:pt>
                <c:pt idx="352">
                  <c:v>44176</c:v>
                </c:pt>
                <c:pt idx="353">
                  <c:v>44175</c:v>
                </c:pt>
                <c:pt idx="354">
                  <c:v>44174</c:v>
                </c:pt>
                <c:pt idx="355">
                  <c:v>44173</c:v>
                </c:pt>
                <c:pt idx="356">
                  <c:v>44172</c:v>
                </c:pt>
                <c:pt idx="357">
                  <c:v>44169</c:v>
                </c:pt>
                <c:pt idx="358">
                  <c:v>44168</c:v>
                </c:pt>
                <c:pt idx="359">
                  <c:v>44167</c:v>
                </c:pt>
                <c:pt idx="360">
                  <c:v>44166</c:v>
                </c:pt>
                <c:pt idx="361">
                  <c:v>44165</c:v>
                </c:pt>
                <c:pt idx="362">
                  <c:v>44162</c:v>
                </c:pt>
                <c:pt idx="363">
                  <c:v>44161</c:v>
                </c:pt>
                <c:pt idx="364">
                  <c:v>44160</c:v>
                </c:pt>
                <c:pt idx="365">
                  <c:v>44159</c:v>
                </c:pt>
                <c:pt idx="366">
                  <c:v>44158</c:v>
                </c:pt>
                <c:pt idx="367">
                  <c:v>44155</c:v>
                </c:pt>
                <c:pt idx="368">
                  <c:v>44154</c:v>
                </c:pt>
                <c:pt idx="369">
                  <c:v>44153</c:v>
                </c:pt>
                <c:pt idx="370">
                  <c:v>44152</c:v>
                </c:pt>
                <c:pt idx="371">
                  <c:v>44151</c:v>
                </c:pt>
                <c:pt idx="372">
                  <c:v>44148</c:v>
                </c:pt>
                <c:pt idx="373">
                  <c:v>44147</c:v>
                </c:pt>
                <c:pt idx="374">
                  <c:v>44146</c:v>
                </c:pt>
                <c:pt idx="375">
                  <c:v>44145</c:v>
                </c:pt>
                <c:pt idx="376">
                  <c:v>44144</c:v>
                </c:pt>
                <c:pt idx="377">
                  <c:v>44141</c:v>
                </c:pt>
                <c:pt idx="378">
                  <c:v>44140</c:v>
                </c:pt>
                <c:pt idx="379">
                  <c:v>44139</c:v>
                </c:pt>
                <c:pt idx="380">
                  <c:v>44138</c:v>
                </c:pt>
                <c:pt idx="381">
                  <c:v>44137</c:v>
                </c:pt>
                <c:pt idx="382">
                  <c:v>44134</c:v>
                </c:pt>
                <c:pt idx="383">
                  <c:v>44133</c:v>
                </c:pt>
                <c:pt idx="384">
                  <c:v>44132</c:v>
                </c:pt>
                <c:pt idx="385">
                  <c:v>44131</c:v>
                </c:pt>
                <c:pt idx="386">
                  <c:v>44130</c:v>
                </c:pt>
                <c:pt idx="387">
                  <c:v>44127</c:v>
                </c:pt>
                <c:pt idx="388">
                  <c:v>44126</c:v>
                </c:pt>
                <c:pt idx="389">
                  <c:v>44125</c:v>
                </c:pt>
                <c:pt idx="390">
                  <c:v>44124</c:v>
                </c:pt>
                <c:pt idx="391">
                  <c:v>44123</c:v>
                </c:pt>
                <c:pt idx="392">
                  <c:v>44120</c:v>
                </c:pt>
                <c:pt idx="393">
                  <c:v>44119</c:v>
                </c:pt>
                <c:pt idx="394">
                  <c:v>44118</c:v>
                </c:pt>
                <c:pt idx="395">
                  <c:v>44117</c:v>
                </c:pt>
                <c:pt idx="396">
                  <c:v>44116</c:v>
                </c:pt>
                <c:pt idx="397">
                  <c:v>44113</c:v>
                </c:pt>
                <c:pt idx="398">
                  <c:v>44112</c:v>
                </c:pt>
                <c:pt idx="399">
                  <c:v>44111</c:v>
                </c:pt>
                <c:pt idx="400">
                  <c:v>44110</c:v>
                </c:pt>
                <c:pt idx="401">
                  <c:v>44109</c:v>
                </c:pt>
                <c:pt idx="402">
                  <c:v>44106</c:v>
                </c:pt>
                <c:pt idx="403">
                  <c:v>44105</c:v>
                </c:pt>
                <c:pt idx="404">
                  <c:v>44104</c:v>
                </c:pt>
                <c:pt idx="405">
                  <c:v>44103</c:v>
                </c:pt>
                <c:pt idx="406">
                  <c:v>44102</c:v>
                </c:pt>
                <c:pt idx="407">
                  <c:v>44099</c:v>
                </c:pt>
                <c:pt idx="408">
                  <c:v>44098</c:v>
                </c:pt>
                <c:pt idx="409">
                  <c:v>44097</c:v>
                </c:pt>
                <c:pt idx="410">
                  <c:v>44096</c:v>
                </c:pt>
                <c:pt idx="411">
                  <c:v>44095</c:v>
                </c:pt>
                <c:pt idx="412">
                  <c:v>44092</c:v>
                </c:pt>
                <c:pt idx="413">
                  <c:v>44091</c:v>
                </c:pt>
                <c:pt idx="414">
                  <c:v>44090</c:v>
                </c:pt>
                <c:pt idx="415">
                  <c:v>44089</c:v>
                </c:pt>
                <c:pt idx="416">
                  <c:v>44088</c:v>
                </c:pt>
                <c:pt idx="417">
                  <c:v>44085</c:v>
                </c:pt>
                <c:pt idx="418">
                  <c:v>44084</c:v>
                </c:pt>
                <c:pt idx="419">
                  <c:v>44083</c:v>
                </c:pt>
                <c:pt idx="420">
                  <c:v>44082</c:v>
                </c:pt>
                <c:pt idx="421">
                  <c:v>44081</c:v>
                </c:pt>
                <c:pt idx="422">
                  <c:v>44078</c:v>
                </c:pt>
                <c:pt idx="423">
                  <c:v>44077</c:v>
                </c:pt>
                <c:pt idx="424">
                  <c:v>44076</c:v>
                </c:pt>
                <c:pt idx="425">
                  <c:v>44075</c:v>
                </c:pt>
                <c:pt idx="426">
                  <c:v>44074</c:v>
                </c:pt>
                <c:pt idx="427">
                  <c:v>44071</c:v>
                </c:pt>
                <c:pt idx="428">
                  <c:v>44070</c:v>
                </c:pt>
                <c:pt idx="429">
                  <c:v>44069</c:v>
                </c:pt>
                <c:pt idx="430">
                  <c:v>44068</c:v>
                </c:pt>
                <c:pt idx="431">
                  <c:v>44067</c:v>
                </c:pt>
                <c:pt idx="432">
                  <c:v>44064</c:v>
                </c:pt>
                <c:pt idx="433">
                  <c:v>44063</c:v>
                </c:pt>
                <c:pt idx="434">
                  <c:v>44062</c:v>
                </c:pt>
                <c:pt idx="435">
                  <c:v>44061</c:v>
                </c:pt>
                <c:pt idx="436">
                  <c:v>44060</c:v>
                </c:pt>
                <c:pt idx="437">
                  <c:v>44057</c:v>
                </c:pt>
                <c:pt idx="438">
                  <c:v>44056</c:v>
                </c:pt>
                <c:pt idx="439">
                  <c:v>44055</c:v>
                </c:pt>
                <c:pt idx="440">
                  <c:v>44054</c:v>
                </c:pt>
                <c:pt idx="441">
                  <c:v>44053</c:v>
                </c:pt>
                <c:pt idx="442">
                  <c:v>44050</c:v>
                </c:pt>
                <c:pt idx="443">
                  <c:v>44049</c:v>
                </c:pt>
                <c:pt idx="444">
                  <c:v>44048</c:v>
                </c:pt>
                <c:pt idx="445">
                  <c:v>44047</c:v>
                </c:pt>
                <c:pt idx="446">
                  <c:v>44046</c:v>
                </c:pt>
                <c:pt idx="447">
                  <c:v>44043</c:v>
                </c:pt>
                <c:pt idx="448">
                  <c:v>44042</c:v>
                </c:pt>
                <c:pt idx="449">
                  <c:v>44041</c:v>
                </c:pt>
                <c:pt idx="450">
                  <c:v>44040</c:v>
                </c:pt>
                <c:pt idx="451">
                  <c:v>44039</c:v>
                </c:pt>
                <c:pt idx="452">
                  <c:v>44036</c:v>
                </c:pt>
                <c:pt idx="453">
                  <c:v>44035</c:v>
                </c:pt>
                <c:pt idx="454">
                  <c:v>44034</c:v>
                </c:pt>
                <c:pt idx="455">
                  <c:v>44033</c:v>
                </c:pt>
                <c:pt idx="456">
                  <c:v>44032</c:v>
                </c:pt>
                <c:pt idx="457">
                  <c:v>44029</c:v>
                </c:pt>
                <c:pt idx="458">
                  <c:v>44028</c:v>
                </c:pt>
                <c:pt idx="459">
                  <c:v>44027</c:v>
                </c:pt>
                <c:pt idx="460">
                  <c:v>44026</c:v>
                </c:pt>
                <c:pt idx="461">
                  <c:v>44025</c:v>
                </c:pt>
                <c:pt idx="462">
                  <c:v>44022</c:v>
                </c:pt>
                <c:pt idx="463">
                  <c:v>44021</c:v>
                </c:pt>
                <c:pt idx="464">
                  <c:v>44020</c:v>
                </c:pt>
                <c:pt idx="465">
                  <c:v>44019</c:v>
                </c:pt>
                <c:pt idx="466">
                  <c:v>44018</c:v>
                </c:pt>
                <c:pt idx="467">
                  <c:v>44015</c:v>
                </c:pt>
                <c:pt idx="468">
                  <c:v>44014</c:v>
                </c:pt>
                <c:pt idx="469">
                  <c:v>44013</c:v>
                </c:pt>
                <c:pt idx="470">
                  <c:v>44012</c:v>
                </c:pt>
                <c:pt idx="471">
                  <c:v>44011</c:v>
                </c:pt>
                <c:pt idx="472">
                  <c:v>44008</c:v>
                </c:pt>
                <c:pt idx="473">
                  <c:v>44007</c:v>
                </c:pt>
                <c:pt idx="474">
                  <c:v>44006</c:v>
                </c:pt>
                <c:pt idx="475">
                  <c:v>44005</c:v>
                </c:pt>
                <c:pt idx="476">
                  <c:v>44004</c:v>
                </c:pt>
                <c:pt idx="477">
                  <c:v>44001</c:v>
                </c:pt>
                <c:pt idx="478">
                  <c:v>44000</c:v>
                </c:pt>
                <c:pt idx="479">
                  <c:v>43999</c:v>
                </c:pt>
                <c:pt idx="480">
                  <c:v>43998</c:v>
                </c:pt>
                <c:pt idx="481">
                  <c:v>43997</c:v>
                </c:pt>
                <c:pt idx="482">
                  <c:v>43994</c:v>
                </c:pt>
                <c:pt idx="483">
                  <c:v>43993</c:v>
                </c:pt>
                <c:pt idx="484">
                  <c:v>43992</c:v>
                </c:pt>
                <c:pt idx="485">
                  <c:v>43991</c:v>
                </c:pt>
                <c:pt idx="486">
                  <c:v>43990</c:v>
                </c:pt>
                <c:pt idx="487">
                  <c:v>43987</c:v>
                </c:pt>
                <c:pt idx="488">
                  <c:v>43986</c:v>
                </c:pt>
                <c:pt idx="489">
                  <c:v>43985</c:v>
                </c:pt>
                <c:pt idx="490">
                  <c:v>43984</c:v>
                </c:pt>
                <c:pt idx="491">
                  <c:v>43983</c:v>
                </c:pt>
                <c:pt idx="492">
                  <c:v>43980</c:v>
                </c:pt>
                <c:pt idx="493">
                  <c:v>43979</c:v>
                </c:pt>
                <c:pt idx="494">
                  <c:v>43978</c:v>
                </c:pt>
                <c:pt idx="495">
                  <c:v>43977</c:v>
                </c:pt>
                <c:pt idx="496">
                  <c:v>43976</c:v>
                </c:pt>
                <c:pt idx="497">
                  <c:v>43973</c:v>
                </c:pt>
                <c:pt idx="498">
                  <c:v>43972</c:v>
                </c:pt>
                <c:pt idx="499">
                  <c:v>43971</c:v>
                </c:pt>
                <c:pt idx="500">
                  <c:v>43970</c:v>
                </c:pt>
                <c:pt idx="501">
                  <c:v>43969</c:v>
                </c:pt>
                <c:pt idx="502">
                  <c:v>43966</c:v>
                </c:pt>
                <c:pt idx="503">
                  <c:v>43965</c:v>
                </c:pt>
                <c:pt idx="504">
                  <c:v>43964</c:v>
                </c:pt>
                <c:pt idx="505">
                  <c:v>43963</c:v>
                </c:pt>
                <c:pt idx="506">
                  <c:v>43962</c:v>
                </c:pt>
                <c:pt idx="507">
                  <c:v>43959</c:v>
                </c:pt>
                <c:pt idx="508">
                  <c:v>43958</c:v>
                </c:pt>
                <c:pt idx="509">
                  <c:v>43957</c:v>
                </c:pt>
                <c:pt idx="510">
                  <c:v>43956</c:v>
                </c:pt>
                <c:pt idx="511">
                  <c:v>43955</c:v>
                </c:pt>
                <c:pt idx="512">
                  <c:v>43951</c:v>
                </c:pt>
                <c:pt idx="513">
                  <c:v>43950</c:v>
                </c:pt>
                <c:pt idx="514">
                  <c:v>43949</c:v>
                </c:pt>
                <c:pt idx="515">
                  <c:v>43948</c:v>
                </c:pt>
                <c:pt idx="516">
                  <c:v>43945</c:v>
                </c:pt>
                <c:pt idx="517">
                  <c:v>43944</c:v>
                </c:pt>
                <c:pt idx="518">
                  <c:v>43943</c:v>
                </c:pt>
                <c:pt idx="519">
                  <c:v>43942</c:v>
                </c:pt>
                <c:pt idx="520">
                  <c:v>43941</c:v>
                </c:pt>
                <c:pt idx="521">
                  <c:v>43938</c:v>
                </c:pt>
                <c:pt idx="522">
                  <c:v>43937</c:v>
                </c:pt>
                <c:pt idx="523">
                  <c:v>43936</c:v>
                </c:pt>
                <c:pt idx="524">
                  <c:v>43935</c:v>
                </c:pt>
                <c:pt idx="525">
                  <c:v>43930</c:v>
                </c:pt>
                <c:pt idx="526">
                  <c:v>43929</c:v>
                </c:pt>
                <c:pt idx="527">
                  <c:v>43928</c:v>
                </c:pt>
                <c:pt idx="528">
                  <c:v>43927</c:v>
                </c:pt>
                <c:pt idx="529">
                  <c:v>43924</c:v>
                </c:pt>
                <c:pt idx="530">
                  <c:v>43923</c:v>
                </c:pt>
                <c:pt idx="531">
                  <c:v>43922</c:v>
                </c:pt>
                <c:pt idx="532">
                  <c:v>43921</c:v>
                </c:pt>
                <c:pt idx="533">
                  <c:v>43920</c:v>
                </c:pt>
                <c:pt idx="534">
                  <c:v>43917</c:v>
                </c:pt>
                <c:pt idx="535">
                  <c:v>43916</c:v>
                </c:pt>
                <c:pt idx="536">
                  <c:v>43915</c:v>
                </c:pt>
                <c:pt idx="537">
                  <c:v>43914</c:v>
                </c:pt>
                <c:pt idx="538">
                  <c:v>43913</c:v>
                </c:pt>
                <c:pt idx="539">
                  <c:v>43910</c:v>
                </c:pt>
                <c:pt idx="540">
                  <c:v>43909</c:v>
                </c:pt>
                <c:pt idx="541">
                  <c:v>43908</c:v>
                </c:pt>
                <c:pt idx="542">
                  <c:v>43907</c:v>
                </c:pt>
                <c:pt idx="543">
                  <c:v>43906</c:v>
                </c:pt>
                <c:pt idx="544">
                  <c:v>43903</c:v>
                </c:pt>
                <c:pt idx="545">
                  <c:v>43902</c:v>
                </c:pt>
                <c:pt idx="546">
                  <c:v>43901</c:v>
                </c:pt>
                <c:pt idx="547">
                  <c:v>43900</c:v>
                </c:pt>
                <c:pt idx="548">
                  <c:v>43899</c:v>
                </c:pt>
                <c:pt idx="549">
                  <c:v>43896</c:v>
                </c:pt>
                <c:pt idx="550">
                  <c:v>43895</c:v>
                </c:pt>
                <c:pt idx="551">
                  <c:v>43894</c:v>
                </c:pt>
                <c:pt idx="552">
                  <c:v>43893</c:v>
                </c:pt>
                <c:pt idx="553">
                  <c:v>43892</c:v>
                </c:pt>
                <c:pt idx="554">
                  <c:v>43889</c:v>
                </c:pt>
                <c:pt idx="555">
                  <c:v>43888</c:v>
                </c:pt>
                <c:pt idx="556">
                  <c:v>43887</c:v>
                </c:pt>
                <c:pt idx="557">
                  <c:v>43886</c:v>
                </c:pt>
                <c:pt idx="558">
                  <c:v>43885</c:v>
                </c:pt>
                <c:pt idx="559">
                  <c:v>43882</c:v>
                </c:pt>
                <c:pt idx="560">
                  <c:v>43881</c:v>
                </c:pt>
                <c:pt idx="561">
                  <c:v>43880</c:v>
                </c:pt>
                <c:pt idx="562">
                  <c:v>43879</c:v>
                </c:pt>
                <c:pt idx="563">
                  <c:v>43878</c:v>
                </c:pt>
                <c:pt idx="564">
                  <c:v>43875</c:v>
                </c:pt>
                <c:pt idx="565">
                  <c:v>43874</c:v>
                </c:pt>
                <c:pt idx="566">
                  <c:v>43873</c:v>
                </c:pt>
                <c:pt idx="567">
                  <c:v>43872</c:v>
                </c:pt>
                <c:pt idx="568">
                  <c:v>43871</c:v>
                </c:pt>
                <c:pt idx="569">
                  <c:v>43868</c:v>
                </c:pt>
                <c:pt idx="570">
                  <c:v>43867</c:v>
                </c:pt>
                <c:pt idx="571">
                  <c:v>43866</c:v>
                </c:pt>
                <c:pt idx="572">
                  <c:v>43865</c:v>
                </c:pt>
                <c:pt idx="573">
                  <c:v>43864</c:v>
                </c:pt>
                <c:pt idx="574">
                  <c:v>43861</c:v>
                </c:pt>
                <c:pt idx="575">
                  <c:v>43860</c:v>
                </c:pt>
                <c:pt idx="576">
                  <c:v>43859</c:v>
                </c:pt>
                <c:pt idx="577">
                  <c:v>43858</c:v>
                </c:pt>
                <c:pt idx="578">
                  <c:v>43857</c:v>
                </c:pt>
                <c:pt idx="579">
                  <c:v>43854</c:v>
                </c:pt>
                <c:pt idx="580">
                  <c:v>43853</c:v>
                </c:pt>
              </c:numCache>
            </c:numRef>
          </c:cat>
          <c:val>
            <c:numRef>
              <c:f>'[Hartije od vrednosti na medjunarodnom trzistu SAJT 04.04.2022 (00000002).xlsx]EUROBOND 2029 offline'!$C$6:$C$586</c:f>
              <c:numCache>
                <c:formatCode>#,##0.000</c:formatCode>
                <c:ptCount val="581"/>
                <c:pt idx="0">
                  <c:v>4.9740000000000002</c:v>
                </c:pt>
                <c:pt idx="1">
                  <c:v>4.907</c:v>
                </c:pt>
                <c:pt idx="2">
                  <c:v>4.8380000000000001</c:v>
                </c:pt>
                <c:pt idx="3">
                  <c:v>4.7469999999999999</c:v>
                </c:pt>
                <c:pt idx="4">
                  <c:v>4.6189999999999998</c:v>
                </c:pt>
                <c:pt idx="5">
                  <c:v>4.5549999999999997</c:v>
                </c:pt>
                <c:pt idx="6">
                  <c:v>4.5119999999999996</c:v>
                </c:pt>
                <c:pt idx="7">
                  <c:v>4.3769999999999998</c:v>
                </c:pt>
                <c:pt idx="8">
                  <c:v>4.3440000000000003</c:v>
                </c:pt>
                <c:pt idx="9">
                  <c:v>4.2830000000000004</c:v>
                </c:pt>
                <c:pt idx="10">
                  <c:v>4.1639999999999997</c:v>
                </c:pt>
                <c:pt idx="11">
                  <c:v>4.0430000000000001</c:v>
                </c:pt>
                <c:pt idx="12">
                  <c:v>3.996</c:v>
                </c:pt>
                <c:pt idx="13">
                  <c:v>3.9580000000000002</c:v>
                </c:pt>
                <c:pt idx="14">
                  <c:v>3.9060000000000001</c:v>
                </c:pt>
                <c:pt idx="15">
                  <c:v>3.8620000000000001</c:v>
                </c:pt>
                <c:pt idx="16">
                  <c:v>3.8889999999999998</c:v>
                </c:pt>
                <c:pt idx="17">
                  <c:v>3.8879999999999999</c:v>
                </c:pt>
                <c:pt idx="18">
                  <c:v>4.0049999999999999</c:v>
                </c:pt>
                <c:pt idx="19">
                  <c:v>4.0039999999999996</c:v>
                </c:pt>
                <c:pt idx="20">
                  <c:v>4.0119999999999996</c:v>
                </c:pt>
                <c:pt idx="21">
                  <c:v>3.9649999999999999</c:v>
                </c:pt>
                <c:pt idx="22">
                  <c:v>3.9489999999999998</c:v>
                </c:pt>
                <c:pt idx="23">
                  <c:v>3.8849999999999998</c:v>
                </c:pt>
                <c:pt idx="24">
                  <c:v>3.8479999999999999</c:v>
                </c:pt>
                <c:pt idx="25">
                  <c:v>3.74</c:v>
                </c:pt>
                <c:pt idx="26">
                  <c:v>3.7959999999999998</c:v>
                </c:pt>
                <c:pt idx="27">
                  <c:v>3.8610000000000002</c:v>
                </c:pt>
                <c:pt idx="28">
                  <c:v>4.2389999999999999</c:v>
                </c:pt>
                <c:pt idx="29">
                  <c:v>4.8780000000000001</c:v>
                </c:pt>
                <c:pt idx="30">
                  <c:v>4.976</c:v>
                </c:pt>
                <c:pt idx="31">
                  <c:v>4.9729999999999999</c:v>
                </c:pt>
                <c:pt idx="32">
                  <c:v>4.96</c:v>
                </c:pt>
                <c:pt idx="33">
                  <c:v>4.9470000000000001</c:v>
                </c:pt>
                <c:pt idx="34">
                  <c:v>4.9649999999999999</c:v>
                </c:pt>
                <c:pt idx="35">
                  <c:v>4.7160000000000002</c:v>
                </c:pt>
                <c:pt idx="36">
                  <c:v>4.3819999999999997</c:v>
                </c:pt>
                <c:pt idx="37">
                  <c:v>4.0890000000000004</c:v>
                </c:pt>
                <c:pt idx="38">
                  <c:v>4.0209999999999999</c:v>
                </c:pt>
                <c:pt idx="39">
                  <c:v>3.9340000000000002</c:v>
                </c:pt>
                <c:pt idx="40">
                  <c:v>3.8119999999999998</c:v>
                </c:pt>
                <c:pt idx="41">
                  <c:v>3.5339999999999998</c:v>
                </c:pt>
                <c:pt idx="42">
                  <c:v>3.859</c:v>
                </c:pt>
                <c:pt idx="43">
                  <c:v>3.3220000000000001</c:v>
                </c:pt>
                <c:pt idx="44">
                  <c:v>3.0979999999999999</c:v>
                </c:pt>
                <c:pt idx="45">
                  <c:v>3.01</c:v>
                </c:pt>
                <c:pt idx="46">
                  <c:v>2.9849999999999999</c:v>
                </c:pt>
                <c:pt idx="47">
                  <c:v>2.9540000000000002</c:v>
                </c:pt>
                <c:pt idx="48">
                  <c:v>2.94</c:v>
                </c:pt>
                <c:pt idx="49">
                  <c:v>2.9620000000000002</c:v>
                </c:pt>
                <c:pt idx="50">
                  <c:v>2.956</c:v>
                </c:pt>
                <c:pt idx="51">
                  <c:v>2.8919999999999999</c:v>
                </c:pt>
                <c:pt idx="52">
                  <c:v>2.806</c:v>
                </c:pt>
                <c:pt idx="53">
                  <c:v>2.7509999999999999</c:v>
                </c:pt>
                <c:pt idx="54">
                  <c:v>2.86</c:v>
                </c:pt>
                <c:pt idx="55">
                  <c:v>2.786</c:v>
                </c:pt>
                <c:pt idx="56">
                  <c:v>2.5449999999999999</c:v>
                </c:pt>
                <c:pt idx="57">
                  <c:v>2.3479999999999999</c:v>
                </c:pt>
                <c:pt idx="58">
                  <c:v>2.2559999999999998</c:v>
                </c:pt>
                <c:pt idx="59">
                  <c:v>2.2559999999999998</c:v>
                </c:pt>
                <c:pt idx="60">
                  <c:v>2.238</c:v>
                </c:pt>
                <c:pt idx="61">
                  <c:v>2.2130000000000001</c:v>
                </c:pt>
                <c:pt idx="62">
                  <c:v>2.21</c:v>
                </c:pt>
                <c:pt idx="63">
                  <c:v>2.1909999999999998</c:v>
                </c:pt>
                <c:pt idx="64">
                  <c:v>2.2330000000000001</c:v>
                </c:pt>
                <c:pt idx="65">
                  <c:v>2.238</c:v>
                </c:pt>
                <c:pt idx="66">
                  <c:v>2.2229999999999999</c:v>
                </c:pt>
                <c:pt idx="67">
                  <c:v>2.2690000000000001</c:v>
                </c:pt>
                <c:pt idx="68">
                  <c:v>2.2770000000000001</c:v>
                </c:pt>
                <c:pt idx="69">
                  <c:v>2.2370000000000001</c:v>
                </c:pt>
                <c:pt idx="70">
                  <c:v>2.1800000000000002</c:v>
                </c:pt>
                <c:pt idx="71">
                  <c:v>2.153</c:v>
                </c:pt>
                <c:pt idx="72">
                  <c:v>2.1040000000000001</c:v>
                </c:pt>
                <c:pt idx="73">
                  <c:v>2.0950000000000002</c:v>
                </c:pt>
                <c:pt idx="74">
                  <c:v>2.0990000000000002</c:v>
                </c:pt>
                <c:pt idx="75">
                  <c:v>2.0960000000000001</c:v>
                </c:pt>
                <c:pt idx="76">
                  <c:v>2.032</c:v>
                </c:pt>
                <c:pt idx="77">
                  <c:v>2.0110000000000001</c:v>
                </c:pt>
                <c:pt idx="78">
                  <c:v>1.9610000000000001</c:v>
                </c:pt>
                <c:pt idx="79">
                  <c:v>1.9550000000000001</c:v>
                </c:pt>
                <c:pt idx="80">
                  <c:v>1.9490000000000001</c:v>
                </c:pt>
                <c:pt idx="81">
                  <c:v>1.9410000000000001</c:v>
                </c:pt>
                <c:pt idx="82">
                  <c:v>1.9390000000000001</c:v>
                </c:pt>
                <c:pt idx="83">
                  <c:v>1.9359999999999999</c:v>
                </c:pt>
                <c:pt idx="84">
                  <c:v>1.929</c:v>
                </c:pt>
                <c:pt idx="85">
                  <c:v>1.9279999999999999</c:v>
                </c:pt>
                <c:pt idx="86">
                  <c:v>1.9339999999999999</c:v>
                </c:pt>
                <c:pt idx="87">
                  <c:v>1.94</c:v>
                </c:pt>
                <c:pt idx="88">
                  <c:v>1.9259999999999999</c:v>
                </c:pt>
                <c:pt idx="89">
                  <c:v>1.917</c:v>
                </c:pt>
                <c:pt idx="90">
                  <c:v>1.905</c:v>
                </c:pt>
                <c:pt idx="91">
                  <c:v>1.8979999999999999</c:v>
                </c:pt>
                <c:pt idx="92">
                  <c:v>1.9370000000000001</c:v>
                </c:pt>
                <c:pt idx="93">
                  <c:v>1.9770000000000001</c:v>
                </c:pt>
                <c:pt idx="94">
                  <c:v>1.988</c:v>
                </c:pt>
                <c:pt idx="95">
                  <c:v>1.996</c:v>
                </c:pt>
                <c:pt idx="96">
                  <c:v>1.9910000000000001</c:v>
                </c:pt>
                <c:pt idx="97">
                  <c:v>1.9790000000000001</c:v>
                </c:pt>
                <c:pt idx="98">
                  <c:v>1.974</c:v>
                </c:pt>
                <c:pt idx="99">
                  <c:v>1.946</c:v>
                </c:pt>
                <c:pt idx="100">
                  <c:v>1.9770000000000001</c:v>
                </c:pt>
                <c:pt idx="101">
                  <c:v>1.98</c:v>
                </c:pt>
                <c:pt idx="102">
                  <c:v>2.0259999999999998</c:v>
                </c:pt>
                <c:pt idx="103">
                  <c:v>2.1739999999999999</c:v>
                </c:pt>
                <c:pt idx="104">
                  <c:v>2.2450000000000001</c:v>
                </c:pt>
                <c:pt idx="105">
                  <c:v>2.2200000000000002</c:v>
                </c:pt>
                <c:pt idx="106">
                  <c:v>2.1640000000000001</c:v>
                </c:pt>
                <c:pt idx="107">
                  <c:v>2.105</c:v>
                </c:pt>
                <c:pt idx="108">
                  <c:v>2.0680000000000001</c:v>
                </c:pt>
                <c:pt idx="109">
                  <c:v>1.9970000000000001</c:v>
                </c:pt>
                <c:pt idx="110">
                  <c:v>1.88</c:v>
                </c:pt>
                <c:pt idx="111">
                  <c:v>1.833</c:v>
                </c:pt>
                <c:pt idx="112">
                  <c:v>1.8260000000000001</c:v>
                </c:pt>
                <c:pt idx="113">
                  <c:v>1.7949999999999999</c:v>
                </c:pt>
                <c:pt idx="114">
                  <c:v>1.7829999999999999</c:v>
                </c:pt>
                <c:pt idx="115">
                  <c:v>1.76</c:v>
                </c:pt>
                <c:pt idx="116">
                  <c:v>1.7430000000000001</c:v>
                </c:pt>
                <c:pt idx="117">
                  <c:v>1.7390000000000001</c:v>
                </c:pt>
                <c:pt idx="118">
                  <c:v>1.7090000000000001</c:v>
                </c:pt>
                <c:pt idx="119">
                  <c:v>1.677</c:v>
                </c:pt>
                <c:pt idx="120">
                  <c:v>1.6850000000000001</c:v>
                </c:pt>
                <c:pt idx="121">
                  <c:v>1.726</c:v>
                </c:pt>
                <c:pt idx="122">
                  <c:v>1.7509999999999999</c:v>
                </c:pt>
                <c:pt idx="123">
                  <c:v>1.7709999999999999</c:v>
                </c:pt>
                <c:pt idx="124">
                  <c:v>1.77</c:v>
                </c:pt>
                <c:pt idx="125">
                  <c:v>1.7669999999999999</c:v>
                </c:pt>
                <c:pt idx="126">
                  <c:v>1.7569999999999999</c:v>
                </c:pt>
                <c:pt idx="127">
                  <c:v>1.7350000000000001</c:v>
                </c:pt>
                <c:pt idx="128">
                  <c:v>1.74</c:v>
                </c:pt>
                <c:pt idx="129">
                  <c:v>1.7689999999999999</c:v>
                </c:pt>
                <c:pt idx="130">
                  <c:v>1.7769999999999999</c:v>
                </c:pt>
                <c:pt idx="131">
                  <c:v>1.778</c:v>
                </c:pt>
                <c:pt idx="132">
                  <c:v>1.7749999999999999</c:v>
                </c:pt>
                <c:pt idx="133">
                  <c:v>1.7649999999999999</c:v>
                </c:pt>
                <c:pt idx="134">
                  <c:v>1.7470000000000001</c:v>
                </c:pt>
                <c:pt idx="135">
                  <c:v>1.7290000000000001</c:v>
                </c:pt>
                <c:pt idx="136">
                  <c:v>1.714</c:v>
                </c:pt>
                <c:pt idx="137">
                  <c:v>1.704</c:v>
                </c:pt>
                <c:pt idx="138">
                  <c:v>1.762</c:v>
                </c:pt>
                <c:pt idx="139">
                  <c:v>1.7869999999999999</c:v>
                </c:pt>
                <c:pt idx="140">
                  <c:v>1.764</c:v>
                </c:pt>
                <c:pt idx="141">
                  <c:v>1.7330000000000001</c:v>
                </c:pt>
                <c:pt idx="142">
                  <c:v>1.7110000000000001</c:v>
                </c:pt>
                <c:pt idx="143">
                  <c:v>1.732</c:v>
                </c:pt>
                <c:pt idx="144">
                  <c:v>1.702</c:v>
                </c:pt>
                <c:pt idx="145">
                  <c:v>1.6870000000000001</c:v>
                </c:pt>
                <c:pt idx="146">
                  <c:v>1.679</c:v>
                </c:pt>
                <c:pt idx="147">
                  <c:v>1.65</c:v>
                </c:pt>
                <c:pt idx="148">
                  <c:v>1.655</c:v>
                </c:pt>
                <c:pt idx="149">
                  <c:v>1.647</c:v>
                </c:pt>
                <c:pt idx="150">
                  <c:v>1.4910000000000001</c:v>
                </c:pt>
                <c:pt idx="151">
                  <c:v>1.464</c:v>
                </c:pt>
                <c:pt idx="152">
                  <c:v>1.42</c:v>
                </c:pt>
                <c:pt idx="153">
                  <c:v>1.413</c:v>
                </c:pt>
                <c:pt idx="154">
                  <c:v>1.411</c:v>
                </c:pt>
                <c:pt idx="155">
                  <c:v>1.42</c:v>
                </c:pt>
                <c:pt idx="156">
                  <c:v>1.3879999999999999</c:v>
                </c:pt>
                <c:pt idx="157">
                  <c:v>1.419</c:v>
                </c:pt>
                <c:pt idx="158">
                  <c:v>1.42</c:v>
                </c:pt>
                <c:pt idx="159">
                  <c:v>1.417</c:v>
                </c:pt>
                <c:pt idx="160">
                  <c:v>1.349</c:v>
                </c:pt>
                <c:pt idx="161">
                  <c:v>1.325</c:v>
                </c:pt>
                <c:pt idx="162">
                  <c:v>1.3160000000000001</c:v>
                </c:pt>
                <c:pt idx="163">
                  <c:v>1.3129999999999999</c:v>
                </c:pt>
                <c:pt idx="164">
                  <c:v>1.286</c:v>
                </c:pt>
                <c:pt idx="165">
                  <c:v>1.2729999999999999</c:v>
                </c:pt>
                <c:pt idx="166">
                  <c:v>1.272</c:v>
                </c:pt>
                <c:pt idx="167">
                  <c:v>1.266</c:v>
                </c:pt>
                <c:pt idx="168">
                  <c:v>1.266</c:v>
                </c:pt>
                <c:pt idx="169">
                  <c:v>1.2430000000000001</c:v>
                </c:pt>
                <c:pt idx="170">
                  <c:v>1.262</c:v>
                </c:pt>
                <c:pt idx="171">
                  <c:v>1.258</c:v>
                </c:pt>
                <c:pt idx="172">
                  <c:v>1.27</c:v>
                </c:pt>
                <c:pt idx="173">
                  <c:v>1.266</c:v>
                </c:pt>
                <c:pt idx="174">
                  <c:v>1.2629999999999999</c:v>
                </c:pt>
                <c:pt idx="175">
                  <c:v>1.27</c:v>
                </c:pt>
                <c:pt idx="176">
                  <c:v>1.2709999999999999</c:v>
                </c:pt>
                <c:pt idx="177">
                  <c:v>1.274</c:v>
                </c:pt>
                <c:pt idx="178">
                  <c:v>1.27</c:v>
                </c:pt>
                <c:pt idx="179">
                  <c:v>1.27</c:v>
                </c:pt>
                <c:pt idx="180">
                  <c:v>1.2709999999999999</c:v>
                </c:pt>
                <c:pt idx="181">
                  <c:v>1.2669999999999999</c:v>
                </c:pt>
                <c:pt idx="182">
                  <c:v>1.266</c:v>
                </c:pt>
                <c:pt idx="183">
                  <c:v>1.2669999999999999</c:v>
                </c:pt>
                <c:pt idx="184">
                  <c:v>1.262</c:v>
                </c:pt>
                <c:pt idx="185">
                  <c:v>1.256</c:v>
                </c:pt>
                <c:pt idx="186">
                  <c:v>1.2529999999999999</c:v>
                </c:pt>
                <c:pt idx="187">
                  <c:v>1.24</c:v>
                </c:pt>
                <c:pt idx="188">
                  <c:v>1.2689999999999999</c:v>
                </c:pt>
                <c:pt idx="189">
                  <c:v>1.282</c:v>
                </c:pt>
                <c:pt idx="190">
                  <c:v>1.2989999999999999</c:v>
                </c:pt>
                <c:pt idx="191">
                  <c:v>1.3180000000000001</c:v>
                </c:pt>
                <c:pt idx="192">
                  <c:v>1.32</c:v>
                </c:pt>
                <c:pt idx="193">
                  <c:v>1.323</c:v>
                </c:pt>
                <c:pt idx="194">
                  <c:v>1.325</c:v>
                </c:pt>
                <c:pt idx="195">
                  <c:v>1.3240000000000001</c:v>
                </c:pt>
                <c:pt idx="196">
                  <c:v>1.325</c:v>
                </c:pt>
                <c:pt idx="197">
                  <c:v>1.33</c:v>
                </c:pt>
                <c:pt idx="198">
                  <c:v>1.337</c:v>
                </c:pt>
                <c:pt idx="199">
                  <c:v>1.339</c:v>
                </c:pt>
                <c:pt idx="200">
                  <c:v>1.3420000000000001</c:v>
                </c:pt>
                <c:pt idx="201">
                  <c:v>1.34</c:v>
                </c:pt>
                <c:pt idx="202">
                  <c:v>1.3460000000000001</c:v>
                </c:pt>
                <c:pt idx="203">
                  <c:v>1.3540000000000001</c:v>
                </c:pt>
                <c:pt idx="204">
                  <c:v>1.355</c:v>
                </c:pt>
                <c:pt idx="205">
                  <c:v>1.3560000000000001</c:v>
                </c:pt>
                <c:pt idx="206">
                  <c:v>1.3580000000000001</c:v>
                </c:pt>
                <c:pt idx="207">
                  <c:v>1.36</c:v>
                </c:pt>
                <c:pt idx="208">
                  <c:v>1.3580000000000001</c:v>
                </c:pt>
                <c:pt idx="209">
                  <c:v>1.365</c:v>
                </c:pt>
                <c:pt idx="210">
                  <c:v>1.3640000000000001</c:v>
                </c:pt>
                <c:pt idx="211">
                  <c:v>1.365</c:v>
                </c:pt>
                <c:pt idx="212">
                  <c:v>1.37</c:v>
                </c:pt>
                <c:pt idx="213">
                  <c:v>1.375</c:v>
                </c:pt>
                <c:pt idx="214">
                  <c:v>1.383</c:v>
                </c:pt>
                <c:pt idx="215">
                  <c:v>1.3859999999999999</c:v>
                </c:pt>
                <c:pt idx="216">
                  <c:v>1.389</c:v>
                </c:pt>
                <c:pt idx="217">
                  <c:v>1.39</c:v>
                </c:pt>
                <c:pt idx="218">
                  <c:v>1.3939999999999999</c:v>
                </c:pt>
                <c:pt idx="219">
                  <c:v>1.4019999999999999</c:v>
                </c:pt>
                <c:pt idx="220">
                  <c:v>1.391</c:v>
                </c:pt>
                <c:pt idx="221">
                  <c:v>1.391</c:v>
                </c:pt>
                <c:pt idx="222">
                  <c:v>1.3919999999999999</c:v>
                </c:pt>
                <c:pt idx="223">
                  <c:v>1.3720000000000001</c:v>
                </c:pt>
                <c:pt idx="224">
                  <c:v>1.3819999999999999</c:v>
                </c:pt>
                <c:pt idx="225">
                  <c:v>1.365</c:v>
                </c:pt>
                <c:pt idx="226">
                  <c:v>1.369</c:v>
                </c:pt>
                <c:pt idx="227">
                  <c:v>1.415</c:v>
                </c:pt>
                <c:pt idx="228">
                  <c:v>1.4330000000000001</c:v>
                </c:pt>
                <c:pt idx="229">
                  <c:v>1.4630000000000001</c:v>
                </c:pt>
                <c:pt idx="230">
                  <c:v>1.4930000000000001</c:v>
                </c:pt>
                <c:pt idx="231">
                  <c:v>1.4970000000000001</c:v>
                </c:pt>
                <c:pt idx="232">
                  <c:v>1.506</c:v>
                </c:pt>
                <c:pt idx="233">
                  <c:v>1.5109999999999999</c:v>
                </c:pt>
                <c:pt idx="234">
                  <c:v>1.5169999999999999</c:v>
                </c:pt>
                <c:pt idx="235">
                  <c:v>1.522</c:v>
                </c:pt>
                <c:pt idx="236">
                  <c:v>1.5229999999999999</c:v>
                </c:pt>
                <c:pt idx="237">
                  <c:v>1.526</c:v>
                </c:pt>
                <c:pt idx="238">
                  <c:v>1.55</c:v>
                </c:pt>
                <c:pt idx="239">
                  <c:v>1.577</c:v>
                </c:pt>
                <c:pt idx="240">
                  <c:v>1.585</c:v>
                </c:pt>
                <c:pt idx="241">
                  <c:v>1.59</c:v>
                </c:pt>
                <c:pt idx="242">
                  <c:v>1.609</c:v>
                </c:pt>
                <c:pt idx="243">
                  <c:v>1.6180000000000001</c:v>
                </c:pt>
                <c:pt idx="244">
                  <c:v>1.589</c:v>
                </c:pt>
                <c:pt idx="245">
                  <c:v>1.5569999999999999</c:v>
                </c:pt>
                <c:pt idx="246">
                  <c:v>1.55</c:v>
                </c:pt>
                <c:pt idx="247">
                  <c:v>1.5509999999999999</c:v>
                </c:pt>
                <c:pt idx="248">
                  <c:v>1.526</c:v>
                </c:pt>
                <c:pt idx="249">
                  <c:v>1.496</c:v>
                </c:pt>
                <c:pt idx="250">
                  <c:v>1.4830000000000001</c:v>
                </c:pt>
                <c:pt idx="251">
                  <c:v>1.494</c:v>
                </c:pt>
                <c:pt idx="252">
                  <c:v>1.5249999999999999</c:v>
                </c:pt>
                <c:pt idx="253">
                  <c:v>1.5649999999999999</c:v>
                </c:pt>
                <c:pt idx="254">
                  <c:v>1.5960000000000001</c:v>
                </c:pt>
                <c:pt idx="255">
                  <c:v>1.6</c:v>
                </c:pt>
                <c:pt idx="256">
                  <c:v>1.601</c:v>
                </c:pt>
                <c:pt idx="257">
                  <c:v>1.593</c:v>
                </c:pt>
                <c:pt idx="258">
                  <c:v>1.5740000000000001</c:v>
                </c:pt>
                <c:pt idx="259">
                  <c:v>1.5129999999999999</c:v>
                </c:pt>
                <c:pt idx="260">
                  <c:v>1.492</c:v>
                </c:pt>
                <c:pt idx="261">
                  <c:v>1.4690000000000001</c:v>
                </c:pt>
                <c:pt idx="262">
                  <c:v>1.4630000000000001</c:v>
                </c:pt>
                <c:pt idx="263">
                  <c:v>1.4470000000000001</c:v>
                </c:pt>
                <c:pt idx="264">
                  <c:v>1.4359999999999999</c:v>
                </c:pt>
                <c:pt idx="265">
                  <c:v>1.415</c:v>
                </c:pt>
                <c:pt idx="266">
                  <c:v>1.417</c:v>
                </c:pt>
                <c:pt idx="267">
                  <c:v>1.415</c:v>
                </c:pt>
                <c:pt idx="268">
                  <c:v>1.41</c:v>
                </c:pt>
                <c:pt idx="269">
                  <c:v>1.4119999999999999</c:v>
                </c:pt>
                <c:pt idx="270">
                  <c:v>1.4059999999999999</c:v>
                </c:pt>
                <c:pt idx="271">
                  <c:v>1.4079999999999999</c:v>
                </c:pt>
                <c:pt idx="272">
                  <c:v>1.4079999999999999</c:v>
                </c:pt>
                <c:pt idx="273">
                  <c:v>1.4139999999999999</c:v>
                </c:pt>
                <c:pt idx="274">
                  <c:v>1.4279999999999999</c:v>
                </c:pt>
                <c:pt idx="275">
                  <c:v>1.4379999999999999</c:v>
                </c:pt>
                <c:pt idx="276">
                  <c:v>1.4530000000000001</c:v>
                </c:pt>
                <c:pt idx="277">
                  <c:v>1.4530000000000001</c:v>
                </c:pt>
                <c:pt idx="278">
                  <c:v>1.4339999999999999</c:v>
                </c:pt>
                <c:pt idx="279">
                  <c:v>1.43</c:v>
                </c:pt>
                <c:pt idx="280">
                  <c:v>1.4279999999999999</c:v>
                </c:pt>
                <c:pt idx="281">
                  <c:v>1.4239999999999999</c:v>
                </c:pt>
                <c:pt idx="282">
                  <c:v>1.4259999999999999</c:v>
                </c:pt>
                <c:pt idx="283">
                  <c:v>1.427</c:v>
                </c:pt>
                <c:pt idx="284">
                  <c:v>1.43</c:v>
                </c:pt>
                <c:pt idx="285">
                  <c:v>1.43</c:v>
                </c:pt>
                <c:pt idx="286">
                  <c:v>1.4139999999999999</c:v>
                </c:pt>
                <c:pt idx="287">
                  <c:v>1.4039999999999999</c:v>
                </c:pt>
                <c:pt idx="288">
                  <c:v>1.4159999999999999</c:v>
                </c:pt>
                <c:pt idx="289">
                  <c:v>1.4239999999999999</c:v>
                </c:pt>
                <c:pt idx="290">
                  <c:v>1.41</c:v>
                </c:pt>
                <c:pt idx="291">
                  <c:v>1.4730000000000001</c:v>
                </c:pt>
                <c:pt idx="292">
                  <c:v>1.4790000000000001</c:v>
                </c:pt>
                <c:pt idx="293">
                  <c:v>1.494</c:v>
                </c:pt>
                <c:pt idx="294">
                  <c:v>1.4450000000000001</c:v>
                </c:pt>
                <c:pt idx="295">
                  <c:v>1.419</c:v>
                </c:pt>
                <c:pt idx="296">
                  <c:v>1.405</c:v>
                </c:pt>
                <c:pt idx="297">
                  <c:v>1.3859999999999999</c:v>
                </c:pt>
                <c:pt idx="298">
                  <c:v>1.4019999999999999</c:v>
                </c:pt>
                <c:pt idx="299">
                  <c:v>1.431</c:v>
                </c:pt>
                <c:pt idx="300">
                  <c:v>1.4119999999999999</c:v>
                </c:pt>
                <c:pt idx="301">
                  <c:v>1.3839999999999999</c:v>
                </c:pt>
                <c:pt idx="302">
                  <c:v>1.3109999999999999</c:v>
                </c:pt>
                <c:pt idx="303">
                  <c:v>1.3069999999999999</c:v>
                </c:pt>
                <c:pt idx="304">
                  <c:v>1.2749999999999999</c:v>
                </c:pt>
                <c:pt idx="305">
                  <c:v>1.248</c:v>
                </c:pt>
                <c:pt idx="306">
                  <c:v>1.236</c:v>
                </c:pt>
                <c:pt idx="307">
                  <c:v>1.1930000000000001</c:v>
                </c:pt>
                <c:pt idx="308">
                  <c:v>1.1619999999999999</c:v>
                </c:pt>
                <c:pt idx="309">
                  <c:v>1.1240000000000001</c:v>
                </c:pt>
                <c:pt idx="310">
                  <c:v>1.107</c:v>
                </c:pt>
                <c:pt idx="311">
                  <c:v>1.1020000000000001</c:v>
                </c:pt>
                <c:pt idx="312">
                  <c:v>1.0960000000000001</c:v>
                </c:pt>
                <c:pt idx="313">
                  <c:v>1.0880000000000001</c:v>
                </c:pt>
                <c:pt idx="314">
                  <c:v>1.083</c:v>
                </c:pt>
                <c:pt idx="315">
                  <c:v>1.1080000000000001</c:v>
                </c:pt>
                <c:pt idx="316">
                  <c:v>1.135</c:v>
                </c:pt>
                <c:pt idx="317">
                  <c:v>1.1459999999999999</c:v>
                </c:pt>
                <c:pt idx="318">
                  <c:v>1.1539999999999999</c:v>
                </c:pt>
                <c:pt idx="319">
                  <c:v>1.179</c:v>
                </c:pt>
                <c:pt idx="320">
                  <c:v>1.1910000000000001</c:v>
                </c:pt>
                <c:pt idx="321">
                  <c:v>1.2030000000000001</c:v>
                </c:pt>
                <c:pt idx="322">
                  <c:v>1.1930000000000001</c:v>
                </c:pt>
                <c:pt idx="323">
                  <c:v>1.1919999999999999</c:v>
                </c:pt>
                <c:pt idx="324">
                  <c:v>1.19</c:v>
                </c:pt>
                <c:pt idx="325">
                  <c:v>1.1739999999999999</c:v>
                </c:pt>
                <c:pt idx="326">
                  <c:v>1.1359999999999999</c:v>
                </c:pt>
                <c:pt idx="327">
                  <c:v>1.109</c:v>
                </c:pt>
                <c:pt idx="328">
                  <c:v>1.087</c:v>
                </c:pt>
                <c:pt idx="329">
                  <c:v>1.07</c:v>
                </c:pt>
                <c:pt idx="330">
                  <c:v>1.048</c:v>
                </c:pt>
                <c:pt idx="331">
                  <c:v>1.0669999999999999</c:v>
                </c:pt>
                <c:pt idx="332">
                  <c:v>1.091</c:v>
                </c:pt>
                <c:pt idx="333">
                  <c:v>1.028</c:v>
                </c:pt>
                <c:pt idx="334">
                  <c:v>1.014</c:v>
                </c:pt>
                <c:pt idx="335">
                  <c:v>1.0029999999999999</c:v>
                </c:pt>
                <c:pt idx="336">
                  <c:v>0.96099999999999997</c:v>
                </c:pt>
                <c:pt idx="337">
                  <c:v>0.93799999999999994</c:v>
                </c:pt>
                <c:pt idx="338">
                  <c:v>0.94099999999999995</c:v>
                </c:pt>
                <c:pt idx="339">
                  <c:v>1.048</c:v>
                </c:pt>
                <c:pt idx="340">
                  <c:v>1.0609999999999999</c:v>
                </c:pt>
                <c:pt idx="341">
                  <c:v>1.0680000000000001</c:v>
                </c:pt>
                <c:pt idx="342">
                  <c:v>1.0740000000000001</c:v>
                </c:pt>
                <c:pt idx="343">
                  <c:v>1.0860000000000001</c:v>
                </c:pt>
                <c:pt idx="344">
                  <c:v>1.0840000000000001</c:v>
                </c:pt>
                <c:pt idx="345">
                  <c:v>1.089</c:v>
                </c:pt>
                <c:pt idx="346">
                  <c:v>1.0760000000000001</c:v>
                </c:pt>
                <c:pt idx="347">
                  <c:v>1.077</c:v>
                </c:pt>
                <c:pt idx="348">
                  <c:v>1.1020000000000001</c:v>
                </c:pt>
                <c:pt idx="349">
                  <c:v>1.137</c:v>
                </c:pt>
                <c:pt idx="350">
                  <c:v>1.1579999999999999</c:v>
                </c:pt>
                <c:pt idx="351">
                  <c:v>1.173</c:v>
                </c:pt>
                <c:pt idx="352">
                  <c:v>1.1839999999999999</c:v>
                </c:pt>
                <c:pt idx="353">
                  <c:v>1.1919999999999999</c:v>
                </c:pt>
                <c:pt idx="354">
                  <c:v>1.2050000000000001</c:v>
                </c:pt>
                <c:pt idx="355">
                  <c:v>1.2230000000000001</c:v>
                </c:pt>
                <c:pt idx="356">
                  <c:v>1.2290000000000001</c:v>
                </c:pt>
                <c:pt idx="357">
                  <c:v>1.2470000000000001</c:v>
                </c:pt>
                <c:pt idx="358">
                  <c:v>1.264</c:v>
                </c:pt>
                <c:pt idx="359">
                  <c:v>1.32</c:v>
                </c:pt>
                <c:pt idx="360">
                  <c:v>1.341</c:v>
                </c:pt>
                <c:pt idx="361">
                  <c:v>1.335</c:v>
                </c:pt>
                <c:pt idx="362">
                  <c:v>1.337</c:v>
                </c:pt>
                <c:pt idx="363">
                  <c:v>1.339</c:v>
                </c:pt>
                <c:pt idx="364">
                  <c:v>1.34</c:v>
                </c:pt>
                <c:pt idx="365">
                  <c:v>1.351</c:v>
                </c:pt>
                <c:pt idx="366">
                  <c:v>1.417</c:v>
                </c:pt>
                <c:pt idx="367">
                  <c:v>1.49</c:v>
                </c:pt>
                <c:pt idx="368">
                  <c:v>1.4910000000000001</c:v>
                </c:pt>
                <c:pt idx="369">
                  <c:v>1.5</c:v>
                </c:pt>
                <c:pt idx="370">
                  <c:v>1.504</c:v>
                </c:pt>
                <c:pt idx="371">
                  <c:v>1.508</c:v>
                </c:pt>
                <c:pt idx="372">
                  <c:v>1.518</c:v>
                </c:pt>
                <c:pt idx="373">
                  <c:v>1.5149999999999999</c:v>
                </c:pt>
                <c:pt idx="374">
                  <c:v>1.5049999999999999</c:v>
                </c:pt>
                <c:pt idx="375">
                  <c:v>1.506</c:v>
                </c:pt>
                <c:pt idx="376">
                  <c:v>1.5049999999999999</c:v>
                </c:pt>
                <c:pt idx="377">
                  <c:v>1.5409999999999999</c:v>
                </c:pt>
                <c:pt idx="378">
                  <c:v>1.546</c:v>
                </c:pt>
                <c:pt idx="379">
                  <c:v>1.677</c:v>
                </c:pt>
                <c:pt idx="380">
                  <c:v>1.7450000000000001</c:v>
                </c:pt>
                <c:pt idx="381">
                  <c:v>1.7829999999999999</c:v>
                </c:pt>
                <c:pt idx="382">
                  <c:v>1.784</c:v>
                </c:pt>
                <c:pt idx="383">
                  <c:v>1.7769999999999999</c:v>
                </c:pt>
                <c:pt idx="384">
                  <c:v>1.7669999999999999</c:v>
                </c:pt>
                <c:pt idx="385">
                  <c:v>1.696</c:v>
                </c:pt>
                <c:pt idx="386">
                  <c:v>1.6830000000000001</c:v>
                </c:pt>
                <c:pt idx="387">
                  <c:v>1.6519999999999999</c:v>
                </c:pt>
                <c:pt idx="388">
                  <c:v>1.675</c:v>
                </c:pt>
                <c:pt idx="389">
                  <c:v>1.68</c:v>
                </c:pt>
                <c:pt idx="390">
                  <c:v>1.673</c:v>
                </c:pt>
                <c:pt idx="391">
                  <c:v>1.6639999999999999</c:v>
                </c:pt>
                <c:pt idx="392">
                  <c:v>1.6910000000000001</c:v>
                </c:pt>
                <c:pt idx="393">
                  <c:v>1.7270000000000001</c:v>
                </c:pt>
                <c:pt idx="394">
                  <c:v>1.726</c:v>
                </c:pt>
                <c:pt idx="395">
                  <c:v>1.734</c:v>
                </c:pt>
                <c:pt idx="396">
                  <c:v>1.7869999999999999</c:v>
                </c:pt>
                <c:pt idx="397">
                  <c:v>1.7989999999999999</c:v>
                </c:pt>
                <c:pt idx="398">
                  <c:v>1.8220000000000001</c:v>
                </c:pt>
                <c:pt idx="399">
                  <c:v>1.8740000000000001</c:v>
                </c:pt>
                <c:pt idx="400">
                  <c:v>1.875</c:v>
                </c:pt>
                <c:pt idx="401">
                  <c:v>1.891</c:v>
                </c:pt>
                <c:pt idx="402">
                  <c:v>1.895</c:v>
                </c:pt>
                <c:pt idx="403">
                  <c:v>1.8959999999999999</c:v>
                </c:pt>
                <c:pt idx="404">
                  <c:v>1.903</c:v>
                </c:pt>
                <c:pt idx="405">
                  <c:v>1.887</c:v>
                </c:pt>
                <c:pt idx="406">
                  <c:v>1.8440000000000001</c:v>
                </c:pt>
                <c:pt idx="407">
                  <c:v>1.84</c:v>
                </c:pt>
                <c:pt idx="408">
                  <c:v>1.833</c:v>
                </c:pt>
                <c:pt idx="409">
                  <c:v>1.7869999999999999</c:v>
                </c:pt>
                <c:pt idx="410">
                  <c:v>1.774</c:v>
                </c:pt>
                <c:pt idx="411">
                  <c:v>1.7529999999999999</c:v>
                </c:pt>
                <c:pt idx="412">
                  <c:v>1.7150000000000001</c:v>
                </c:pt>
                <c:pt idx="413">
                  <c:v>1.7130000000000001</c:v>
                </c:pt>
                <c:pt idx="414">
                  <c:v>1.704</c:v>
                </c:pt>
                <c:pt idx="415">
                  <c:v>1.7070000000000001</c:v>
                </c:pt>
                <c:pt idx="416">
                  <c:v>1.7410000000000001</c:v>
                </c:pt>
                <c:pt idx="417">
                  <c:v>1.7589999999999999</c:v>
                </c:pt>
                <c:pt idx="418">
                  <c:v>1.774</c:v>
                </c:pt>
                <c:pt idx="419">
                  <c:v>1.782</c:v>
                </c:pt>
                <c:pt idx="420">
                  <c:v>1.788</c:v>
                </c:pt>
                <c:pt idx="421">
                  <c:v>1.7869999999999999</c:v>
                </c:pt>
                <c:pt idx="422">
                  <c:v>1.798</c:v>
                </c:pt>
                <c:pt idx="423">
                  <c:v>1.8140000000000001</c:v>
                </c:pt>
                <c:pt idx="424">
                  <c:v>1.8460000000000001</c:v>
                </c:pt>
                <c:pt idx="425">
                  <c:v>1.877</c:v>
                </c:pt>
                <c:pt idx="426">
                  <c:v>1.891</c:v>
                </c:pt>
                <c:pt idx="427">
                  <c:v>1.8939999999999999</c:v>
                </c:pt>
                <c:pt idx="428">
                  <c:v>1.8919999999999999</c:v>
                </c:pt>
                <c:pt idx="429">
                  <c:v>1.899</c:v>
                </c:pt>
                <c:pt idx="430">
                  <c:v>1.8939999999999999</c:v>
                </c:pt>
                <c:pt idx="431">
                  <c:v>1.8959999999999999</c:v>
                </c:pt>
                <c:pt idx="432">
                  <c:v>1.899</c:v>
                </c:pt>
                <c:pt idx="433">
                  <c:v>1.9019999999999999</c:v>
                </c:pt>
                <c:pt idx="434">
                  <c:v>1.903</c:v>
                </c:pt>
                <c:pt idx="435">
                  <c:v>1.907</c:v>
                </c:pt>
                <c:pt idx="436">
                  <c:v>1.8979999999999999</c:v>
                </c:pt>
                <c:pt idx="437">
                  <c:v>1.91</c:v>
                </c:pt>
                <c:pt idx="438">
                  <c:v>1.905</c:v>
                </c:pt>
                <c:pt idx="439">
                  <c:v>1.923</c:v>
                </c:pt>
                <c:pt idx="440">
                  <c:v>1.917</c:v>
                </c:pt>
                <c:pt idx="441">
                  <c:v>1.919</c:v>
                </c:pt>
                <c:pt idx="442">
                  <c:v>1.929</c:v>
                </c:pt>
                <c:pt idx="443">
                  <c:v>1.9510000000000001</c:v>
                </c:pt>
                <c:pt idx="444">
                  <c:v>1.972</c:v>
                </c:pt>
                <c:pt idx="445">
                  <c:v>2.0030000000000001</c:v>
                </c:pt>
                <c:pt idx="446">
                  <c:v>2.0150000000000001</c:v>
                </c:pt>
                <c:pt idx="447">
                  <c:v>2.0150000000000001</c:v>
                </c:pt>
                <c:pt idx="448">
                  <c:v>2.0089999999999999</c:v>
                </c:pt>
                <c:pt idx="449">
                  <c:v>1.982</c:v>
                </c:pt>
                <c:pt idx="450">
                  <c:v>1.98</c:v>
                </c:pt>
                <c:pt idx="451">
                  <c:v>1.966</c:v>
                </c:pt>
                <c:pt idx="452">
                  <c:v>1.954</c:v>
                </c:pt>
                <c:pt idx="453">
                  <c:v>1.9119999999999999</c:v>
                </c:pt>
                <c:pt idx="454">
                  <c:v>2.0030000000000001</c:v>
                </c:pt>
                <c:pt idx="455">
                  <c:v>2.056</c:v>
                </c:pt>
                <c:pt idx="456">
                  <c:v>2.1030000000000002</c:v>
                </c:pt>
                <c:pt idx="457">
                  <c:v>2.14</c:v>
                </c:pt>
                <c:pt idx="458">
                  <c:v>2.1669999999999998</c:v>
                </c:pt>
                <c:pt idx="459">
                  <c:v>2.177</c:v>
                </c:pt>
                <c:pt idx="460">
                  <c:v>2.1920000000000002</c:v>
                </c:pt>
                <c:pt idx="461">
                  <c:v>2.177</c:v>
                </c:pt>
                <c:pt idx="462">
                  <c:v>2.1749999999999998</c:v>
                </c:pt>
                <c:pt idx="463">
                  <c:v>2.13</c:v>
                </c:pt>
                <c:pt idx="464">
                  <c:v>2.0979999999999999</c:v>
                </c:pt>
                <c:pt idx="465">
                  <c:v>2.09</c:v>
                </c:pt>
                <c:pt idx="466">
                  <c:v>2.1320000000000001</c:v>
                </c:pt>
                <c:pt idx="467">
                  <c:v>2.1880000000000002</c:v>
                </c:pt>
                <c:pt idx="468">
                  <c:v>2.194</c:v>
                </c:pt>
                <c:pt idx="469">
                  <c:v>2.2309999999999999</c:v>
                </c:pt>
                <c:pt idx="470">
                  <c:v>2.2440000000000002</c:v>
                </c:pt>
                <c:pt idx="471">
                  <c:v>2.2559999999999998</c:v>
                </c:pt>
                <c:pt idx="472">
                  <c:v>2.2549999999999999</c:v>
                </c:pt>
                <c:pt idx="473">
                  <c:v>2.2629999999999999</c:v>
                </c:pt>
                <c:pt idx="474">
                  <c:v>2.2509999999999999</c:v>
                </c:pt>
                <c:pt idx="475">
                  <c:v>2.2400000000000002</c:v>
                </c:pt>
                <c:pt idx="476">
                  <c:v>2.25</c:v>
                </c:pt>
                <c:pt idx="477">
                  <c:v>2.2690000000000001</c:v>
                </c:pt>
                <c:pt idx="478">
                  <c:v>2.2749999999999999</c:v>
                </c:pt>
                <c:pt idx="479">
                  <c:v>2.2770000000000001</c:v>
                </c:pt>
                <c:pt idx="480">
                  <c:v>2.29</c:v>
                </c:pt>
                <c:pt idx="481">
                  <c:v>2.3860000000000001</c:v>
                </c:pt>
                <c:pt idx="482">
                  <c:v>2.3239999999999998</c:v>
                </c:pt>
                <c:pt idx="483">
                  <c:v>2.319</c:v>
                </c:pt>
                <c:pt idx="484">
                  <c:v>2.274</c:v>
                </c:pt>
                <c:pt idx="485">
                  <c:v>2.2040000000000002</c:v>
                </c:pt>
                <c:pt idx="486">
                  <c:v>2.1629999999999998</c:v>
                </c:pt>
                <c:pt idx="487">
                  <c:v>2.1749999999999998</c:v>
                </c:pt>
                <c:pt idx="488">
                  <c:v>2.169</c:v>
                </c:pt>
                <c:pt idx="489">
                  <c:v>2.1019999999999999</c:v>
                </c:pt>
                <c:pt idx="490">
                  <c:v>2.1110000000000002</c:v>
                </c:pt>
                <c:pt idx="491">
                  <c:v>2.1480000000000001</c:v>
                </c:pt>
                <c:pt idx="492">
                  <c:v>2.2170000000000001</c:v>
                </c:pt>
                <c:pt idx="493">
                  <c:v>2.4790000000000001</c:v>
                </c:pt>
                <c:pt idx="494">
                  <c:v>2.7280000000000002</c:v>
                </c:pt>
                <c:pt idx="495">
                  <c:v>2.88</c:v>
                </c:pt>
                <c:pt idx="496">
                  <c:v>2.9510000000000001</c:v>
                </c:pt>
                <c:pt idx="497">
                  <c:v>2.944</c:v>
                </c:pt>
                <c:pt idx="498">
                  <c:v>2.9550000000000001</c:v>
                </c:pt>
                <c:pt idx="499">
                  <c:v>2.9710000000000001</c:v>
                </c:pt>
                <c:pt idx="500">
                  <c:v>3.01</c:v>
                </c:pt>
                <c:pt idx="501">
                  <c:v>3.0459999999999998</c:v>
                </c:pt>
                <c:pt idx="502">
                  <c:v>3.06</c:v>
                </c:pt>
                <c:pt idx="503">
                  <c:v>3.0209999999999999</c:v>
                </c:pt>
                <c:pt idx="504">
                  <c:v>2.9430000000000001</c:v>
                </c:pt>
                <c:pt idx="505">
                  <c:v>2.9350000000000001</c:v>
                </c:pt>
                <c:pt idx="506">
                  <c:v>2.94</c:v>
                </c:pt>
                <c:pt idx="507">
                  <c:v>2.9950000000000001</c:v>
                </c:pt>
                <c:pt idx="508">
                  <c:v>3.0049999999999999</c:v>
                </c:pt>
                <c:pt idx="509">
                  <c:v>3.1219999999999999</c:v>
                </c:pt>
                <c:pt idx="510">
                  <c:v>3.1360000000000001</c:v>
                </c:pt>
                <c:pt idx="511">
                  <c:v>3.246</c:v>
                </c:pt>
                <c:pt idx="512">
                  <c:v>3.214</c:v>
                </c:pt>
                <c:pt idx="513">
                  <c:v>3.2090000000000001</c:v>
                </c:pt>
                <c:pt idx="514">
                  <c:v>3.1859999999999999</c:v>
                </c:pt>
                <c:pt idx="515">
                  <c:v>3.165</c:v>
                </c:pt>
                <c:pt idx="516">
                  <c:v>3.109</c:v>
                </c:pt>
                <c:pt idx="517">
                  <c:v>3.085</c:v>
                </c:pt>
                <c:pt idx="518">
                  <c:v>2.9790000000000001</c:v>
                </c:pt>
                <c:pt idx="519">
                  <c:v>2.9340000000000002</c:v>
                </c:pt>
                <c:pt idx="520">
                  <c:v>2.8839999999999999</c:v>
                </c:pt>
                <c:pt idx="521">
                  <c:v>2.8140000000000001</c:v>
                </c:pt>
                <c:pt idx="522">
                  <c:v>2.726</c:v>
                </c:pt>
                <c:pt idx="523">
                  <c:v>2.7090000000000001</c:v>
                </c:pt>
                <c:pt idx="524">
                  <c:v>2.71</c:v>
                </c:pt>
                <c:pt idx="525">
                  <c:v>2.73</c:v>
                </c:pt>
                <c:pt idx="526">
                  <c:v>2.7170000000000001</c:v>
                </c:pt>
                <c:pt idx="527">
                  <c:v>2.6880000000000002</c:v>
                </c:pt>
                <c:pt idx="528">
                  <c:v>2.6789999999999998</c:v>
                </c:pt>
                <c:pt idx="529">
                  <c:v>2.67</c:v>
                </c:pt>
                <c:pt idx="530">
                  <c:v>2.649</c:v>
                </c:pt>
                <c:pt idx="531">
                  <c:v>2.544</c:v>
                </c:pt>
                <c:pt idx="532">
                  <c:v>2.4990000000000001</c:v>
                </c:pt>
                <c:pt idx="533">
                  <c:v>2.4340000000000002</c:v>
                </c:pt>
                <c:pt idx="534">
                  <c:v>2.306</c:v>
                </c:pt>
                <c:pt idx="535">
                  <c:v>2.2509999999999999</c:v>
                </c:pt>
                <c:pt idx="536">
                  <c:v>2.214</c:v>
                </c:pt>
                <c:pt idx="537">
                  <c:v>2.194</c:v>
                </c:pt>
                <c:pt idx="538">
                  <c:v>2.121</c:v>
                </c:pt>
                <c:pt idx="539">
                  <c:v>2.0230000000000001</c:v>
                </c:pt>
                <c:pt idx="540">
                  <c:v>1.978</c:v>
                </c:pt>
                <c:pt idx="541">
                  <c:v>1.9059999999999999</c:v>
                </c:pt>
                <c:pt idx="542">
                  <c:v>1.7869999999999999</c:v>
                </c:pt>
                <c:pt idx="543">
                  <c:v>1.7330000000000001</c:v>
                </c:pt>
                <c:pt idx="544">
                  <c:v>1.5509999999999999</c:v>
                </c:pt>
                <c:pt idx="545">
                  <c:v>1.45</c:v>
                </c:pt>
                <c:pt idx="546">
                  <c:v>1.25</c:v>
                </c:pt>
                <c:pt idx="547">
                  <c:v>1.2010000000000001</c:v>
                </c:pt>
                <c:pt idx="548">
                  <c:v>1.1890000000000001</c:v>
                </c:pt>
                <c:pt idx="549">
                  <c:v>1.0880000000000001</c:v>
                </c:pt>
                <c:pt idx="550">
                  <c:v>1.0489999999999999</c:v>
                </c:pt>
                <c:pt idx="551">
                  <c:v>1.0089999999999999</c:v>
                </c:pt>
                <c:pt idx="552">
                  <c:v>1.107</c:v>
                </c:pt>
                <c:pt idx="553">
                  <c:v>1.226</c:v>
                </c:pt>
                <c:pt idx="554">
                  <c:v>1.173</c:v>
                </c:pt>
                <c:pt idx="555">
                  <c:v>1.0449999999999999</c:v>
                </c:pt>
                <c:pt idx="556">
                  <c:v>0.97399999999999998</c:v>
                </c:pt>
                <c:pt idx="557">
                  <c:v>0.93899999999999995</c:v>
                </c:pt>
                <c:pt idx="558">
                  <c:v>0.93</c:v>
                </c:pt>
                <c:pt idx="559">
                  <c:v>0.91500000000000004</c:v>
                </c:pt>
                <c:pt idx="560">
                  <c:v>0.92300000000000004</c:v>
                </c:pt>
                <c:pt idx="561">
                  <c:v>0.94399999999999995</c:v>
                </c:pt>
                <c:pt idx="562">
                  <c:v>0.96299999999999997</c:v>
                </c:pt>
                <c:pt idx="563">
                  <c:v>0.97699999999999998</c:v>
                </c:pt>
                <c:pt idx="564">
                  <c:v>0.97699999999999998</c:v>
                </c:pt>
                <c:pt idx="565">
                  <c:v>0.98099999999999998</c:v>
                </c:pt>
                <c:pt idx="566">
                  <c:v>1.008</c:v>
                </c:pt>
                <c:pt idx="567">
                  <c:v>1.018</c:v>
                </c:pt>
                <c:pt idx="568">
                  <c:v>1.0289999999999999</c:v>
                </c:pt>
                <c:pt idx="569">
                  <c:v>1.0369999999999999</c:v>
                </c:pt>
                <c:pt idx="570">
                  <c:v>1.073</c:v>
                </c:pt>
                <c:pt idx="571">
                  <c:v>1.1339999999999999</c:v>
                </c:pt>
                <c:pt idx="572">
                  <c:v>1.155</c:v>
                </c:pt>
                <c:pt idx="573">
                  <c:v>1.1579999999999999</c:v>
                </c:pt>
                <c:pt idx="574">
                  <c:v>1.1930000000000001</c:v>
                </c:pt>
                <c:pt idx="575">
                  <c:v>1.2190000000000001</c:v>
                </c:pt>
                <c:pt idx="576">
                  <c:v>1.228</c:v>
                </c:pt>
                <c:pt idx="577">
                  <c:v>1.252</c:v>
                </c:pt>
                <c:pt idx="578">
                  <c:v>1.2669999999999999</c:v>
                </c:pt>
                <c:pt idx="579">
                  <c:v>1.2709999999999999</c:v>
                </c:pt>
                <c:pt idx="580">
                  <c:v>1.278</c:v>
                </c:pt>
              </c:numCache>
            </c:numRef>
          </c:val>
          <c:smooth val="0"/>
          <c:extLst>
            <c:ext xmlns:c16="http://schemas.microsoft.com/office/drawing/2014/chart" uri="{C3380CC4-5D6E-409C-BE32-E72D297353CC}">
              <c16:uniqueId val="{00000001-AD58-465F-BD9F-21A6ADBD6599}"/>
            </c:ext>
          </c:extLst>
        </c:ser>
        <c:dLbls>
          <c:showLegendKey val="0"/>
          <c:showVal val="0"/>
          <c:showCatName val="0"/>
          <c:showSerName val="0"/>
          <c:showPercent val="0"/>
          <c:showBubbleSize val="0"/>
        </c:dLbls>
        <c:marker val="1"/>
        <c:smooth val="0"/>
        <c:axId val="201696768"/>
        <c:axId val="201678208"/>
      </c:lineChart>
      <c:dateAx>
        <c:axId val="201675136"/>
        <c:scaling>
          <c:orientation val="minMax"/>
          <c:max val="44651"/>
          <c:min val="44196"/>
        </c:scaling>
        <c:delete val="0"/>
        <c:axPos val="b"/>
        <c:numFmt formatCode="dd\/mm\/yy" sourceLinked="1"/>
        <c:majorTickMark val="out"/>
        <c:minorTickMark val="none"/>
        <c:tickLblPos val="nextTo"/>
        <c:txPr>
          <a:bodyPr rot="-2700000"/>
          <a:lstStyle/>
          <a:p>
            <a:pPr>
              <a:defRPr sz="700">
                <a:latin typeface="Calibri" panose="020F0502020204030204" pitchFamily="34" charset="0"/>
              </a:defRPr>
            </a:pPr>
            <a:endParaRPr lang="sr-Latn-RS"/>
          </a:p>
        </c:txPr>
        <c:crossAx val="201676672"/>
        <c:crosses val="autoZero"/>
        <c:auto val="1"/>
        <c:lblOffset val="100"/>
        <c:baseTimeUnit val="days"/>
        <c:majorUnit val="1"/>
        <c:majorTimeUnit val="months"/>
        <c:minorUnit val="1"/>
        <c:minorTimeUnit val="days"/>
      </c:dateAx>
      <c:valAx>
        <c:axId val="201676672"/>
        <c:scaling>
          <c:orientation val="minMax"/>
          <c:max val="108"/>
          <c:min val="80"/>
        </c:scaling>
        <c:delete val="0"/>
        <c:axPos val="l"/>
        <c:numFmt formatCode="#,##0.0\ [$€-407]" sourceLinked="0"/>
        <c:majorTickMark val="out"/>
        <c:minorTickMark val="none"/>
        <c:tickLblPos val="nextTo"/>
        <c:txPr>
          <a:bodyPr/>
          <a:lstStyle/>
          <a:p>
            <a:pPr>
              <a:defRPr sz="700">
                <a:latin typeface="+mn-lt"/>
              </a:defRPr>
            </a:pPr>
            <a:endParaRPr lang="sr-Latn-RS"/>
          </a:p>
        </c:txPr>
        <c:crossAx val="201675136"/>
        <c:crosses val="autoZero"/>
        <c:crossBetween val="between"/>
        <c:majorUnit val="3"/>
      </c:valAx>
      <c:valAx>
        <c:axId val="201678208"/>
        <c:scaling>
          <c:orientation val="minMax"/>
          <c:max val="5.5"/>
          <c:min val="0.5"/>
        </c:scaling>
        <c:delete val="0"/>
        <c:axPos val="r"/>
        <c:numFmt formatCode="#,##0.0" sourceLinked="0"/>
        <c:majorTickMark val="out"/>
        <c:minorTickMark val="none"/>
        <c:tickLblPos val="nextTo"/>
        <c:txPr>
          <a:bodyPr/>
          <a:lstStyle/>
          <a:p>
            <a:pPr>
              <a:defRPr sz="700">
                <a:latin typeface="Calibri" panose="020F0502020204030204" pitchFamily="34" charset="0"/>
              </a:defRPr>
            </a:pPr>
            <a:endParaRPr lang="sr-Latn-RS"/>
          </a:p>
        </c:txPr>
        <c:crossAx val="201696768"/>
        <c:crosses val="max"/>
        <c:crossBetween val="between"/>
        <c:majorUnit val="0.5"/>
      </c:valAx>
      <c:dateAx>
        <c:axId val="201696768"/>
        <c:scaling>
          <c:orientation val="minMax"/>
        </c:scaling>
        <c:delete val="1"/>
        <c:axPos val="b"/>
        <c:numFmt formatCode="dd\/mm\/yy" sourceLinked="1"/>
        <c:majorTickMark val="out"/>
        <c:minorTickMark val="none"/>
        <c:tickLblPos val="none"/>
        <c:crossAx val="201678208"/>
        <c:crosses val="autoZero"/>
        <c:auto val="1"/>
        <c:lblOffset val="100"/>
        <c:baseTimeUnit val="days"/>
      </c:dateAx>
    </c:plotArea>
    <c:legend>
      <c:legendPos val="r"/>
      <c:layout>
        <c:manualLayout>
          <c:xMode val="edge"/>
          <c:yMode val="edge"/>
          <c:x val="2.0819226864934568E-2"/>
          <c:y val="0.91509155473212911"/>
          <c:w val="0.94465362561387156"/>
          <c:h val="8.4605424321959749E-2"/>
        </c:manualLayout>
      </c:layout>
      <c:overlay val="0"/>
      <c:txPr>
        <a:bodyPr/>
        <a:lstStyle/>
        <a:p>
          <a:pPr>
            <a:defRPr sz="800">
              <a:latin typeface="Calibri" panose="020F0502020204030204" pitchFamily="34" charset="0"/>
            </a:defRPr>
          </a:pPr>
          <a:endParaRPr lang="sr-Latn-RS"/>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sr-Latn-R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7162162162162162"/>
          <c:w val="0.91418918918918923"/>
          <c:h val="0.72349849849849845"/>
        </c:manualLayout>
      </c:layout>
      <c:barChart>
        <c:barDir val="col"/>
        <c:grouping val="clustered"/>
        <c:varyColors val="0"/>
        <c:ser>
          <c:idx val="0"/>
          <c:order val="0"/>
          <c:tx>
            <c:strRef>
              <c:f>'Osn. makroekon. agregati'!$B$6</c:f>
              <c:strCache>
                <c:ptCount val="1"/>
                <c:pt idx="0">
                  <c:v>Дефицит текућег рачуна,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4EC8-4BBF-A3B2-4D5C80F97C27}"/>
              </c:ext>
            </c:extLst>
          </c:dPt>
          <c:dPt>
            <c:idx val="1"/>
            <c:invertIfNegative val="0"/>
            <c:bubble3D val="0"/>
            <c:spPr>
              <a:solidFill>
                <a:srgbClr val="ED1C24"/>
              </a:solidFill>
              <a:ln>
                <a:noFill/>
              </a:ln>
              <a:effectLst/>
            </c:spPr>
            <c:extLst>
              <c:ext xmlns:c16="http://schemas.microsoft.com/office/drawing/2014/chart" uri="{C3380CC4-5D6E-409C-BE32-E72D297353CC}">
                <c16:uniqueId val="{00000003-4EC8-4BBF-A3B2-4D5C80F97C27}"/>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EC8-4BBF-A3B2-4D5C80F97C27}"/>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EC8-4BBF-A3B2-4D5C80F97C2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agregati'!$E$6,'Osn. makroekon. agregati'!$F$6)</c:f>
              <c:numCache>
                <c:formatCode>0.0</c:formatCode>
                <c:ptCount val="2"/>
                <c:pt idx="0">
                  <c:v>-4.0999999999999996</c:v>
                </c:pt>
                <c:pt idx="1">
                  <c:v>-6.9</c:v>
                </c:pt>
              </c:numCache>
            </c:numRef>
          </c:val>
          <c:extLst>
            <c:ext xmlns:c16="http://schemas.microsoft.com/office/drawing/2014/chart" uri="{C3380CC4-5D6E-409C-BE32-E72D297353CC}">
              <c16:uniqueId val="{00000004-4EC8-4BBF-A3B2-4D5C80F97C27}"/>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a:t>
                </a:r>
                <a:r>
                  <a:rPr lang="sr-Cyrl-RS" b="1"/>
                  <a:t>3</a:t>
                </a:r>
                <a:endParaRPr lang="en-US" b="1"/>
              </a:p>
            </c:rich>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sr-Latn-R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53440"/>
        <c:crossesAt val="0"/>
        <c:auto val="1"/>
        <c:lblAlgn val="ctr"/>
        <c:lblOffset val="100"/>
        <c:noMultiLvlLbl val="0"/>
      </c:catAx>
      <c:valAx>
        <c:axId val="1768853440"/>
        <c:scaling>
          <c:orientation val="minMax"/>
          <c:max val="0"/>
          <c:min val="-8"/>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sr-Latn-RS"/>
    </a:p>
  </c:txPr>
  <c:externalData r:id="rId4">
    <c:autoUpdate val="0"/>
  </c:externalData>
  <c:userShapes r:id="rId5"/>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133405954974584"/>
          <c:y val="6.6397589190240108E-2"/>
          <c:w val="0.76869750181372043"/>
          <c:h val="0.71416350733936029"/>
        </c:manualLayout>
      </c:layout>
      <c:areaChart>
        <c:grouping val="standard"/>
        <c:varyColors val="0"/>
        <c:ser>
          <c:idx val="0"/>
          <c:order val="0"/>
          <c:tx>
            <c:strRef>
              <c:f>'[Hartije od vrednosti na medjunarodnom trzistu SAJT 04.04.2022 (00000002).xlsx]EUROBOND 2030 offline'!$B$4</c:f>
              <c:strCache>
                <c:ptCount val="1"/>
                <c:pt idx="0">
                  <c:v>Цена на затварању</c:v>
                </c:pt>
              </c:strCache>
            </c:strRef>
          </c:tx>
          <c:spPr>
            <a:solidFill>
              <a:schemeClr val="tx2"/>
            </a:solidFill>
            <a:ln w="25400">
              <a:noFill/>
            </a:ln>
          </c:spPr>
          <c:cat>
            <c:numRef>
              <c:f>'[Hartije od vrednosti na medjunarodnom trzistu SAJT 04.04.2022 (00000002).xlsx]EUROBOND 2030 offline'!$A$6:$A$349</c:f>
              <c:numCache>
                <c:formatCode>dd\/mm\/yy</c:formatCode>
                <c:ptCount val="344"/>
                <c:pt idx="0">
                  <c:v>44678</c:v>
                </c:pt>
                <c:pt idx="1">
                  <c:v>44677</c:v>
                </c:pt>
                <c:pt idx="2">
                  <c:v>44676</c:v>
                </c:pt>
                <c:pt idx="3">
                  <c:v>44673</c:v>
                </c:pt>
                <c:pt idx="4">
                  <c:v>44672</c:v>
                </c:pt>
                <c:pt idx="5">
                  <c:v>44671</c:v>
                </c:pt>
                <c:pt idx="6">
                  <c:v>44670</c:v>
                </c:pt>
                <c:pt idx="7">
                  <c:v>44665</c:v>
                </c:pt>
                <c:pt idx="8">
                  <c:v>44664</c:v>
                </c:pt>
                <c:pt idx="9">
                  <c:v>44663</c:v>
                </c:pt>
                <c:pt idx="10">
                  <c:v>44662</c:v>
                </c:pt>
                <c:pt idx="11">
                  <c:v>44659</c:v>
                </c:pt>
                <c:pt idx="12">
                  <c:v>44658</c:v>
                </c:pt>
                <c:pt idx="13">
                  <c:v>44657</c:v>
                </c:pt>
                <c:pt idx="14">
                  <c:v>44656</c:v>
                </c:pt>
                <c:pt idx="15">
                  <c:v>44655</c:v>
                </c:pt>
                <c:pt idx="16">
                  <c:v>44652</c:v>
                </c:pt>
                <c:pt idx="17">
                  <c:v>44651</c:v>
                </c:pt>
                <c:pt idx="18">
                  <c:v>44650</c:v>
                </c:pt>
                <c:pt idx="19">
                  <c:v>44649</c:v>
                </c:pt>
                <c:pt idx="20">
                  <c:v>44648</c:v>
                </c:pt>
                <c:pt idx="21">
                  <c:v>44645</c:v>
                </c:pt>
                <c:pt idx="22">
                  <c:v>44644</c:v>
                </c:pt>
                <c:pt idx="23">
                  <c:v>44643</c:v>
                </c:pt>
                <c:pt idx="24">
                  <c:v>44642</c:v>
                </c:pt>
                <c:pt idx="25">
                  <c:v>44641</c:v>
                </c:pt>
                <c:pt idx="26">
                  <c:v>44638</c:v>
                </c:pt>
                <c:pt idx="27">
                  <c:v>44637</c:v>
                </c:pt>
                <c:pt idx="28">
                  <c:v>44636</c:v>
                </c:pt>
                <c:pt idx="29">
                  <c:v>44635</c:v>
                </c:pt>
                <c:pt idx="30">
                  <c:v>44634</c:v>
                </c:pt>
                <c:pt idx="31">
                  <c:v>44631</c:v>
                </c:pt>
                <c:pt idx="32">
                  <c:v>44630</c:v>
                </c:pt>
                <c:pt idx="33">
                  <c:v>44629</c:v>
                </c:pt>
                <c:pt idx="34">
                  <c:v>44628</c:v>
                </c:pt>
                <c:pt idx="35">
                  <c:v>44627</c:v>
                </c:pt>
                <c:pt idx="36">
                  <c:v>44624</c:v>
                </c:pt>
                <c:pt idx="37">
                  <c:v>44623</c:v>
                </c:pt>
                <c:pt idx="38">
                  <c:v>44622</c:v>
                </c:pt>
                <c:pt idx="39">
                  <c:v>44621</c:v>
                </c:pt>
                <c:pt idx="40">
                  <c:v>44620</c:v>
                </c:pt>
                <c:pt idx="41">
                  <c:v>44617</c:v>
                </c:pt>
                <c:pt idx="42">
                  <c:v>44616</c:v>
                </c:pt>
                <c:pt idx="43">
                  <c:v>44615</c:v>
                </c:pt>
                <c:pt idx="44">
                  <c:v>44614</c:v>
                </c:pt>
                <c:pt idx="45">
                  <c:v>44613</c:v>
                </c:pt>
                <c:pt idx="46">
                  <c:v>44610</c:v>
                </c:pt>
                <c:pt idx="47">
                  <c:v>44609</c:v>
                </c:pt>
                <c:pt idx="48">
                  <c:v>44608</c:v>
                </c:pt>
                <c:pt idx="49">
                  <c:v>44607</c:v>
                </c:pt>
                <c:pt idx="50">
                  <c:v>44606</c:v>
                </c:pt>
                <c:pt idx="51">
                  <c:v>44603</c:v>
                </c:pt>
                <c:pt idx="52">
                  <c:v>44602</c:v>
                </c:pt>
                <c:pt idx="53">
                  <c:v>44601</c:v>
                </c:pt>
                <c:pt idx="54">
                  <c:v>44600</c:v>
                </c:pt>
                <c:pt idx="55">
                  <c:v>44599</c:v>
                </c:pt>
                <c:pt idx="56">
                  <c:v>44596</c:v>
                </c:pt>
                <c:pt idx="57">
                  <c:v>44595</c:v>
                </c:pt>
                <c:pt idx="58">
                  <c:v>44594</c:v>
                </c:pt>
                <c:pt idx="59">
                  <c:v>44593</c:v>
                </c:pt>
                <c:pt idx="60">
                  <c:v>44592</c:v>
                </c:pt>
                <c:pt idx="61">
                  <c:v>44589</c:v>
                </c:pt>
                <c:pt idx="62">
                  <c:v>44588</c:v>
                </c:pt>
                <c:pt idx="63">
                  <c:v>44587</c:v>
                </c:pt>
                <c:pt idx="64">
                  <c:v>44586</c:v>
                </c:pt>
                <c:pt idx="65">
                  <c:v>44585</c:v>
                </c:pt>
                <c:pt idx="66">
                  <c:v>44582</c:v>
                </c:pt>
                <c:pt idx="67">
                  <c:v>44581</c:v>
                </c:pt>
                <c:pt idx="68">
                  <c:v>44580</c:v>
                </c:pt>
                <c:pt idx="69">
                  <c:v>44579</c:v>
                </c:pt>
                <c:pt idx="70">
                  <c:v>44578</c:v>
                </c:pt>
                <c:pt idx="71">
                  <c:v>44575</c:v>
                </c:pt>
                <c:pt idx="72">
                  <c:v>44574</c:v>
                </c:pt>
                <c:pt idx="73">
                  <c:v>44573</c:v>
                </c:pt>
                <c:pt idx="74">
                  <c:v>44572</c:v>
                </c:pt>
                <c:pt idx="75">
                  <c:v>44571</c:v>
                </c:pt>
                <c:pt idx="76">
                  <c:v>44568</c:v>
                </c:pt>
                <c:pt idx="77">
                  <c:v>44567</c:v>
                </c:pt>
                <c:pt idx="78">
                  <c:v>44566</c:v>
                </c:pt>
                <c:pt idx="79">
                  <c:v>44565</c:v>
                </c:pt>
                <c:pt idx="80">
                  <c:v>44561</c:v>
                </c:pt>
                <c:pt idx="81">
                  <c:v>44560</c:v>
                </c:pt>
                <c:pt idx="82">
                  <c:v>44559</c:v>
                </c:pt>
                <c:pt idx="83">
                  <c:v>44554</c:v>
                </c:pt>
                <c:pt idx="84">
                  <c:v>44553</c:v>
                </c:pt>
                <c:pt idx="85">
                  <c:v>44552</c:v>
                </c:pt>
                <c:pt idx="86">
                  <c:v>44551</c:v>
                </c:pt>
                <c:pt idx="87">
                  <c:v>44550</c:v>
                </c:pt>
                <c:pt idx="88">
                  <c:v>44547</c:v>
                </c:pt>
                <c:pt idx="89">
                  <c:v>44546</c:v>
                </c:pt>
                <c:pt idx="90">
                  <c:v>44545</c:v>
                </c:pt>
                <c:pt idx="91">
                  <c:v>44544</c:v>
                </c:pt>
                <c:pt idx="92">
                  <c:v>44543</c:v>
                </c:pt>
                <c:pt idx="93">
                  <c:v>44540</c:v>
                </c:pt>
                <c:pt idx="94">
                  <c:v>44539</c:v>
                </c:pt>
                <c:pt idx="95">
                  <c:v>44538</c:v>
                </c:pt>
                <c:pt idx="96">
                  <c:v>44537</c:v>
                </c:pt>
                <c:pt idx="97">
                  <c:v>44536</c:v>
                </c:pt>
                <c:pt idx="98">
                  <c:v>44533</c:v>
                </c:pt>
                <c:pt idx="99">
                  <c:v>44532</c:v>
                </c:pt>
                <c:pt idx="100">
                  <c:v>44531</c:v>
                </c:pt>
                <c:pt idx="101">
                  <c:v>44530</c:v>
                </c:pt>
                <c:pt idx="102">
                  <c:v>44529</c:v>
                </c:pt>
                <c:pt idx="103">
                  <c:v>44526</c:v>
                </c:pt>
                <c:pt idx="104">
                  <c:v>44525</c:v>
                </c:pt>
                <c:pt idx="105">
                  <c:v>44524</c:v>
                </c:pt>
                <c:pt idx="106">
                  <c:v>44523</c:v>
                </c:pt>
                <c:pt idx="107">
                  <c:v>44522</c:v>
                </c:pt>
                <c:pt idx="108">
                  <c:v>44519</c:v>
                </c:pt>
                <c:pt idx="109">
                  <c:v>44518</c:v>
                </c:pt>
                <c:pt idx="110">
                  <c:v>44517</c:v>
                </c:pt>
                <c:pt idx="111">
                  <c:v>44516</c:v>
                </c:pt>
                <c:pt idx="112">
                  <c:v>44515</c:v>
                </c:pt>
                <c:pt idx="113">
                  <c:v>44512</c:v>
                </c:pt>
                <c:pt idx="114">
                  <c:v>44511</c:v>
                </c:pt>
                <c:pt idx="115">
                  <c:v>44510</c:v>
                </c:pt>
                <c:pt idx="116">
                  <c:v>44509</c:v>
                </c:pt>
                <c:pt idx="117">
                  <c:v>44508</c:v>
                </c:pt>
                <c:pt idx="118">
                  <c:v>44505</c:v>
                </c:pt>
                <c:pt idx="119">
                  <c:v>44504</c:v>
                </c:pt>
                <c:pt idx="120">
                  <c:v>44503</c:v>
                </c:pt>
                <c:pt idx="121">
                  <c:v>44502</c:v>
                </c:pt>
                <c:pt idx="122">
                  <c:v>44501</c:v>
                </c:pt>
                <c:pt idx="123">
                  <c:v>44498</c:v>
                </c:pt>
                <c:pt idx="124">
                  <c:v>44497</c:v>
                </c:pt>
                <c:pt idx="125">
                  <c:v>44496</c:v>
                </c:pt>
                <c:pt idx="126">
                  <c:v>44495</c:v>
                </c:pt>
                <c:pt idx="127">
                  <c:v>44494</c:v>
                </c:pt>
                <c:pt idx="128">
                  <c:v>44491</c:v>
                </c:pt>
                <c:pt idx="129">
                  <c:v>44490</c:v>
                </c:pt>
                <c:pt idx="130">
                  <c:v>44489</c:v>
                </c:pt>
                <c:pt idx="131">
                  <c:v>44488</c:v>
                </c:pt>
                <c:pt idx="132">
                  <c:v>44487</c:v>
                </c:pt>
                <c:pt idx="133">
                  <c:v>44484</c:v>
                </c:pt>
                <c:pt idx="134">
                  <c:v>44483</c:v>
                </c:pt>
                <c:pt idx="135">
                  <c:v>44482</c:v>
                </c:pt>
                <c:pt idx="136">
                  <c:v>44481</c:v>
                </c:pt>
                <c:pt idx="137">
                  <c:v>44480</c:v>
                </c:pt>
                <c:pt idx="138">
                  <c:v>44477</c:v>
                </c:pt>
                <c:pt idx="139">
                  <c:v>44476</c:v>
                </c:pt>
                <c:pt idx="140">
                  <c:v>44475</c:v>
                </c:pt>
                <c:pt idx="141">
                  <c:v>44474</c:v>
                </c:pt>
                <c:pt idx="142">
                  <c:v>44473</c:v>
                </c:pt>
                <c:pt idx="143">
                  <c:v>44470</c:v>
                </c:pt>
                <c:pt idx="144">
                  <c:v>44469</c:v>
                </c:pt>
                <c:pt idx="145">
                  <c:v>44468</c:v>
                </c:pt>
                <c:pt idx="146">
                  <c:v>44467</c:v>
                </c:pt>
                <c:pt idx="147">
                  <c:v>44466</c:v>
                </c:pt>
                <c:pt idx="148">
                  <c:v>44463</c:v>
                </c:pt>
                <c:pt idx="149">
                  <c:v>44462</c:v>
                </c:pt>
                <c:pt idx="150">
                  <c:v>44461</c:v>
                </c:pt>
                <c:pt idx="151">
                  <c:v>44460</c:v>
                </c:pt>
                <c:pt idx="152">
                  <c:v>44459</c:v>
                </c:pt>
                <c:pt idx="153">
                  <c:v>44456</c:v>
                </c:pt>
                <c:pt idx="154">
                  <c:v>44455</c:v>
                </c:pt>
                <c:pt idx="155">
                  <c:v>44454</c:v>
                </c:pt>
                <c:pt idx="156">
                  <c:v>44453</c:v>
                </c:pt>
                <c:pt idx="157">
                  <c:v>44452</c:v>
                </c:pt>
                <c:pt idx="158">
                  <c:v>44449</c:v>
                </c:pt>
                <c:pt idx="159">
                  <c:v>44448</c:v>
                </c:pt>
                <c:pt idx="160">
                  <c:v>44447</c:v>
                </c:pt>
                <c:pt idx="161">
                  <c:v>44446</c:v>
                </c:pt>
                <c:pt idx="162">
                  <c:v>44445</c:v>
                </c:pt>
                <c:pt idx="163">
                  <c:v>44442</c:v>
                </c:pt>
                <c:pt idx="164">
                  <c:v>44441</c:v>
                </c:pt>
                <c:pt idx="165">
                  <c:v>44440</c:v>
                </c:pt>
                <c:pt idx="166">
                  <c:v>44439</c:v>
                </c:pt>
                <c:pt idx="167">
                  <c:v>44438</c:v>
                </c:pt>
                <c:pt idx="168">
                  <c:v>44435</c:v>
                </c:pt>
                <c:pt idx="169">
                  <c:v>44434</c:v>
                </c:pt>
                <c:pt idx="170">
                  <c:v>44433</c:v>
                </c:pt>
                <c:pt idx="171">
                  <c:v>44432</c:v>
                </c:pt>
                <c:pt idx="172">
                  <c:v>44431</c:v>
                </c:pt>
                <c:pt idx="173">
                  <c:v>44428</c:v>
                </c:pt>
                <c:pt idx="174">
                  <c:v>44427</c:v>
                </c:pt>
                <c:pt idx="175">
                  <c:v>44426</c:v>
                </c:pt>
                <c:pt idx="176">
                  <c:v>44425</c:v>
                </c:pt>
                <c:pt idx="177">
                  <c:v>44424</c:v>
                </c:pt>
                <c:pt idx="178">
                  <c:v>44421</c:v>
                </c:pt>
                <c:pt idx="179">
                  <c:v>44420</c:v>
                </c:pt>
                <c:pt idx="180">
                  <c:v>44419</c:v>
                </c:pt>
                <c:pt idx="181">
                  <c:v>44418</c:v>
                </c:pt>
                <c:pt idx="182">
                  <c:v>44417</c:v>
                </c:pt>
                <c:pt idx="183">
                  <c:v>44414</c:v>
                </c:pt>
                <c:pt idx="184">
                  <c:v>44413</c:v>
                </c:pt>
                <c:pt idx="185">
                  <c:v>44412</c:v>
                </c:pt>
                <c:pt idx="186">
                  <c:v>44411</c:v>
                </c:pt>
                <c:pt idx="187">
                  <c:v>44410</c:v>
                </c:pt>
                <c:pt idx="188">
                  <c:v>44407</c:v>
                </c:pt>
                <c:pt idx="189">
                  <c:v>44406</c:v>
                </c:pt>
                <c:pt idx="190">
                  <c:v>44405</c:v>
                </c:pt>
                <c:pt idx="191">
                  <c:v>44404</c:v>
                </c:pt>
                <c:pt idx="192">
                  <c:v>44403</c:v>
                </c:pt>
                <c:pt idx="193">
                  <c:v>44400</c:v>
                </c:pt>
                <c:pt idx="194">
                  <c:v>44399</c:v>
                </c:pt>
                <c:pt idx="195">
                  <c:v>44398</c:v>
                </c:pt>
                <c:pt idx="196">
                  <c:v>44397</c:v>
                </c:pt>
                <c:pt idx="197">
                  <c:v>44396</c:v>
                </c:pt>
                <c:pt idx="198">
                  <c:v>44393</c:v>
                </c:pt>
                <c:pt idx="199">
                  <c:v>44392</c:v>
                </c:pt>
                <c:pt idx="200">
                  <c:v>44391</c:v>
                </c:pt>
                <c:pt idx="201">
                  <c:v>44390</c:v>
                </c:pt>
                <c:pt idx="202">
                  <c:v>44389</c:v>
                </c:pt>
                <c:pt idx="203">
                  <c:v>44386</c:v>
                </c:pt>
                <c:pt idx="204">
                  <c:v>44385</c:v>
                </c:pt>
                <c:pt idx="205">
                  <c:v>44384</c:v>
                </c:pt>
                <c:pt idx="206">
                  <c:v>44383</c:v>
                </c:pt>
                <c:pt idx="207">
                  <c:v>44382</c:v>
                </c:pt>
                <c:pt idx="208">
                  <c:v>44379</c:v>
                </c:pt>
                <c:pt idx="209">
                  <c:v>44378</c:v>
                </c:pt>
                <c:pt idx="210">
                  <c:v>44377</c:v>
                </c:pt>
                <c:pt idx="211">
                  <c:v>44376</c:v>
                </c:pt>
                <c:pt idx="212">
                  <c:v>44375</c:v>
                </c:pt>
                <c:pt idx="213">
                  <c:v>44372</c:v>
                </c:pt>
                <c:pt idx="214">
                  <c:v>44371</c:v>
                </c:pt>
                <c:pt idx="215">
                  <c:v>44370</c:v>
                </c:pt>
                <c:pt idx="216">
                  <c:v>44369</c:v>
                </c:pt>
                <c:pt idx="217">
                  <c:v>44368</c:v>
                </c:pt>
                <c:pt idx="218">
                  <c:v>44365</c:v>
                </c:pt>
                <c:pt idx="219">
                  <c:v>44364</c:v>
                </c:pt>
                <c:pt idx="220">
                  <c:v>44363</c:v>
                </c:pt>
                <c:pt idx="221">
                  <c:v>44362</c:v>
                </c:pt>
                <c:pt idx="222">
                  <c:v>44361</c:v>
                </c:pt>
                <c:pt idx="223">
                  <c:v>44358</c:v>
                </c:pt>
                <c:pt idx="224">
                  <c:v>44357</c:v>
                </c:pt>
                <c:pt idx="225">
                  <c:v>44356</c:v>
                </c:pt>
                <c:pt idx="226">
                  <c:v>44355</c:v>
                </c:pt>
                <c:pt idx="227">
                  <c:v>44354</c:v>
                </c:pt>
                <c:pt idx="228">
                  <c:v>44351</c:v>
                </c:pt>
                <c:pt idx="229">
                  <c:v>44350</c:v>
                </c:pt>
                <c:pt idx="230">
                  <c:v>44349</c:v>
                </c:pt>
                <c:pt idx="231">
                  <c:v>44348</c:v>
                </c:pt>
                <c:pt idx="232">
                  <c:v>44344</c:v>
                </c:pt>
                <c:pt idx="233">
                  <c:v>44343</c:v>
                </c:pt>
                <c:pt idx="234">
                  <c:v>44342</c:v>
                </c:pt>
                <c:pt idx="235">
                  <c:v>44341</c:v>
                </c:pt>
                <c:pt idx="236">
                  <c:v>44340</c:v>
                </c:pt>
                <c:pt idx="237">
                  <c:v>44337</c:v>
                </c:pt>
                <c:pt idx="238">
                  <c:v>44336</c:v>
                </c:pt>
                <c:pt idx="239">
                  <c:v>44335</c:v>
                </c:pt>
                <c:pt idx="240">
                  <c:v>44334</c:v>
                </c:pt>
                <c:pt idx="241">
                  <c:v>44333</c:v>
                </c:pt>
                <c:pt idx="242">
                  <c:v>44330</c:v>
                </c:pt>
                <c:pt idx="243">
                  <c:v>44329</c:v>
                </c:pt>
                <c:pt idx="244">
                  <c:v>44328</c:v>
                </c:pt>
                <c:pt idx="245">
                  <c:v>44327</c:v>
                </c:pt>
                <c:pt idx="246">
                  <c:v>44326</c:v>
                </c:pt>
                <c:pt idx="247">
                  <c:v>44323</c:v>
                </c:pt>
                <c:pt idx="248">
                  <c:v>44322</c:v>
                </c:pt>
                <c:pt idx="249">
                  <c:v>44321</c:v>
                </c:pt>
                <c:pt idx="250">
                  <c:v>44320</c:v>
                </c:pt>
                <c:pt idx="251">
                  <c:v>44316</c:v>
                </c:pt>
                <c:pt idx="252">
                  <c:v>44315</c:v>
                </c:pt>
                <c:pt idx="253">
                  <c:v>44314</c:v>
                </c:pt>
                <c:pt idx="254">
                  <c:v>44313</c:v>
                </c:pt>
                <c:pt idx="255">
                  <c:v>44312</c:v>
                </c:pt>
                <c:pt idx="256">
                  <c:v>44309</c:v>
                </c:pt>
                <c:pt idx="257">
                  <c:v>44308</c:v>
                </c:pt>
                <c:pt idx="258">
                  <c:v>44307</c:v>
                </c:pt>
                <c:pt idx="259">
                  <c:v>44306</c:v>
                </c:pt>
                <c:pt idx="260">
                  <c:v>44305</c:v>
                </c:pt>
                <c:pt idx="261">
                  <c:v>44302</c:v>
                </c:pt>
                <c:pt idx="262">
                  <c:v>44301</c:v>
                </c:pt>
                <c:pt idx="263">
                  <c:v>44300</c:v>
                </c:pt>
                <c:pt idx="264">
                  <c:v>44299</c:v>
                </c:pt>
                <c:pt idx="265">
                  <c:v>44298</c:v>
                </c:pt>
                <c:pt idx="266">
                  <c:v>44295</c:v>
                </c:pt>
                <c:pt idx="267">
                  <c:v>44294</c:v>
                </c:pt>
                <c:pt idx="268">
                  <c:v>44293</c:v>
                </c:pt>
                <c:pt idx="269">
                  <c:v>44292</c:v>
                </c:pt>
                <c:pt idx="270">
                  <c:v>44287</c:v>
                </c:pt>
                <c:pt idx="271">
                  <c:v>44286</c:v>
                </c:pt>
                <c:pt idx="272">
                  <c:v>44285</c:v>
                </c:pt>
                <c:pt idx="273">
                  <c:v>44284</c:v>
                </c:pt>
                <c:pt idx="274">
                  <c:v>44281</c:v>
                </c:pt>
                <c:pt idx="275">
                  <c:v>44280</c:v>
                </c:pt>
                <c:pt idx="276">
                  <c:v>44279</c:v>
                </c:pt>
                <c:pt idx="277">
                  <c:v>44278</c:v>
                </c:pt>
                <c:pt idx="278">
                  <c:v>44277</c:v>
                </c:pt>
                <c:pt idx="279">
                  <c:v>44274</c:v>
                </c:pt>
                <c:pt idx="280">
                  <c:v>44273</c:v>
                </c:pt>
                <c:pt idx="281">
                  <c:v>44272</c:v>
                </c:pt>
                <c:pt idx="282">
                  <c:v>44271</c:v>
                </c:pt>
                <c:pt idx="283">
                  <c:v>44270</c:v>
                </c:pt>
                <c:pt idx="284">
                  <c:v>44267</c:v>
                </c:pt>
                <c:pt idx="285">
                  <c:v>44266</c:v>
                </c:pt>
                <c:pt idx="286">
                  <c:v>44265</c:v>
                </c:pt>
                <c:pt idx="287">
                  <c:v>44264</c:v>
                </c:pt>
                <c:pt idx="288">
                  <c:v>44263</c:v>
                </c:pt>
                <c:pt idx="289">
                  <c:v>44260</c:v>
                </c:pt>
                <c:pt idx="290">
                  <c:v>44259</c:v>
                </c:pt>
                <c:pt idx="291">
                  <c:v>44258</c:v>
                </c:pt>
                <c:pt idx="292">
                  <c:v>44257</c:v>
                </c:pt>
                <c:pt idx="293">
                  <c:v>44256</c:v>
                </c:pt>
                <c:pt idx="294">
                  <c:v>44253</c:v>
                </c:pt>
                <c:pt idx="295">
                  <c:v>44252</c:v>
                </c:pt>
                <c:pt idx="296">
                  <c:v>44251</c:v>
                </c:pt>
                <c:pt idx="297">
                  <c:v>44250</c:v>
                </c:pt>
                <c:pt idx="298">
                  <c:v>44249</c:v>
                </c:pt>
                <c:pt idx="299">
                  <c:v>44246</c:v>
                </c:pt>
                <c:pt idx="300">
                  <c:v>44245</c:v>
                </c:pt>
                <c:pt idx="301">
                  <c:v>44244</c:v>
                </c:pt>
                <c:pt idx="302">
                  <c:v>44243</c:v>
                </c:pt>
                <c:pt idx="303">
                  <c:v>44242</c:v>
                </c:pt>
                <c:pt idx="304">
                  <c:v>44239</c:v>
                </c:pt>
                <c:pt idx="305">
                  <c:v>44238</c:v>
                </c:pt>
                <c:pt idx="306">
                  <c:v>44237</c:v>
                </c:pt>
                <c:pt idx="307">
                  <c:v>44236</c:v>
                </c:pt>
                <c:pt idx="308">
                  <c:v>44235</c:v>
                </c:pt>
                <c:pt idx="309">
                  <c:v>44232</c:v>
                </c:pt>
                <c:pt idx="310">
                  <c:v>44231</c:v>
                </c:pt>
                <c:pt idx="311">
                  <c:v>44230</c:v>
                </c:pt>
                <c:pt idx="312">
                  <c:v>44229</c:v>
                </c:pt>
                <c:pt idx="313">
                  <c:v>44228</c:v>
                </c:pt>
                <c:pt idx="314">
                  <c:v>44225</c:v>
                </c:pt>
                <c:pt idx="315">
                  <c:v>44224</c:v>
                </c:pt>
                <c:pt idx="316">
                  <c:v>44223</c:v>
                </c:pt>
                <c:pt idx="317">
                  <c:v>44222</c:v>
                </c:pt>
                <c:pt idx="318">
                  <c:v>44221</c:v>
                </c:pt>
                <c:pt idx="319">
                  <c:v>44218</c:v>
                </c:pt>
                <c:pt idx="320">
                  <c:v>44217</c:v>
                </c:pt>
                <c:pt idx="321">
                  <c:v>44216</c:v>
                </c:pt>
                <c:pt idx="322">
                  <c:v>44215</c:v>
                </c:pt>
                <c:pt idx="323">
                  <c:v>44214</c:v>
                </c:pt>
                <c:pt idx="324">
                  <c:v>44211</c:v>
                </c:pt>
                <c:pt idx="325">
                  <c:v>44210</c:v>
                </c:pt>
                <c:pt idx="326">
                  <c:v>44209</c:v>
                </c:pt>
                <c:pt idx="327">
                  <c:v>44208</c:v>
                </c:pt>
                <c:pt idx="328">
                  <c:v>44207</c:v>
                </c:pt>
                <c:pt idx="329">
                  <c:v>44204</c:v>
                </c:pt>
                <c:pt idx="330">
                  <c:v>44203</c:v>
                </c:pt>
                <c:pt idx="331">
                  <c:v>44202</c:v>
                </c:pt>
                <c:pt idx="332">
                  <c:v>44201</c:v>
                </c:pt>
                <c:pt idx="333">
                  <c:v>44200</c:v>
                </c:pt>
                <c:pt idx="334">
                  <c:v>44196</c:v>
                </c:pt>
                <c:pt idx="335">
                  <c:v>44195</c:v>
                </c:pt>
                <c:pt idx="336">
                  <c:v>44194</c:v>
                </c:pt>
                <c:pt idx="337">
                  <c:v>44193</c:v>
                </c:pt>
                <c:pt idx="338">
                  <c:v>44189</c:v>
                </c:pt>
                <c:pt idx="339">
                  <c:v>44188</c:v>
                </c:pt>
                <c:pt idx="340">
                  <c:v>44187</c:v>
                </c:pt>
                <c:pt idx="341">
                  <c:v>44186</c:v>
                </c:pt>
                <c:pt idx="342">
                  <c:v>44183</c:v>
                </c:pt>
                <c:pt idx="343">
                  <c:v>44182</c:v>
                </c:pt>
              </c:numCache>
            </c:numRef>
          </c:cat>
          <c:val>
            <c:numRef>
              <c:f>'[Hartije od vrednosti na medjunarodnom trzistu SAJT 04.04.2022 (00000002).xlsx]EUROBOND 2030 offline'!$B$6:$B$349</c:f>
              <c:numCache>
                <c:formatCode>#,##0.000</c:formatCode>
                <c:ptCount val="344"/>
                <c:pt idx="0">
                  <c:v>77.8</c:v>
                </c:pt>
                <c:pt idx="1">
                  <c:v>77.971999999999994</c:v>
                </c:pt>
                <c:pt idx="2">
                  <c:v>78.043000000000006</c:v>
                </c:pt>
                <c:pt idx="3">
                  <c:v>78.977999999999994</c:v>
                </c:pt>
                <c:pt idx="4">
                  <c:v>79.445999999999998</c:v>
                </c:pt>
                <c:pt idx="5">
                  <c:v>79.566000000000003</c:v>
                </c:pt>
                <c:pt idx="6">
                  <c:v>79.585999999999999</c:v>
                </c:pt>
                <c:pt idx="7">
                  <c:v>80.203999999999994</c:v>
                </c:pt>
                <c:pt idx="8">
                  <c:v>80.382000000000005</c:v>
                </c:pt>
                <c:pt idx="9">
                  <c:v>80.747</c:v>
                </c:pt>
                <c:pt idx="10">
                  <c:v>81.45</c:v>
                </c:pt>
                <c:pt idx="11">
                  <c:v>82.703999999999994</c:v>
                </c:pt>
                <c:pt idx="12">
                  <c:v>82.923000000000002</c:v>
                </c:pt>
                <c:pt idx="13">
                  <c:v>82.977000000000004</c:v>
                </c:pt>
                <c:pt idx="14">
                  <c:v>83.698999999999998</c:v>
                </c:pt>
                <c:pt idx="15">
                  <c:v>84.090999999999994</c:v>
                </c:pt>
                <c:pt idx="16">
                  <c:v>84.123000000000005</c:v>
                </c:pt>
                <c:pt idx="17">
                  <c:v>84.102000000000004</c:v>
                </c:pt>
                <c:pt idx="18">
                  <c:v>84.647000000000006</c:v>
                </c:pt>
                <c:pt idx="19">
                  <c:v>84.733999999999995</c:v>
                </c:pt>
                <c:pt idx="20">
                  <c:v>84.21</c:v>
                </c:pt>
                <c:pt idx="21">
                  <c:v>84.441999999999993</c:v>
                </c:pt>
                <c:pt idx="22">
                  <c:v>84.350999999999999</c:v>
                </c:pt>
                <c:pt idx="23">
                  <c:v>85.201999999999998</c:v>
                </c:pt>
                <c:pt idx="24">
                  <c:v>85.356999999999999</c:v>
                </c:pt>
                <c:pt idx="25">
                  <c:v>86.561999999999998</c:v>
                </c:pt>
                <c:pt idx="26">
                  <c:v>86.9</c:v>
                </c:pt>
                <c:pt idx="27">
                  <c:v>86.459000000000003</c:v>
                </c:pt>
                <c:pt idx="28">
                  <c:v>84.471000000000004</c:v>
                </c:pt>
                <c:pt idx="29">
                  <c:v>79.566999999999993</c:v>
                </c:pt>
                <c:pt idx="30">
                  <c:v>79.441999999999993</c:v>
                </c:pt>
                <c:pt idx="31">
                  <c:v>79.411000000000001</c:v>
                </c:pt>
                <c:pt idx="32">
                  <c:v>79.619</c:v>
                </c:pt>
                <c:pt idx="33">
                  <c:v>79.531000000000006</c:v>
                </c:pt>
                <c:pt idx="34">
                  <c:v>79.546999999999997</c:v>
                </c:pt>
                <c:pt idx="35">
                  <c:v>80.989000000000004</c:v>
                </c:pt>
                <c:pt idx="36">
                  <c:v>81.825000000000003</c:v>
                </c:pt>
                <c:pt idx="37">
                  <c:v>83.075000000000003</c:v>
                </c:pt>
                <c:pt idx="38">
                  <c:v>83.418000000000006</c:v>
                </c:pt>
                <c:pt idx="39">
                  <c:v>83.805000000000007</c:v>
                </c:pt>
                <c:pt idx="40">
                  <c:v>84.254999999999995</c:v>
                </c:pt>
                <c:pt idx="41">
                  <c:v>85.766000000000005</c:v>
                </c:pt>
                <c:pt idx="42">
                  <c:v>83.641000000000005</c:v>
                </c:pt>
                <c:pt idx="43">
                  <c:v>86.68</c:v>
                </c:pt>
                <c:pt idx="44">
                  <c:v>87.715000000000003</c:v>
                </c:pt>
                <c:pt idx="45">
                  <c:v>88.043000000000006</c:v>
                </c:pt>
                <c:pt idx="46">
                  <c:v>88.122</c:v>
                </c:pt>
                <c:pt idx="47">
                  <c:v>88.24</c:v>
                </c:pt>
                <c:pt idx="48">
                  <c:v>87.891000000000005</c:v>
                </c:pt>
                <c:pt idx="49">
                  <c:v>87.838999999999999</c:v>
                </c:pt>
                <c:pt idx="50">
                  <c:v>87.834000000000003</c:v>
                </c:pt>
                <c:pt idx="51">
                  <c:v>87.79</c:v>
                </c:pt>
                <c:pt idx="52">
                  <c:v>88.706999999999994</c:v>
                </c:pt>
                <c:pt idx="53">
                  <c:v>88.786000000000001</c:v>
                </c:pt>
                <c:pt idx="54">
                  <c:v>88.085999999999999</c:v>
                </c:pt>
                <c:pt idx="55">
                  <c:v>88.271000000000001</c:v>
                </c:pt>
                <c:pt idx="56">
                  <c:v>88.894000000000005</c:v>
                </c:pt>
                <c:pt idx="57">
                  <c:v>89.647000000000006</c:v>
                </c:pt>
                <c:pt idx="58">
                  <c:v>90.174000000000007</c:v>
                </c:pt>
                <c:pt idx="59">
                  <c:v>90.129000000000005</c:v>
                </c:pt>
                <c:pt idx="60">
                  <c:v>90.224000000000004</c:v>
                </c:pt>
                <c:pt idx="61">
                  <c:v>90.084999999999994</c:v>
                </c:pt>
                <c:pt idx="62">
                  <c:v>90.257999999999996</c:v>
                </c:pt>
                <c:pt idx="63">
                  <c:v>90.1</c:v>
                </c:pt>
                <c:pt idx="64">
                  <c:v>90.119</c:v>
                </c:pt>
                <c:pt idx="65">
                  <c:v>90.100999999999999</c:v>
                </c:pt>
                <c:pt idx="66">
                  <c:v>90.375</c:v>
                </c:pt>
                <c:pt idx="67">
                  <c:v>90.04</c:v>
                </c:pt>
                <c:pt idx="68">
                  <c:v>90.352999999999994</c:v>
                </c:pt>
                <c:pt idx="69">
                  <c:v>90.516999999999996</c:v>
                </c:pt>
                <c:pt idx="70">
                  <c:v>91.677000000000007</c:v>
                </c:pt>
                <c:pt idx="71">
                  <c:v>91.822000000000003</c:v>
                </c:pt>
                <c:pt idx="72">
                  <c:v>92.441999999999993</c:v>
                </c:pt>
                <c:pt idx="73">
                  <c:v>92.506</c:v>
                </c:pt>
                <c:pt idx="74">
                  <c:v>92.54</c:v>
                </c:pt>
                <c:pt idx="75">
                  <c:v>92.686999999999998</c:v>
                </c:pt>
                <c:pt idx="76">
                  <c:v>93.102999999999994</c:v>
                </c:pt>
                <c:pt idx="77">
                  <c:v>93.045000000000002</c:v>
                </c:pt>
                <c:pt idx="78">
                  <c:v>93.495000000000005</c:v>
                </c:pt>
                <c:pt idx="79">
                  <c:v>93.673000000000002</c:v>
                </c:pt>
                <c:pt idx="80">
                  <c:v>94.027000000000001</c:v>
                </c:pt>
                <c:pt idx="81">
                  <c:v>94.147999999999996</c:v>
                </c:pt>
                <c:pt idx="82">
                  <c:v>93.787000000000006</c:v>
                </c:pt>
                <c:pt idx="83">
                  <c:v>93.875</c:v>
                </c:pt>
                <c:pt idx="84">
                  <c:v>93.918000000000006</c:v>
                </c:pt>
                <c:pt idx="85">
                  <c:v>94.114999999999995</c:v>
                </c:pt>
                <c:pt idx="86">
                  <c:v>94.204999999999998</c:v>
                </c:pt>
                <c:pt idx="87">
                  <c:v>94.22</c:v>
                </c:pt>
                <c:pt idx="88">
                  <c:v>94.126000000000005</c:v>
                </c:pt>
                <c:pt idx="89">
                  <c:v>94.102999999999994</c:v>
                </c:pt>
                <c:pt idx="90">
                  <c:v>93.968000000000004</c:v>
                </c:pt>
                <c:pt idx="91">
                  <c:v>93.905000000000001</c:v>
                </c:pt>
                <c:pt idx="92">
                  <c:v>93.948999999999998</c:v>
                </c:pt>
                <c:pt idx="93">
                  <c:v>93.903999999999996</c:v>
                </c:pt>
                <c:pt idx="94">
                  <c:v>94.036000000000001</c:v>
                </c:pt>
                <c:pt idx="95">
                  <c:v>94.040999999999997</c:v>
                </c:pt>
                <c:pt idx="96">
                  <c:v>94.009</c:v>
                </c:pt>
                <c:pt idx="97">
                  <c:v>93.975999999999999</c:v>
                </c:pt>
                <c:pt idx="98">
                  <c:v>94.491</c:v>
                </c:pt>
                <c:pt idx="99">
                  <c:v>93.441000000000003</c:v>
                </c:pt>
                <c:pt idx="100">
                  <c:v>92.477999999999994</c:v>
                </c:pt>
                <c:pt idx="101">
                  <c:v>91.572999999999993</c:v>
                </c:pt>
                <c:pt idx="102">
                  <c:v>91.549000000000007</c:v>
                </c:pt>
                <c:pt idx="103">
                  <c:v>91.438000000000002</c:v>
                </c:pt>
                <c:pt idx="104">
                  <c:v>92.284000000000006</c:v>
                </c:pt>
                <c:pt idx="105">
                  <c:v>92.412000000000006</c:v>
                </c:pt>
                <c:pt idx="106">
                  <c:v>92.691000000000003</c:v>
                </c:pt>
                <c:pt idx="107">
                  <c:v>93.436000000000007</c:v>
                </c:pt>
                <c:pt idx="108">
                  <c:v>93.69</c:v>
                </c:pt>
                <c:pt idx="109">
                  <c:v>93.754000000000005</c:v>
                </c:pt>
                <c:pt idx="110">
                  <c:v>93.83</c:v>
                </c:pt>
                <c:pt idx="111">
                  <c:v>93.972999999999999</c:v>
                </c:pt>
                <c:pt idx="112">
                  <c:v>94.224999999999994</c:v>
                </c:pt>
                <c:pt idx="113">
                  <c:v>94.501999999999995</c:v>
                </c:pt>
                <c:pt idx="114">
                  <c:v>94.876000000000005</c:v>
                </c:pt>
                <c:pt idx="115">
                  <c:v>95.061000000000007</c:v>
                </c:pt>
                <c:pt idx="116">
                  <c:v>95.4</c:v>
                </c:pt>
                <c:pt idx="117">
                  <c:v>95.231999999999999</c:v>
                </c:pt>
                <c:pt idx="118">
                  <c:v>94.5</c:v>
                </c:pt>
                <c:pt idx="119">
                  <c:v>93.828000000000003</c:v>
                </c:pt>
                <c:pt idx="120">
                  <c:v>93.454999999999998</c:v>
                </c:pt>
                <c:pt idx="121">
                  <c:v>93.415000000000006</c:v>
                </c:pt>
                <c:pt idx="122">
                  <c:v>93.43</c:v>
                </c:pt>
                <c:pt idx="123">
                  <c:v>93.463999999999999</c:v>
                </c:pt>
                <c:pt idx="124">
                  <c:v>93.537000000000006</c:v>
                </c:pt>
                <c:pt idx="125">
                  <c:v>93.438000000000002</c:v>
                </c:pt>
                <c:pt idx="126">
                  <c:v>93.152000000000001</c:v>
                </c:pt>
                <c:pt idx="127">
                  <c:v>93.11</c:v>
                </c:pt>
                <c:pt idx="128">
                  <c:v>93.19</c:v>
                </c:pt>
                <c:pt idx="129">
                  <c:v>93.164000000000001</c:v>
                </c:pt>
                <c:pt idx="130">
                  <c:v>93.141000000000005</c:v>
                </c:pt>
                <c:pt idx="131">
                  <c:v>93.358999999999995</c:v>
                </c:pt>
                <c:pt idx="132">
                  <c:v>93.661000000000001</c:v>
                </c:pt>
                <c:pt idx="133">
                  <c:v>93.817999999999998</c:v>
                </c:pt>
                <c:pt idx="134">
                  <c:v>93.88</c:v>
                </c:pt>
                <c:pt idx="135">
                  <c:v>93.162999999999997</c:v>
                </c:pt>
                <c:pt idx="136">
                  <c:v>93.067999999999998</c:v>
                </c:pt>
                <c:pt idx="137">
                  <c:v>93.123000000000005</c:v>
                </c:pt>
                <c:pt idx="138">
                  <c:v>93.186999999999998</c:v>
                </c:pt>
                <c:pt idx="139">
                  <c:v>93.275000000000006</c:v>
                </c:pt>
                <c:pt idx="140">
                  <c:v>92.846000000000004</c:v>
                </c:pt>
                <c:pt idx="141">
                  <c:v>93.168999999999997</c:v>
                </c:pt>
                <c:pt idx="142">
                  <c:v>93.224000000000004</c:v>
                </c:pt>
                <c:pt idx="143">
                  <c:v>93.432000000000002</c:v>
                </c:pt>
                <c:pt idx="144">
                  <c:v>93.623999999999995</c:v>
                </c:pt>
                <c:pt idx="145">
                  <c:v>93.566000000000003</c:v>
                </c:pt>
                <c:pt idx="146">
                  <c:v>93.477000000000004</c:v>
                </c:pt>
                <c:pt idx="147">
                  <c:v>95.093999999999994</c:v>
                </c:pt>
                <c:pt idx="148">
                  <c:v>95.616</c:v>
                </c:pt>
                <c:pt idx="149">
                  <c:v>95.921000000000006</c:v>
                </c:pt>
                <c:pt idx="150">
                  <c:v>96.12</c:v>
                </c:pt>
                <c:pt idx="151">
                  <c:v>96.228999999999999</c:v>
                </c:pt>
                <c:pt idx="152">
                  <c:v>96.198999999999998</c:v>
                </c:pt>
                <c:pt idx="153">
                  <c:v>96.506</c:v>
                </c:pt>
                <c:pt idx="154">
                  <c:v>96.438000000000002</c:v>
                </c:pt>
                <c:pt idx="155">
                  <c:v>96.296000000000006</c:v>
                </c:pt>
                <c:pt idx="156">
                  <c:v>96.137</c:v>
                </c:pt>
                <c:pt idx="157">
                  <c:v>96.572999999999993</c:v>
                </c:pt>
                <c:pt idx="158">
                  <c:v>96.6</c:v>
                </c:pt>
                <c:pt idx="159">
                  <c:v>96.619</c:v>
                </c:pt>
                <c:pt idx="160">
                  <c:v>96.742000000000004</c:v>
                </c:pt>
                <c:pt idx="161">
                  <c:v>96.588999999999999</c:v>
                </c:pt>
                <c:pt idx="162">
                  <c:v>96.741</c:v>
                </c:pt>
                <c:pt idx="163">
                  <c:v>96.436999999999998</c:v>
                </c:pt>
                <c:pt idx="164">
                  <c:v>96.754000000000005</c:v>
                </c:pt>
                <c:pt idx="165">
                  <c:v>96.614999999999995</c:v>
                </c:pt>
                <c:pt idx="166">
                  <c:v>96.730999999999995</c:v>
                </c:pt>
                <c:pt idx="167">
                  <c:v>96.424999999999997</c:v>
                </c:pt>
                <c:pt idx="168">
                  <c:v>96.361999999999995</c:v>
                </c:pt>
                <c:pt idx="169">
                  <c:v>96.364000000000004</c:v>
                </c:pt>
                <c:pt idx="170">
                  <c:v>96.343000000000004</c:v>
                </c:pt>
                <c:pt idx="171">
                  <c:v>96.393000000000001</c:v>
                </c:pt>
                <c:pt idx="172">
                  <c:v>96.230999999999995</c:v>
                </c:pt>
                <c:pt idx="173">
                  <c:v>96.3</c:v>
                </c:pt>
                <c:pt idx="174">
                  <c:v>96.263000000000005</c:v>
                </c:pt>
                <c:pt idx="175">
                  <c:v>96.305000000000007</c:v>
                </c:pt>
                <c:pt idx="176">
                  <c:v>96.238</c:v>
                </c:pt>
                <c:pt idx="177">
                  <c:v>96.304000000000002</c:v>
                </c:pt>
                <c:pt idx="178">
                  <c:v>96.125</c:v>
                </c:pt>
                <c:pt idx="179">
                  <c:v>96.207999999999998</c:v>
                </c:pt>
                <c:pt idx="180">
                  <c:v>96.137</c:v>
                </c:pt>
                <c:pt idx="181">
                  <c:v>96.158000000000001</c:v>
                </c:pt>
                <c:pt idx="182">
                  <c:v>95.828000000000003</c:v>
                </c:pt>
                <c:pt idx="183">
                  <c:v>95.638000000000005</c:v>
                </c:pt>
                <c:pt idx="184">
                  <c:v>96.325999999999993</c:v>
                </c:pt>
                <c:pt idx="185">
                  <c:v>95.903000000000006</c:v>
                </c:pt>
                <c:pt idx="186">
                  <c:v>95.805999999999997</c:v>
                </c:pt>
                <c:pt idx="187">
                  <c:v>95.563000000000002</c:v>
                </c:pt>
                <c:pt idx="188">
                  <c:v>95.438000000000002</c:v>
                </c:pt>
                <c:pt idx="189">
                  <c:v>95.423000000000002</c:v>
                </c:pt>
                <c:pt idx="190">
                  <c:v>95.411000000000001</c:v>
                </c:pt>
                <c:pt idx="191">
                  <c:v>95.411000000000001</c:v>
                </c:pt>
                <c:pt idx="192">
                  <c:v>95.441000000000003</c:v>
                </c:pt>
                <c:pt idx="193">
                  <c:v>95.688000000000002</c:v>
                </c:pt>
                <c:pt idx="194">
                  <c:v>95.688000000000002</c:v>
                </c:pt>
                <c:pt idx="195">
                  <c:v>95.524000000000001</c:v>
                </c:pt>
                <c:pt idx="196">
                  <c:v>95.599000000000004</c:v>
                </c:pt>
                <c:pt idx="197">
                  <c:v>95.566000000000003</c:v>
                </c:pt>
                <c:pt idx="198">
                  <c:v>95.613</c:v>
                </c:pt>
                <c:pt idx="199">
                  <c:v>95.411000000000001</c:v>
                </c:pt>
                <c:pt idx="200">
                  <c:v>95.286000000000001</c:v>
                </c:pt>
                <c:pt idx="201">
                  <c:v>95.25</c:v>
                </c:pt>
                <c:pt idx="202">
                  <c:v>95.188000000000002</c:v>
                </c:pt>
                <c:pt idx="203">
                  <c:v>95.075000000000003</c:v>
                </c:pt>
                <c:pt idx="204">
                  <c:v>95.147000000000006</c:v>
                </c:pt>
                <c:pt idx="205">
                  <c:v>95.221000000000004</c:v>
                </c:pt>
                <c:pt idx="206">
                  <c:v>95.147000000000006</c:v>
                </c:pt>
                <c:pt idx="207">
                  <c:v>95.144000000000005</c:v>
                </c:pt>
                <c:pt idx="208">
                  <c:v>95.05</c:v>
                </c:pt>
                <c:pt idx="209">
                  <c:v>95</c:v>
                </c:pt>
                <c:pt idx="210">
                  <c:v>94.962000000000003</c:v>
                </c:pt>
                <c:pt idx="211">
                  <c:v>94.888000000000005</c:v>
                </c:pt>
                <c:pt idx="212">
                  <c:v>94.665999999999997</c:v>
                </c:pt>
                <c:pt idx="213">
                  <c:v>94.801000000000002</c:v>
                </c:pt>
                <c:pt idx="214">
                  <c:v>94.801000000000002</c:v>
                </c:pt>
                <c:pt idx="215">
                  <c:v>94.64</c:v>
                </c:pt>
                <c:pt idx="216">
                  <c:v>94.566999999999993</c:v>
                </c:pt>
                <c:pt idx="217">
                  <c:v>94.613</c:v>
                </c:pt>
                <c:pt idx="218">
                  <c:v>94.662000000000006</c:v>
                </c:pt>
                <c:pt idx="219">
                  <c:v>94.662000000000006</c:v>
                </c:pt>
                <c:pt idx="220">
                  <c:v>94.968999999999994</c:v>
                </c:pt>
                <c:pt idx="221">
                  <c:v>95.093999999999994</c:v>
                </c:pt>
                <c:pt idx="222">
                  <c:v>95.343999999999994</c:v>
                </c:pt>
                <c:pt idx="223">
                  <c:v>95.25</c:v>
                </c:pt>
                <c:pt idx="224">
                  <c:v>94.781000000000006</c:v>
                </c:pt>
                <c:pt idx="225">
                  <c:v>94.656000000000006</c:v>
                </c:pt>
                <c:pt idx="226">
                  <c:v>94.093999999999994</c:v>
                </c:pt>
                <c:pt idx="227">
                  <c:v>93.75</c:v>
                </c:pt>
                <c:pt idx="228">
                  <c:v>93.5</c:v>
                </c:pt>
                <c:pt idx="229">
                  <c:v>93.525000000000006</c:v>
                </c:pt>
                <c:pt idx="230">
                  <c:v>93.521000000000001</c:v>
                </c:pt>
                <c:pt idx="231">
                  <c:v>93.488</c:v>
                </c:pt>
                <c:pt idx="232">
                  <c:v>93.313000000000002</c:v>
                </c:pt>
                <c:pt idx="233">
                  <c:v>93.313000000000002</c:v>
                </c:pt>
                <c:pt idx="234">
                  <c:v>93.275000000000006</c:v>
                </c:pt>
                <c:pt idx="235">
                  <c:v>93.25</c:v>
                </c:pt>
                <c:pt idx="236">
                  <c:v>92.968999999999994</c:v>
                </c:pt>
                <c:pt idx="237">
                  <c:v>92.825000000000003</c:v>
                </c:pt>
                <c:pt idx="238">
                  <c:v>92.575000000000003</c:v>
                </c:pt>
                <c:pt idx="239">
                  <c:v>92.531999999999996</c:v>
                </c:pt>
                <c:pt idx="240">
                  <c:v>92.757000000000005</c:v>
                </c:pt>
                <c:pt idx="241">
                  <c:v>93.031999999999996</c:v>
                </c:pt>
                <c:pt idx="242">
                  <c:v>92.924999999999997</c:v>
                </c:pt>
                <c:pt idx="243">
                  <c:v>92.688000000000002</c:v>
                </c:pt>
                <c:pt idx="244">
                  <c:v>93.001999999999995</c:v>
                </c:pt>
                <c:pt idx="245">
                  <c:v>93.125</c:v>
                </c:pt>
                <c:pt idx="246">
                  <c:v>93.25</c:v>
                </c:pt>
                <c:pt idx="247">
                  <c:v>93.311999999999998</c:v>
                </c:pt>
                <c:pt idx="248">
                  <c:v>92.929000000000002</c:v>
                </c:pt>
                <c:pt idx="249">
                  <c:v>92.521000000000001</c:v>
                </c:pt>
                <c:pt idx="250">
                  <c:v>92.444000000000003</c:v>
                </c:pt>
                <c:pt idx="251">
                  <c:v>92.335999999999999</c:v>
                </c:pt>
                <c:pt idx="252">
                  <c:v>92.286000000000001</c:v>
                </c:pt>
                <c:pt idx="253">
                  <c:v>92.355999999999995</c:v>
                </c:pt>
                <c:pt idx="254">
                  <c:v>92.852000000000004</c:v>
                </c:pt>
                <c:pt idx="255">
                  <c:v>92.953999999999994</c:v>
                </c:pt>
                <c:pt idx="256">
                  <c:v>92.995000000000005</c:v>
                </c:pt>
                <c:pt idx="257">
                  <c:v>93.031000000000006</c:v>
                </c:pt>
                <c:pt idx="258">
                  <c:v>93.052000000000007</c:v>
                </c:pt>
                <c:pt idx="259">
                  <c:v>92.986999999999995</c:v>
                </c:pt>
                <c:pt idx="260">
                  <c:v>93.119</c:v>
                </c:pt>
                <c:pt idx="261">
                  <c:v>93.087999999999994</c:v>
                </c:pt>
                <c:pt idx="262">
                  <c:v>93.159000000000006</c:v>
                </c:pt>
                <c:pt idx="263">
                  <c:v>93.075000000000003</c:v>
                </c:pt>
                <c:pt idx="264">
                  <c:v>93.009</c:v>
                </c:pt>
                <c:pt idx="265">
                  <c:v>93.042000000000002</c:v>
                </c:pt>
                <c:pt idx="266">
                  <c:v>93.063000000000002</c:v>
                </c:pt>
                <c:pt idx="267">
                  <c:v>93.244</c:v>
                </c:pt>
                <c:pt idx="268">
                  <c:v>93.063000000000002</c:v>
                </c:pt>
                <c:pt idx="269">
                  <c:v>92.825000000000003</c:v>
                </c:pt>
                <c:pt idx="270">
                  <c:v>92.655000000000001</c:v>
                </c:pt>
                <c:pt idx="271">
                  <c:v>92.63</c:v>
                </c:pt>
                <c:pt idx="272">
                  <c:v>92.55</c:v>
                </c:pt>
                <c:pt idx="273">
                  <c:v>92.745999999999995</c:v>
                </c:pt>
                <c:pt idx="274">
                  <c:v>92.816999999999993</c:v>
                </c:pt>
                <c:pt idx="275">
                  <c:v>92.918000000000006</c:v>
                </c:pt>
                <c:pt idx="276">
                  <c:v>92.882999999999996</c:v>
                </c:pt>
                <c:pt idx="277">
                  <c:v>92.861999999999995</c:v>
                </c:pt>
                <c:pt idx="278">
                  <c:v>92.835999999999999</c:v>
                </c:pt>
                <c:pt idx="279">
                  <c:v>92.963999999999999</c:v>
                </c:pt>
                <c:pt idx="280">
                  <c:v>93.134</c:v>
                </c:pt>
                <c:pt idx="281">
                  <c:v>93.465000000000003</c:v>
                </c:pt>
                <c:pt idx="282">
                  <c:v>93.563999999999993</c:v>
                </c:pt>
                <c:pt idx="283">
                  <c:v>93.506</c:v>
                </c:pt>
                <c:pt idx="284">
                  <c:v>93.53</c:v>
                </c:pt>
                <c:pt idx="285">
                  <c:v>94.125</c:v>
                </c:pt>
                <c:pt idx="286">
                  <c:v>93.006</c:v>
                </c:pt>
                <c:pt idx="287">
                  <c:v>93.162000000000006</c:v>
                </c:pt>
                <c:pt idx="288">
                  <c:v>93.025000000000006</c:v>
                </c:pt>
                <c:pt idx="289">
                  <c:v>93.700999999999993</c:v>
                </c:pt>
                <c:pt idx="290">
                  <c:v>94.56</c:v>
                </c:pt>
                <c:pt idx="291">
                  <c:v>94.638000000000005</c:v>
                </c:pt>
                <c:pt idx="292">
                  <c:v>94.745999999999995</c:v>
                </c:pt>
                <c:pt idx="293">
                  <c:v>94.733000000000004</c:v>
                </c:pt>
                <c:pt idx="294">
                  <c:v>94.35</c:v>
                </c:pt>
                <c:pt idx="295">
                  <c:v>94.983000000000004</c:v>
                </c:pt>
                <c:pt idx="296">
                  <c:v>95.15</c:v>
                </c:pt>
                <c:pt idx="297">
                  <c:v>95.5</c:v>
                </c:pt>
                <c:pt idx="298">
                  <c:v>95.575000000000003</c:v>
                </c:pt>
                <c:pt idx="299">
                  <c:v>96.037000000000006</c:v>
                </c:pt>
                <c:pt idx="300">
                  <c:v>96.191999999999993</c:v>
                </c:pt>
                <c:pt idx="301">
                  <c:v>96.25</c:v>
                </c:pt>
                <c:pt idx="302">
                  <c:v>96.754000000000005</c:v>
                </c:pt>
                <c:pt idx="303">
                  <c:v>97.063000000000002</c:v>
                </c:pt>
                <c:pt idx="304">
                  <c:v>97.4</c:v>
                </c:pt>
                <c:pt idx="305">
                  <c:v>97.396000000000001</c:v>
                </c:pt>
                <c:pt idx="306">
                  <c:v>97.441999999999993</c:v>
                </c:pt>
                <c:pt idx="307">
                  <c:v>97.45</c:v>
                </c:pt>
                <c:pt idx="308">
                  <c:v>97.608000000000004</c:v>
                </c:pt>
                <c:pt idx="309">
                  <c:v>97.787000000000006</c:v>
                </c:pt>
                <c:pt idx="310">
                  <c:v>97.679000000000002</c:v>
                </c:pt>
                <c:pt idx="311">
                  <c:v>97.369</c:v>
                </c:pt>
                <c:pt idx="312">
                  <c:v>97.320999999999998</c:v>
                </c:pt>
                <c:pt idx="313">
                  <c:v>97.262</c:v>
                </c:pt>
                <c:pt idx="314">
                  <c:v>97.186999999999998</c:v>
                </c:pt>
                <c:pt idx="315">
                  <c:v>97.167000000000002</c:v>
                </c:pt>
                <c:pt idx="316">
                  <c:v>97.016999999999996</c:v>
                </c:pt>
                <c:pt idx="317">
                  <c:v>97.113</c:v>
                </c:pt>
                <c:pt idx="318">
                  <c:v>97.1</c:v>
                </c:pt>
                <c:pt idx="319">
                  <c:v>97.2</c:v>
                </c:pt>
                <c:pt idx="320">
                  <c:v>97.3</c:v>
                </c:pt>
                <c:pt idx="321">
                  <c:v>97.658000000000001</c:v>
                </c:pt>
                <c:pt idx="322">
                  <c:v>97.733000000000004</c:v>
                </c:pt>
                <c:pt idx="323">
                  <c:v>97.75</c:v>
                </c:pt>
                <c:pt idx="324">
                  <c:v>97.95</c:v>
                </c:pt>
                <c:pt idx="325">
                  <c:v>98.117000000000004</c:v>
                </c:pt>
                <c:pt idx="326">
                  <c:v>98.075000000000003</c:v>
                </c:pt>
                <c:pt idx="327">
                  <c:v>98.188000000000002</c:v>
                </c:pt>
                <c:pt idx="328">
                  <c:v>98.7</c:v>
                </c:pt>
                <c:pt idx="329">
                  <c:v>98.917000000000002</c:v>
                </c:pt>
                <c:pt idx="330">
                  <c:v>99</c:v>
                </c:pt>
                <c:pt idx="331">
                  <c:v>99.207999999999998</c:v>
                </c:pt>
                <c:pt idx="332">
                  <c:v>99.674999999999997</c:v>
                </c:pt>
                <c:pt idx="333">
                  <c:v>99.7</c:v>
                </c:pt>
                <c:pt idx="334">
                  <c:v>99.436999999999998</c:v>
                </c:pt>
                <c:pt idx="335">
                  <c:v>99.262</c:v>
                </c:pt>
                <c:pt idx="336">
                  <c:v>98.903000000000006</c:v>
                </c:pt>
                <c:pt idx="337">
                  <c:v>98.763000000000005</c:v>
                </c:pt>
                <c:pt idx="338">
                  <c:v>98.799000000000007</c:v>
                </c:pt>
                <c:pt idx="339">
                  <c:v>98.873999999999995</c:v>
                </c:pt>
                <c:pt idx="340">
                  <c:v>98.875</c:v>
                </c:pt>
                <c:pt idx="341">
                  <c:v>98.8</c:v>
                </c:pt>
                <c:pt idx="342">
                  <c:v>99.012</c:v>
                </c:pt>
                <c:pt idx="343">
                  <c:v>98.863</c:v>
                </c:pt>
              </c:numCache>
            </c:numRef>
          </c:val>
          <c:extLst>
            <c:ext xmlns:c16="http://schemas.microsoft.com/office/drawing/2014/chart" uri="{C3380CC4-5D6E-409C-BE32-E72D297353CC}">
              <c16:uniqueId val="{00000000-247F-46BA-B81D-A93739C8BB48}"/>
            </c:ext>
          </c:extLst>
        </c:ser>
        <c:dLbls>
          <c:showLegendKey val="0"/>
          <c:showVal val="0"/>
          <c:showCatName val="0"/>
          <c:showSerName val="0"/>
          <c:showPercent val="0"/>
          <c:showBubbleSize val="0"/>
        </c:dLbls>
        <c:axId val="202135808"/>
        <c:axId val="202141696"/>
      </c:areaChart>
      <c:lineChart>
        <c:grouping val="standard"/>
        <c:varyColors val="0"/>
        <c:ser>
          <c:idx val="1"/>
          <c:order val="1"/>
          <c:tx>
            <c:strRef>
              <c:f>'[Hartije od vrednosti na medjunarodnom trzistu SAJT 04.04.2022 (00000002).xlsx]EUROBOND 2030 offline'!$C$4</c:f>
              <c:strCache>
                <c:ptCount val="1"/>
                <c:pt idx="0">
                  <c:v>Средњи принос до доспећа</c:v>
                </c:pt>
              </c:strCache>
            </c:strRef>
          </c:tx>
          <c:spPr>
            <a:ln>
              <a:solidFill>
                <a:srgbClr val="4472C4">
                  <a:lumMod val="60000"/>
                  <a:lumOff val="40000"/>
                </a:srgbClr>
              </a:solidFill>
            </a:ln>
          </c:spPr>
          <c:marker>
            <c:symbol val="none"/>
          </c:marker>
          <c:cat>
            <c:numRef>
              <c:f>'[Hartije od vrednosti na medjunarodnom trzistu SAJT 04.04.2022 (00000002).xlsx]EUROBOND 2030 offline'!$A$6:$A$349</c:f>
              <c:numCache>
                <c:formatCode>dd\/mm\/yy</c:formatCode>
                <c:ptCount val="344"/>
                <c:pt idx="0">
                  <c:v>44678</c:v>
                </c:pt>
                <c:pt idx="1">
                  <c:v>44677</c:v>
                </c:pt>
                <c:pt idx="2">
                  <c:v>44676</c:v>
                </c:pt>
                <c:pt idx="3">
                  <c:v>44673</c:v>
                </c:pt>
                <c:pt idx="4">
                  <c:v>44672</c:v>
                </c:pt>
                <c:pt idx="5">
                  <c:v>44671</c:v>
                </c:pt>
                <c:pt idx="6">
                  <c:v>44670</c:v>
                </c:pt>
                <c:pt idx="7">
                  <c:v>44665</c:v>
                </c:pt>
                <c:pt idx="8">
                  <c:v>44664</c:v>
                </c:pt>
                <c:pt idx="9">
                  <c:v>44663</c:v>
                </c:pt>
                <c:pt idx="10">
                  <c:v>44662</c:v>
                </c:pt>
                <c:pt idx="11">
                  <c:v>44659</c:v>
                </c:pt>
                <c:pt idx="12">
                  <c:v>44658</c:v>
                </c:pt>
                <c:pt idx="13">
                  <c:v>44657</c:v>
                </c:pt>
                <c:pt idx="14">
                  <c:v>44656</c:v>
                </c:pt>
                <c:pt idx="15">
                  <c:v>44655</c:v>
                </c:pt>
                <c:pt idx="16">
                  <c:v>44652</c:v>
                </c:pt>
                <c:pt idx="17">
                  <c:v>44651</c:v>
                </c:pt>
                <c:pt idx="18">
                  <c:v>44650</c:v>
                </c:pt>
                <c:pt idx="19">
                  <c:v>44649</c:v>
                </c:pt>
                <c:pt idx="20">
                  <c:v>44648</c:v>
                </c:pt>
                <c:pt idx="21">
                  <c:v>44645</c:v>
                </c:pt>
                <c:pt idx="22">
                  <c:v>44644</c:v>
                </c:pt>
                <c:pt idx="23">
                  <c:v>44643</c:v>
                </c:pt>
                <c:pt idx="24">
                  <c:v>44642</c:v>
                </c:pt>
                <c:pt idx="25">
                  <c:v>44641</c:v>
                </c:pt>
                <c:pt idx="26">
                  <c:v>44638</c:v>
                </c:pt>
                <c:pt idx="27">
                  <c:v>44637</c:v>
                </c:pt>
                <c:pt idx="28">
                  <c:v>44636</c:v>
                </c:pt>
                <c:pt idx="29">
                  <c:v>44635</c:v>
                </c:pt>
                <c:pt idx="30">
                  <c:v>44634</c:v>
                </c:pt>
                <c:pt idx="31">
                  <c:v>44631</c:v>
                </c:pt>
                <c:pt idx="32">
                  <c:v>44630</c:v>
                </c:pt>
                <c:pt idx="33">
                  <c:v>44629</c:v>
                </c:pt>
                <c:pt idx="34">
                  <c:v>44628</c:v>
                </c:pt>
                <c:pt idx="35">
                  <c:v>44627</c:v>
                </c:pt>
                <c:pt idx="36">
                  <c:v>44624</c:v>
                </c:pt>
                <c:pt idx="37">
                  <c:v>44623</c:v>
                </c:pt>
                <c:pt idx="38">
                  <c:v>44622</c:v>
                </c:pt>
                <c:pt idx="39">
                  <c:v>44621</c:v>
                </c:pt>
                <c:pt idx="40">
                  <c:v>44620</c:v>
                </c:pt>
                <c:pt idx="41">
                  <c:v>44617</c:v>
                </c:pt>
                <c:pt idx="42">
                  <c:v>44616</c:v>
                </c:pt>
                <c:pt idx="43">
                  <c:v>44615</c:v>
                </c:pt>
                <c:pt idx="44">
                  <c:v>44614</c:v>
                </c:pt>
                <c:pt idx="45">
                  <c:v>44613</c:v>
                </c:pt>
                <c:pt idx="46">
                  <c:v>44610</c:v>
                </c:pt>
                <c:pt idx="47">
                  <c:v>44609</c:v>
                </c:pt>
                <c:pt idx="48">
                  <c:v>44608</c:v>
                </c:pt>
                <c:pt idx="49">
                  <c:v>44607</c:v>
                </c:pt>
                <c:pt idx="50">
                  <c:v>44606</c:v>
                </c:pt>
                <c:pt idx="51">
                  <c:v>44603</c:v>
                </c:pt>
                <c:pt idx="52">
                  <c:v>44602</c:v>
                </c:pt>
                <c:pt idx="53">
                  <c:v>44601</c:v>
                </c:pt>
                <c:pt idx="54">
                  <c:v>44600</c:v>
                </c:pt>
                <c:pt idx="55">
                  <c:v>44599</c:v>
                </c:pt>
                <c:pt idx="56">
                  <c:v>44596</c:v>
                </c:pt>
                <c:pt idx="57">
                  <c:v>44595</c:v>
                </c:pt>
                <c:pt idx="58">
                  <c:v>44594</c:v>
                </c:pt>
                <c:pt idx="59">
                  <c:v>44593</c:v>
                </c:pt>
                <c:pt idx="60">
                  <c:v>44592</c:v>
                </c:pt>
                <c:pt idx="61">
                  <c:v>44589</c:v>
                </c:pt>
                <c:pt idx="62">
                  <c:v>44588</c:v>
                </c:pt>
                <c:pt idx="63">
                  <c:v>44587</c:v>
                </c:pt>
                <c:pt idx="64">
                  <c:v>44586</c:v>
                </c:pt>
                <c:pt idx="65">
                  <c:v>44585</c:v>
                </c:pt>
                <c:pt idx="66">
                  <c:v>44582</c:v>
                </c:pt>
                <c:pt idx="67">
                  <c:v>44581</c:v>
                </c:pt>
                <c:pt idx="68">
                  <c:v>44580</c:v>
                </c:pt>
                <c:pt idx="69">
                  <c:v>44579</c:v>
                </c:pt>
                <c:pt idx="70">
                  <c:v>44578</c:v>
                </c:pt>
                <c:pt idx="71">
                  <c:v>44575</c:v>
                </c:pt>
                <c:pt idx="72">
                  <c:v>44574</c:v>
                </c:pt>
                <c:pt idx="73">
                  <c:v>44573</c:v>
                </c:pt>
                <c:pt idx="74">
                  <c:v>44572</c:v>
                </c:pt>
                <c:pt idx="75">
                  <c:v>44571</c:v>
                </c:pt>
                <c:pt idx="76">
                  <c:v>44568</c:v>
                </c:pt>
                <c:pt idx="77">
                  <c:v>44567</c:v>
                </c:pt>
                <c:pt idx="78">
                  <c:v>44566</c:v>
                </c:pt>
                <c:pt idx="79">
                  <c:v>44565</c:v>
                </c:pt>
                <c:pt idx="80">
                  <c:v>44561</c:v>
                </c:pt>
                <c:pt idx="81">
                  <c:v>44560</c:v>
                </c:pt>
                <c:pt idx="82">
                  <c:v>44559</c:v>
                </c:pt>
                <c:pt idx="83">
                  <c:v>44554</c:v>
                </c:pt>
                <c:pt idx="84">
                  <c:v>44553</c:v>
                </c:pt>
                <c:pt idx="85">
                  <c:v>44552</c:v>
                </c:pt>
                <c:pt idx="86">
                  <c:v>44551</c:v>
                </c:pt>
                <c:pt idx="87">
                  <c:v>44550</c:v>
                </c:pt>
                <c:pt idx="88">
                  <c:v>44547</c:v>
                </c:pt>
                <c:pt idx="89">
                  <c:v>44546</c:v>
                </c:pt>
                <c:pt idx="90">
                  <c:v>44545</c:v>
                </c:pt>
                <c:pt idx="91">
                  <c:v>44544</c:v>
                </c:pt>
                <c:pt idx="92">
                  <c:v>44543</c:v>
                </c:pt>
                <c:pt idx="93">
                  <c:v>44540</c:v>
                </c:pt>
                <c:pt idx="94">
                  <c:v>44539</c:v>
                </c:pt>
                <c:pt idx="95">
                  <c:v>44538</c:v>
                </c:pt>
                <c:pt idx="96">
                  <c:v>44537</c:v>
                </c:pt>
                <c:pt idx="97">
                  <c:v>44536</c:v>
                </c:pt>
                <c:pt idx="98">
                  <c:v>44533</c:v>
                </c:pt>
                <c:pt idx="99">
                  <c:v>44532</c:v>
                </c:pt>
                <c:pt idx="100">
                  <c:v>44531</c:v>
                </c:pt>
                <c:pt idx="101">
                  <c:v>44530</c:v>
                </c:pt>
                <c:pt idx="102">
                  <c:v>44529</c:v>
                </c:pt>
                <c:pt idx="103">
                  <c:v>44526</c:v>
                </c:pt>
                <c:pt idx="104">
                  <c:v>44525</c:v>
                </c:pt>
                <c:pt idx="105">
                  <c:v>44524</c:v>
                </c:pt>
                <c:pt idx="106">
                  <c:v>44523</c:v>
                </c:pt>
                <c:pt idx="107">
                  <c:v>44522</c:v>
                </c:pt>
                <c:pt idx="108">
                  <c:v>44519</c:v>
                </c:pt>
                <c:pt idx="109">
                  <c:v>44518</c:v>
                </c:pt>
                <c:pt idx="110">
                  <c:v>44517</c:v>
                </c:pt>
                <c:pt idx="111">
                  <c:v>44516</c:v>
                </c:pt>
                <c:pt idx="112">
                  <c:v>44515</c:v>
                </c:pt>
                <c:pt idx="113">
                  <c:v>44512</c:v>
                </c:pt>
                <c:pt idx="114">
                  <c:v>44511</c:v>
                </c:pt>
                <c:pt idx="115">
                  <c:v>44510</c:v>
                </c:pt>
                <c:pt idx="116">
                  <c:v>44509</c:v>
                </c:pt>
                <c:pt idx="117">
                  <c:v>44508</c:v>
                </c:pt>
                <c:pt idx="118">
                  <c:v>44505</c:v>
                </c:pt>
                <c:pt idx="119">
                  <c:v>44504</c:v>
                </c:pt>
                <c:pt idx="120">
                  <c:v>44503</c:v>
                </c:pt>
                <c:pt idx="121">
                  <c:v>44502</c:v>
                </c:pt>
                <c:pt idx="122">
                  <c:v>44501</c:v>
                </c:pt>
                <c:pt idx="123">
                  <c:v>44498</c:v>
                </c:pt>
                <c:pt idx="124">
                  <c:v>44497</c:v>
                </c:pt>
                <c:pt idx="125">
                  <c:v>44496</c:v>
                </c:pt>
                <c:pt idx="126">
                  <c:v>44495</c:v>
                </c:pt>
                <c:pt idx="127">
                  <c:v>44494</c:v>
                </c:pt>
                <c:pt idx="128">
                  <c:v>44491</c:v>
                </c:pt>
                <c:pt idx="129">
                  <c:v>44490</c:v>
                </c:pt>
                <c:pt idx="130">
                  <c:v>44489</c:v>
                </c:pt>
                <c:pt idx="131">
                  <c:v>44488</c:v>
                </c:pt>
                <c:pt idx="132">
                  <c:v>44487</c:v>
                </c:pt>
                <c:pt idx="133">
                  <c:v>44484</c:v>
                </c:pt>
                <c:pt idx="134">
                  <c:v>44483</c:v>
                </c:pt>
                <c:pt idx="135">
                  <c:v>44482</c:v>
                </c:pt>
                <c:pt idx="136">
                  <c:v>44481</c:v>
                </c:pt>
                <c:pt idx="137">
                  <c:v>44480</c:v>
                </c:pt>
                <c:pt idx="138">
                  <c:v>44477</c:v>
                </c:pt>
                <c:pt idx="139">
                  <c:v>44476</c:v>
                </c:pt>
                <c:pt idx="140">
                  <c:v>44475</c:v>
                </c:pt>
                <c:pt idx="141">
                  <c:v>44474</c:v>
                </c:pt>
                <c:pt idx="142">
                  <c:v>44473</c:v>
                </c:pt>
                <c:pt idx="143">
                  <c:v>44470</c:v>
                </c:pt>
                <c:pt idx="144">
                  <c:v>44469</c:v>
                </c:pt>
                <c:pt idx="145">
                  <c:v>44468</c:v>
                </c:pt>
                <c:pt idx="146">
                  <c:v>44467</c:v>
                </c:pt>
                <c:pt idx="147">
                  <c:v>44466</c:v>
                </c:pt>
                <c:pt idx="148">
                  <c:v>44463</c:v>
                </c:pt>
                <c:pt idx="149">
                  <c:v>44462</c:v>
                </c:pt>
                <c:pt idx="150">
                  <c:v>44461</c:v>
                </c:pt>
                <c:pt idx="151">
                  <c:v>44460</c:v>
                </c:pt>
                <c:pt idx="152">
                  <c:v>44459</c:v>
                </c:pt>
                <c:pt idx="153">
                  <c:v>44456</c:v>
                </c:pt>
                <c:pt idx="154">
                  <c:v>44455</c:v>
                </c:pt>
                <c:pt idx="155">
                  <c:v>44454</c:v>
                </c:pt>
                <c:pt idx="156">
                  <c:v>44453</c:v>
                </c:pt>
                <c:pt idx="157">
                  <c:v>44452</c:v>
                </c:pt>
                <c:pt idx="158">
                  <c:v>44449</c:v>
                </c:pt>
                <c:pt idx="159">
                  <c:v>44448</c:v>
                </c:pt>
                <c:pt idx="160">
                  <c:v>44447</c:v>
                </c:pt>
                <c:pt idx="161">
                  <c:v>44446</c:v>
                </c:pt>
                <c:pt idx="162">
                  <c:v>44445</c:v>
                </c:pt>
                <c:pt idx="163">
                  <c:v>44442</c:v>
                </c:pt>
                <c:pt idx="164">
                  <c:v>44441</c:v>
                </c:pt>
                <c:pt idx="165">
                  <c:v>44440</c:v>
                </c:pt>
                <c:pt idx="166">
                  <c:v>44439</c:v>
                </c:pt>
                <c:pt idx="167">
                  <c:v>44438</c:v>
                </c:pt>
                <c:pt idx="168">
                  <c:v>44435</c:v>
                </c:pt>
                <c:pt idx="169">
                  <c:v>44434</c:v>
                </c:pt>
                <c:pt idx="170">
                  <c:v>44433</c:v>
                </c:pt>
                <c:pt idx="171">
                  <c:v>44432</c:v>
                </c:pt>
                <c:pt idx="172">
                  <c:v>44431</c:v>
                </c:pt>
                <c:pt idx="173">
                  <c:v>44428</c:v>
                </c:pt>
                <c:pt idx="174">
                  <c:v>44427</c:v>
                </c:pt>
                <c:pt idx="175">
                  <c:v>44426</c:v>
                </c:pt>
                <c:pt idx="176">
                  <c:v>44425</c:v>
                </c:pt>
                <c:pt idx="177">
                  <c:v>44424</c:v>
                </c:pt>
                <c:pt idx="178">
                  <c:v>44421</c:v>
                </c:pt>
                <c:pt idx="179">
                  <c:v>44420</c:v>
                </c:pt>
                <c:pt idx="180">
                  <c:v>44419</c:v>
                </c:pt>
                <c:pt idx="181">
                  <c:v>44418</c:v>
                </c:pt>
                <c:pt idx="182">
                  <c:v>44417</c:v>
                </c:pt>
                <c:pt idx="183">
                  <c:v>44414</c:v>
                </c:pt>
                <c:pt idx="184">
                  <c:v>44413</c:v>
                </c:pt>
                <c:pt idx="185">
                  <c:v>44412</c:v>
                </c:pt>
                <c:pt idx="186">
                  <c:v>44411</c:v>
                </c:pt>
                <c:pt idx="187">
                  <c:v>44410</c:v>
                </c:pt>
                <c:pt idx="188">
                  <c:v>44407</c:v>
                </c:pt>
                <c:pt idx="189">
                  <c:v>44406</c:v>
                </c:pt>
                <c:pt idx="190">
                  <c:v>44405</c:v>
                </c:pt>
                <c:pt idx="191">
                  <c:v>44404</c:v>
                </c:pt>
                <c:pt idx="192">
                  <c:v>44403</c:v>
                </c:pt>
                <c:pt idx="193">
                  <c:v>44400</c:v>
                </c:pt>
                <c:pt idx="194">
                  <c:v>44399</c:v>
                </c:pt>
                <c:pt idx="195">
                  <c:v>44398</c:v>
                </c:pt>
                <c:pt idx="196">
                  <c:v>44397</c:v>
                </c:pt>
                <c:pt idx="197">
                  <c:v>44396</c:v>
                </c:pt>
                <c:pt idx="198">
                  <c:v>44393</c:v>
                </c:pt>
                <c:pt idx="199">
                  <c:v>44392</c:v>
                </c:pt>
                <c:pt idx="200">
                  <c:v>44391</c:v>
                </c:pt>
                <c:pt idx="201">
                  <c:v>44390</c:v>
                </c:pt>
                <c:pt idx="202">
                  <c:v>44389</c:v>
                </c:pt>
                <c:pt idx="203">
                  <c:v>44386</c:v>
                </c:pt>
                <c:pt idx="204">
                  <c:v>44385</c:v>
                </c:pt>
                <c:pt idx="205">
                  <c:v>44384</c:v>
                </c:pt>
                <c:pt idx="206">
                  <c:v>44383</c:v>
                </c:pt>
                <c:pt idx="207">
                  <c:v>44382</c:v>
                </c:pt>
                <c:pt idx="208">
                  <c:v>44379</c:v>
                </c:pt>
                <c:pt idx="209">
                  <c:v>44378</c:v>
                </c:pt>
                <c:pt idx="210">
                  <c:v>44377</c:v>
                </c:pt>
                <c:pt idx="211">
                  <c:v>44376</c:v>
                </c:pt>
                <c:pt idx="212">
                  <c:v>44375</c:v>
                </c:pt>
                <c:pt idx="213">
                  <c:v>44372</c:v>
                </c:pt>
                <c:pt idx="214">
                  <c:v>44371</c:v>
                </c:pt>
                <c:pt idx="215">
                  <c:v>44370</c:v>
                </c:pt>
                <c:pt idx="216">
                  <c:v>44369</c:v>
                </c:pt>
                <c:pt idx="217">
                  <c:v>44368</c:v>
                </c:pt>
                <c:pt idx="218">
                  <c:v>44365</c:v>
                </c:pt>
                <c:pt idx="219">
                  <c:v>44364</c:v>
                </c:pt>
                <c:pt idx="220">
                  <c:v>44363</c:v>
                </c:pt>
                <c:pt idx="221">
                  <c:v>44362</c:v>
                </c:pt>
                <c:pt idx="222">
                  <c:v>44361</c:v>
                </c:pt>
                <c:pt idx="223">
                  <c:v>44358</c:v>
                </c:pt>
                <c:pt idx="224">
                  <c:v>44357</c:v>
                </c:pt>
                <c:pt idx="225">
                  <c:v>44356</c:v>
                </c:pt>
                <c:pt idx="226">
                  <c:v>44355</c:v>
                </c:pt>
                <c:pt idx="227">
                  <c:v>44354</c:v>
                </c:pt>
                <c:pt idx="228">
                  <c:v>44351</c:v>
                </c:pt>
                <c:pt idx="229">
                  <c:v>44350</c:v>
                </c:pt>
                <c:pt idx="230">
                  <c:v>44349</c:v>
                </c:pt>
                <c:pt idx="231">
                  <c:v>44348</c:v>
                </c:pt>
                <c:pt idx="232">
                  <c:v>44344</c:v>
                </c:pt>
                <c:pt idx="233">
                  <c:v>44343</c:v>
                </c:pt>
                <c:pt idx="234">
                  <c:v>44342</c:v>
                </c:pt>
                <c:pt idx="235">
                  <c:v>44341</c:v>
                </c:pt>
                <c:pt idx="236">
                  <c:v>44340</c:v>
                </c:pt>
                <c:pt idx="237">
                  <c:v>44337</c:v>
                </c:pt>
                <c:pt idx="238">
                  <c:v>44336</c:v>
                </c:pt>
                <c:pt idx="239">
                  <c:v>44335</c:v>
                </c:pt>
                <c:pt idx="240">
                  <c:v>44334</c:v>
                </c:pt>
                <c:pt idx="241">
                  <c:v>44333</c:v>
                </c:pt>
                <c:pt idx="242">
                  <c:v>44330</c:v>
                </c:pt>
                <c:pt idx="243">
                  <c:v>44329</c:v>
                </c:pt>
                <c:pt idx="244">
                  <c:v>44328</c:v>
                </c:pt>
                <c:pt idx="245">
                  <c:v>44327</c:v>
                </c:pt>
                <c:pt idx="246">
                  <c:v>44326</c:v>
                </c:pt>
                <c:pt idx="247">
                  <c:v>44323</c:v>
                </c:pt>
                <c:pt idx="248">
                  <c:v>44322</c:v>
                </c:pt>
                <c:pt idx="249">
                  <c:v>44321</c:v>
                </c:pt>
                <c:pt idx="250">
                  <c:v>44320</c:v>
                </c:pt>
                <c:pt idx="251">
                  <c:v>44316</c:v>
                </c:pt>
                <c:pt idx="252">
                  <c:v>44315</c:v>
                </c:pt>
                <c:pt idx="253">
                  <c:v>44314</c:v>
                </c:pt>
                <c:pt idx="254">
                  <c:v>44313</c:v>
                </c:pt>
                <c:pt idx="255">
                  <c:v>44312</c:v>
                </c:pt>
                <c:pt idx="256">
                  <c:v>44309</c:v>
                </c:pt>
                <c:pt idx="257">
                  <c:v>44308</c:v>
                </c:pt>
                <c:pt idx="258">
                  <c:v>44307</c:v>
                </c:pt>
                <c:pt idx="259">
                  <c:v>44306</c:v>
                </c:pt>
                <c:pt idx="260">
                  <c:v>44305</c:v>
                </c:pt>
                <c:pt idx="261">
                  <c:v>44302</c:v>
                </c:pt>
                <c:pt idx="262">
                  <c:v>44301</c:v>
                </c:pt>
                <c:pt idx="263">
                  <c:v>44300</c:v>
                </c:pt>
                <c:pt idx="264">
                  <c:v>44299</c:v>
                </c:pt>
                <c:pt idx="265">
                  <c:v>44298</c:v>
                </c:pt>
                <c:pt idx="266">
                  <c:v>44295</c:v>
                </c:pt>
                <c:pt idx="267">
                  <c:v>44294</c:v>
                </c:pt>
                <c:pt idx="268">
                  <c:v>44293</c:v>
                </c:pt>
                <c:pt idx="269">
                  <c:v>44292</c:v>
                </c:pt>
                <c:pt idx="270">
                  <c:v>44287</c:v>
                </c:pt>
                <c:pt idx="271">
                  <c:v>44286</c:v>
                </c:pt>
                <c:pt idx="272">
                  <c:v>44285</c:v>
                </c:pt>
                <c:pt idx="273">
                  <c:v>44284</c:v>
                </c:pt>
                <c:pt idx="274">
                  <c:v>44281</c:v>
                </c:pt>
                <c:pt idx="275">
                  <c:v>44280</c:v>
                </c:pt>
                <c:pt idx="276">
                  <c:v>44279</c:v>
                </c:pt>
                <c:pt idx="277">
                  <c:v>44278</c:v>
                </c:pt>
                <c:pt idx="278">
                  <c:v>44277</c:v>
                </c:pt>
                <c:pt idx="279">
                  <c:v>44274</c:v>
                </c:pt>
                <c:pt idx="280">
                  <c:v>44273</c:v>
                </c:pt>
                <c:pt idx="281">
                  <c:v>44272</c:v>
                </c:pt>
                <c:pt idx="282">
                  <c:v>44271</c:v>
                </c:pt>
                <c:pt idx="283">
                  <c:v>44270</c:v>
                </c:pt>
                <c:pt idx="284">
                  <c:v>44267</c:v>
                </c:pt>
                <c:pt idx="285">
                  <c:v>44266</c:v>
                </c:pt>
                <c:pt idx="286">
                  <c:v>44265</c:v>
                </c:pt>
                <c:pt idx="287">
                  <c:v>44264</c:v>
                </c:pt>
                <c:pt idx="288">
                  <c:v>44263</c:v>
                </c:pt>
                <c:pt idx="289">
                  <c:v>44260</c:v>
                </c:pt>
                <c:pt idx="290">
                  <c:v>44259</c:v>
                </c:pt>
                <c:pt idx="291">
                  <c:v>44258</c:v>
                </c:pt>
                <c:pt idx="292">
                  <c:v>44257</c:v>
                </c:pt>
                <c:pt idx="293">
                  <c:v>44256</c:v>
                </c:pt>
                <c:pt idx="294">
                  <c:v>44253</c:v>
                </c:pt>
                <c:pt idx="295">
                  <c:v>44252</c:v>
                </c:pt>
                <c:pt idx="296">
                  <c:v>44251</c:v>
                </c:pt>
                <c:pt idx="297">
                  <c:v>44250</c:v>
                </c:pt>
                <c:pt idx="298">
                  <c:v>44249</c:v>
                </c:pt>
                <c:pt idx="299">
                  <c:v>44246</c:v>
                </c:pt>
                <c:pt idx="300">
                  <c:v>44245</c:v>
                </c:pt>
                <c:pt idx="301">
                  <c:v>44244</c:v>
                </c:pt>
                <c:pt idx="302">
                  <c:v>44243</c:v>
                </c:pt>
                <c:pt idx="303">
                  <c:v>44242</c:v>
                </c:pt>
                <c:pt idx="304">
                  <c:v>44239</c:v>
                </c:pt>
                <c:pt idx="305">
                  <c:v>44238</c:v>
                </c:pt>
                <c:pt idx="306">
                  <c:v>44237</c:v>
                </c:pt>
                <c:pt idx="307">
                  <c:v>44236</c:v>
                </c:pt>
                <c:pt idx="308">
                  <c:v>44235</c:v>
                </c:pt>
                <c:pt idx="309">
                  <c:v>44232</c:v>
                </c:pt>
                <c:pt idx="310">
                  <c:v>44231</c:v>
                </c:pt>
                <c:pt idx="311">
                  <c:v>44230</c:v>
                </c:pt>
                <c:pt idx="312">
                  <c:v>44229</c:v>
                </c:pt>
                <c:pt idx="313">
                  <c:v>44228</c:v>
                </c:pt>
                <c:pt idx="314">
                  <c:v>44225</c:v>
                </c:pt>
                <c:pt idx="315">
                  <c:v>44224</c:v>
                </c:pt>
                <c:pt idx="316">
                  <c:v>44223</c:v>
                </c:pt>
                <c:pt idx="317">
                  <c:v>44222</c:v>
                </c:pt>
                <c:pt idx="318">
                  <c:v>44221</c:v>
                </c:pt>
                <c:pt idx="319">
                  <c:v>44218</c:v>
                </c:pt>
                <c:pt idx="320">
                  <c:v>44217</c:v>
                </c:pt>
                <c:pt idx="321">
                  <c:v>44216</c:v>
                </c:pt>
                <c:pt idx="322">
                  <c:v>44215</c:v>
                </c:pt>
                <c:pt idx="323">
                  <c:v>44214</c:v>
                </c:pt>
                <c:pt idx="324">
                  <c:v>44211</c:v>
                </c:pt>
                <c:pt idx="325">
                  <c:v>44210</c:v>
                </c:pt>
                <c:pt idx="326">
                  <c:v>44209</c:v>
                </c:pt>
                <c:pt idx="327">
                  <c:v>44208</c:v>
                </c:pt>
                <c:pt idx="328">
                  <c:v>44207</c:v>
                </c:pt>
                <c:pt idx="329">
                  <c:v>44204</c:v>
                </c:pt>
                <c:pt idx="330">
                  <c:v>44203</c:v>
                </c:pt>
                <c:pt idx="331">
                  <c:v>44202</c:v>
                </c:pt>
                <c:pt idx="332">
                  <c:v>44201</c:v>
                </c:pt>
                <c:pt idx="333">
                  <c:v>44200</c:v>
                </c:pt>
                <c:pt idx="334">
                  <c:v>44196</c:v>
                </c:pt>
                <c:pt idx="335">
                  <c:v>44195</c:v>
                </c:pt>
                <c:pt idx="336">
                  <c:v>44194</c:v>
                </c:pt>
                <c:pt idx="337">
                  <c:v>44193</c:v>
                </c:pt>
                <c:pt idx="338">
                  <c:v>44189</c:v>
                </c:pt>
                <c:pt idx="339">
                  <c:v>44188</c:v>
                </c:pt>
                <c:pt idx="340">
                  <c:v>44187</c:v>
                </c:pt>
                <c:pt idx="341">
                  <c:v>44186</c:v>
                </c:pt>
                <c:pt idx="342">
                  <c:v>44183</c:v>
                </c:pt>
                <c:pt idx="343">
                  <c:v>44182</c:v>
                </c:pt>
              </c:numCache>
            </c:numRef>
          </c:cat>
          <c:val>
            <c:numRef>
              <c:f>'[Hartije od vrednosti na medjunarodnom trzistu SAJT 04.04.2022 (00000002).xlsx]EUROBOND 2030 offline'!$C$6:$C$349</c:f>
              <c:numCache>
                <c:formatCode>#,##0.000</c:formatCode>
                <c:ptCount val="344"/>
                <c:pt idx="0">
                  <c:v>5.3869999999999996</c:v>
                </c:pt>
                <c:pt idx="1">
                  <c:v>5.3570000000000002</c:v>
                </c:pt>
                <c:pt idx="2">
                  <c:v>5.3440000000000003</c:v>
                </c:pt>
                <c:pt idx="3">
                  <c:v>5.1859999999999999</c:v>
                </c:pt>
                <c:pt idx="4">
                  <c:v>5.1079999999999997</c:v>
                </c:pt>
                <c:pt idx="5">
                  <c:v>5.085</c:v>
                </c:pt>
                <c:pt idx="6">
                  <c:v>5.0810000000000004</c:v>
                </c:pt>
                <c:pt idx="7">
                  <c:v>4.9779999999999998</c:v>
                </c:pt>
                <c:pt idx="8">
                  <c:v>4.9480000000000004</c:v>
                </c:pt>
                <c:pt idx="9">
                  <c:v>4.8849999999999998</c:v>
                </c:pt>
                <c:pt idx="10">
                  <c:v>4.7709999999999999</c:v>
                </c:pt>
                <c:pt idx="11">
                  <c:v>4.5709999999999997</c:v>
                </c:pt>
                <c:pt idx="12">
                  <c:v>4.5359999999999996</c:v>
                </c:pt>
                <c:pt idx="13">
                  <c:v>4.5250000000000004</c:v>
                </c:pt>
                <c:pt idx="14">
                  <c:v>4.4119999999999999</c:v>
                </c:pt>
                <c:pt idx="15">
                  <c:v>4.351</c:v>
                </c:pt>
                <c:pt idx="16">
                  <c:v>4.3449999999999998</c:v>
                </c:pt>
                <c:pt idx="17">
                  <c:v>4.3479999999999999</c:v>
                </c:pt>
                <c:pt idx="18">
                  <c:v>4.2619999999999996</c:v>
                </c:pt>
                <c:pt idx="19">
                  <c:v>4.2480000000000002</c:v>
                </c:pt>
                <c:pt idx="20">
                  <c:v>4.3280000000000003</c:v>
                </c:pt>
                <c:pt idx="21">
                  <c:v>4.2919999999999998</c:v>
                </c:pt>
                <c:pt idx="22">
                  <c:v>4.3049999999999997</c:v>
                </c:pt>
                <c:pt idx="23">
                  <c:v>4.1740000000000004</c:v>
                </c:pt>
                <c:pt idx="24">
                  <c:v>4.1500000000000004</c:v>
                </c:pt>
                <c:pt idx="25">
                  <c:v>3.968</c:v>
                </c:pt>
                <c:pt idx="26">
                  <c:v>3.9180000000000001</c:v>
                </c:pt>
                <c:pt idx="27">
                  <c:v>3.9830000000000001</c:v>
                </c:pt>
                <c:pt idx="28">
                  <c:v>4.2809999999999997</c:v>
                </c:pt>
                <c:pt idx="29">
                  <c:v>5.0549999999999997</c:v>
                </c:pt>
                <c:pt idx="30">
                  <c:v>5.0750000000000002</c:v>
                </c:pt>
                <c:pt idx="31">
                  <c:v>5.0789999999999997</c:v>
                </c:pt>
                <c:pt idx="32">
                  <c:v>5.0439999999999996</c:v>
                </c:pt>
                <c:pt idx="33">
                  <c:v>5.056</c:v>
                </c:pt>
                <c:pt idx="34">
                  <c:v>5.0519999999999996</c:v>
                </c:pt>
                <c:pt idx="35">
                  <c:v>4.819</c:v>
                </c:pt>
                <c:pt idx="36">
                  <c:v>4.6849999999999996</c:v>
                </c:pt>
                <c:pt idx="37">
                  <c:v>4.4889999999999999</c:v>
                </c:pt>
                <c:pt idx="38">
                  <c:v>4.4329999999999998</c:v>
                </c:pt>
                <c:pt idx="39">
                  <c:v>4.3730000000000002</c:v>
                </c:pt>
                <c:pt idx="40">
                  <c:v>4.3040000000000003</c:v>
                </c:pt>
                <c:pt idx="41">
                  <c:v>4.0750000000000002</c:v>
                </c:pt>
                <c:pt idx="42">
                  <c:v>4.3949999999999996</c:v>
                </c:pt>
                <c:pt idx="43">
                  <c:v>3.9359999999999999</c:v>
                </c:pt>
                <c:pt idx="44">
                  <c:v>3.7839999999999998</c:v>
                </c:pt>
                <c:pt idx="45">
                  <c:v>3.7360000000000002</c:v>
                </c:pt>
                <c:pt idx="46">
                  <c:v>3.7240000000000002</c:v>
                </c:pt>
                <c:pt idx="47">
                  <c:v>3.7069999999999999</c:v>
                </c:pt>
                <c:pt idx="48">
                  <c:v>3.7559999999999998</c:v>
                </c:pt>
                <c:pt idx="49">
                  <c:v>3.7629999999999999</c:v>
                </c:pt>
                <c:pt idx="50">
                  <c:v>3.7629999999999999</c:v>
                </c:pt>
                <c:pt idx="51">
                  <c:v>3.7690000000000001</c:v>
                </c:pt>
                <c:pt idx="52">
                  <c:v>3.6360000000000001</c:v>
                </c:pt>
                <c:pt idx="53">
                  <c:v>3.6240000000000001</c:v>
                </c:pt>
                <c:pt idx="54">
                  <c:v>3.7240000000000002</c:v>
                </c:pt>
                <c:pt idx="55">
                  <c:v>3.6970000000000001</c:v>
                </c:pt>
                <c:pt idx="56">
                  <c:v>3.6070000000000002</c:v>
                </c:pt>
                <c:pt idx="57">
                  <c:v>3.5</c:v>
                </c:pt>
                <c:pt idx="58">
                  <c:v>3.4239999999999999</c:v>
                </c:pt>
                <c:pt idx="59">
                  <c:v>3.43</c:v>
                </c:pt>
                <c:pt idx="60">
                  <c:v>3.4169999999999998</c:v>
                </c:pt>
                <c:pt idx="61">
                  <c:v>3.4359999999999999</c:v>
                </c:pt>
                <c:pt idx="62">
                  <c:v>3.411</c:v>
                </c:pt>
                <c:pt idx="63">
                  <c:v>3.4319999999999999</c:v>
                </c:pt>
                <c:pt idx="64">
                  <c:v>3.4289999999999998</c:v>
                </c:pt>
                <c:pt idx="65">
                  <c:v>3.4319999999999999</c:v>
                </c:pt>
                <c:pt idx="66">
                  <c:v>3.3929999999999998</c:v>
                </c:pt>
                <c:pt idx="67">
                  <c:v>3.4390000000000001</c:v>
                </c:pt>
                <c:pt idx="68">
                  <c:v>3.395</c:v>
                </c:pt>
                <c:pt idx="69">
                  <c:v>3.371</c:v>
                </c:pt>
                <c:pt idx="70">
                  <c:v>3.2109999999999999</c:v>
                </c:pt>
                <c:pt idx="71">
                  <c:v>3.1909999999999998</c:v>
                </c:pt>
                <c:pt idx="72">
                  <c:v>3.1059999999999999</c:v>
                </c:pt>
                <c:pt idx="73">
                  <c:v>3.0960000000000001</c:v>
                </c:pt>
                <c:pt idx="74">
                  <c:v>3.0920000000000001</c:v>
                </c:pt>
                <c:pt idx="75">
                  <c:v>3.0710000000000002</c:v>
                </c:pt>
                <c:pt idx="76">
                  <c:v>3.0150000000000001</c:v>
                </c:pt>
                <c:pt idx="77">
                  <c:v>3.0230000000000001</c:v>
                </c:pt>
                <c:pt idx="78">
                  <c:v>2.9620000000000002</c:v>
                </c:pt>
                <c:pt idx="79">
                  <c:v>2.9380000000000002</c:v>
                </c:pt>
                <c:pt idx="80">
                  <c:v>2.89</c:v>
                </c:pt>
                <c:pt idx="81">
                  <c:v>2.8740000000000001</c:v>
                </c:pt>
                <c:pt idx="82">
                  <c:v>2.9209999999999998</c:v>
                </c:pt>
                <c:pt idx="83">
                  <c:v>2.9089999999999998</c:v>
                </c:pt>
                <c:pt idx="84">
                  <c:v>2.903</c:v>
                </c:pt>
                <c:pt idx="85">
                  <c:v>2.8769999999999998</c:v>
                </c:pt>
                <c:pt idx="86">
                  <c:v>2.8639999999999999</c:v>
                </c:pt>
                <c:pt idx="87">
                  <c:v>2.8620000000000001</c:v>
                </c:pt>
                <c:pt idx="88">
                  <c:v>2.8740000000000001</c:v>
                </c:pt>
                <c:pt idx="89">
                  <c:v>2.8769999999999998</c:v>
                </c:pt>
                <c:pt idx="90">
                  <c:v>2.8940000000000001</c:v>
                </c:pt>
                <c:pt idx="91">
                  <c:v>2.9020000000000001</c:v>
                </c:pt>
                <c:pt idx="92">
                  <c:v>2.8959999999999999</c:v>
                </c:pt>
                <c:pt idx="93">
                  <c:v>2.9020000000000001</c:v>
                </c:pt>
                <c:pt idx="94">
                  <c:v>2.8849999999999998</c:v>
                </c:pt>
                <c:pt idx="95">
                  <c:v>2.883</c:v>
                </c:pt>
                <c:pt idx="96">
                  <c:v>2.887</c:v>
                </c:pt>
                <c:pt idx="97">
                  <c:v>2.891</c:v>
                </c:pt>
                <c:pt idx="98">
                  <c:v>2.8239999999999998</c:v>
                </c:pt>
                <c:pt idx="99">
                  <c:v>2.9620000000000002</c:v>
                </c:pt>
                <c:pt idx="100">
                  <c:v>3.089</c:v>
                </c:pt>
                <c:pt idx="101">
                  <c:v>3.2109999999999999</c:v>
                </c:pt>
                <c:pt idx="102">
                  <c:v>3.214</c:v>
                </c:pt>
                <c:pt idx="103">
                  <c:v>3.2290000000000001</c:v>
                </c:pt>
                <c:pt idx="104">
                  <c:v>3.1139999999999999</c:v>
                </c:pt>
                <c:pt idx="105">
                  <c:v>3.097</c:v>
                </c:pt>
                <c:pt idx="106">
                  <c:v>3.0590000000000002</c:v>
                </c:pt>
                <c:pt idx="107">
                  <c:v>2.96</c:v>
                </c:pt>
                <c:pt idx="108">
                  <c:v>2.9260000000000002</c:v>
                </c:pt>
                <c:pt idx="109">
                  <c:v>2.9169999999999998</c:v>
                </c:pt>
                <c:pt idx="110">
                  <c:v>2.9060000000000001</c:v>
                </c:pt>
                <c:pt idx="111">
                  <c:v>2.887</c:v>
                </c:pt>
                <c:pt idx="112">
                  <c:v>2.8540000000000001</c:v>
                </c:pt>
                <c:pt idx="113">
                  <c:v>2.8180000000000001</c:v>
                </c:pt>
                <c:pt idx="114">
                  <c:v>2.7690000000000001</c:v>
                </c:pt>
                <c:pt idx="115">
                  <c:v>2.7450000000000001</c:v>
                </c:pt>
                <c:pt idx="116">
                  <c:v>2.7010000000000001</c:v>
                </c:pt>
                <c:pt idx="117">
                  <c:v>2.722</c:v>
                </c:pt>
                <c:pt idx="118">
                  <c:v>2.8170000000000002</c:v>
                </c:pt>
                <c:pt idx="119">
                  <c:v>2.9039999999999999</c:v>
                </c:pt>
                <c:pt idx="120">
                  <c:v>2.9529999999999998</c:v>
                </c:pt>
                <c:pt idx="121">
                  <c:v>2.9580000000000002</c:v>
                </c:pt>
                <c:pt idx="122">
                  <c:v>2.9550000000000001</c:v>
                </c:pt>
                <c:pt idx="123">
                  <c:v>2.9510000000000001</c:v>
                </c:pt>
                <c:pt idx="124">
                  <c:v>2.9409999999999998</c:v>
                </c:pt>
                <c:pt idx="125">
                  <c:v>2.9529999999999998</c:v>
                </c:pt>
                <c:pt idx="126">
                  <c:v>2.9910000000000001</c:v>
                </c:pt>
                <c:pt idx="127">
                  <c:v>2.996</c:v>
                </c:pt>
                <c:pt idx="128">
                  <c:v>2.9849999999999999</c:v>
                </c:pt>
                <c:pt idx="129">
                  <c:v>2.988</c:v>
                </c:pt>
                <c:pt idx="130">
                  <c:v>2.9910000000000001</c:v>
                </c:pt>
                <c:pt idx="131">
                  <c:v>2.9620000000000002</c:v>
                </c:pt>
                <c:pt idx="132">
                  <c:v>2.9220000000000002</c:v>
                </c:pt>
                <c:pt idx="133">
                  <c:v>2.9009999999999998</c:v>
                </c:pt>
                <c:pt idx="134">
                  <c:v>2.8929999999999998</c:v>
                </c:pt>
                <c:pt idx="135">
                  <c:v>2.9860000000000002</c:v>
                </c:pt>
                <c:pt idx="136">
                  <c:v>2.9980000000000002</c:v>
                </c:pt>
                <c:pt idx="137">
                  <c:v>2.9910000000000001</c:v>
                </c:pt>
                <c:pt idx="138">
                  <c:v>2.9820000000000002</c:v>
                </c:pt>
                <c:pt idx="139">
                  <c:v>2.9710000000000001</c:v>
                </c:pt>
                <c:pt idx="140">
                  <c:v>3.0259999999999998</c:v>
                </c:pt>
                <c:pt idx="141">
                  <c:v>2.9830000000000001</c:v>
                </c:pt>
                <c:pt idx="142">
                  <c:v>2.976</c:v>
                </c:pt>
                <c:pt idx="143">
                  <c:v>2.9489999999999998</c:v>
                </c:pt>
                <c:pt idx="144">
                  <c:v>2.923</c:v>
                </c:pt>
                <c:pt idx="145">
                  <c:v>2.93</c:v>
                </c:pt>
                <c:pt idx="146">
                  <c:v>2.9420000000000002</c:v>
                </c:pt>
                <c:pt idx="147">
                  <c:v>2.7330000000000001</c:v>
                </c:pt>
                <c:pt idx="148">
                  <c:v>2.6669999999999998</c:v>
                </c:pt>
                <c:pt idx="149">
                  <c:v>2.6280000000000001</c:v>
                </c:pt>
                <c:pt idx="150">
                  <c:v>2.6019999999999999</c:v>
                </c:pt>
                <c:pt idx="151">
                  <c:v>2.589</c:v>
                </c:pt>
                <c:pt idx="152">
                  <c:v>2.5920000000000001</c:v>
                </c:pt>
                <c:pt idx="153">
                  <c:v>2.5539999999999998</c:v>
                </c:pt>
                <c:pt idx="154">
                  <c:v>2.5619999999999998</c:v>
                </c:pt>
                <c:pt idx="155">
                  <c:v>2.5790000000000002</c:v>
                </c:pt>
                <c:pt idx="156">
                  <c:v>2.5990000000000002</c:v>
                </c:pt>
                <c:pt idx="157">
                  <c:v>2.5449999999999999</c:v>
                </c:pt>
                <c:pt idx="158">
                  <c:v>2.5409999999999999</c:v>
                </c:pt>
                <c:pt idx="159">
                  <c:v>2.5390000000000001</c:v>
                </c:pt>
                <c:pt idx="160">
                  <c:v>2.5230000000000001</c:v>
                </c:pt>
                <c:pt idx="161">
                  <c:v>2.5419999999999998</c:v>
                </c:pt>
                <c:pt idx="162">
                  <c:v>2.5230000000000001</c:v>
                </c:pt>
                <c:pt idx="163">
                  <c:v>2.5609999999999999</c:v>
                </c:pt>
                <c:pt idx="164">
                  <c:v>2.5209999999999999</c:v>
                </c:pt>
                <c:pt idx="165">
                  <c:v>2.5379999999999998</c:v>
                </c:pt>
                <c:pt idx="166">
                  <c:v>2.5230000000000001</c:v>
                </c:pt>
                <c:pt idx="167">
                  <c:v>2.5609999999999999</c:v>
                </c:pt>
                <c:pt idx="168">
                  <c:v>2.569</c:v>
                </c:pt>
                <c:pt idx="169">
                  <c:v>2.569</c:v>
                </c:pt>
                <c:pt idx="170">
                  <c:v>2.5710000000000002</c:v>
                </c:pt>
                <c:pt idx="171">
                  <c:v>2.5649999999999999</c:v>
                </c:pt>
                <c:pt idx="172">
                  <c:v>2.585</c:v>
                </c:pt>
                <c:pt idx="173">
                  <c:v>2.5760000000000001</c:v>
                </c:pt>
                <c:pt idx="174">
                  <c:v>2.581</c:v>
                </c:pt>
                <c:pt idx="175">
                  <c:v>2.5750000000000002</c:v>
                </c:pt>
                <c:pt idx="176">
                  <c:v>2.5830000000000002</c:v>
                </c:pt>
                <c:pt idx="177">
                  <c:v>2.5750000000000002</c:v>
                </c:pt>
                <c:pt idx="178">
                  <c:v>2.597</c:v>
                </c:pt>
                <c:pt idx="179">
                  <c:v>2.5870000000000002</c:v>
                </c:pt>
                <c:pt idx="180">
                  <c:v>2.5950000000000002</c:v>
                </c:pt>
                <c:pt idx="181">
                  <c:v>2.5920000000000001</c:v>
                </c:pt>
                <c:pt idx="182">
                  <c:v>2.633</c:v>
                </c:pt>
                <c:pt idx="183">
                  <c:v>2.657</c:v>
                </c:pt>
                <c:pt idx="184">
                  <c:v>2.5710000000000002</c:v>
                </c:pt>
                <c:pt idx="185">
                  <c:v>2.6230000000000002</c:v>
                </c:pt>
                <c:pt idx="186">
                  <c:v>2.6349999999999998</c:v>
                </c:pt>
                <c:pt idx="187">
                  <c:v>2.665</c:v>
                </c:pt>
                <c:pt idx="188">
                  <c:v>2.681</c:v>
                </c:pt>
                <c:pt idx="189">
                  <c:v>2.6829999999999998</c:v>
                </c:pt>
                <c:pt idx="190">
                  <c:v>2.6840000000000002</c:v>
                </c:pt>
                <c:pt idx="191">
                  <c:v>2.6840000000000002</c:v>
                </c:pt>
                <c:pt idx="192">
                  <c:v>2.68</c:v>
                </c:pt>
                <c:pt idx="193">
                  <c:v>2.649</c:v>
                </c:pt>
                <c:pt idx="194">
                  <c:v>2.649</c:v>
                </c:pt>
                <c:pt idx="195">
                  <c:v>2.669</c:v>
                </c:pt>
                <c:pt idx="196">
                  <c:v>2.6589999999999998</c:v>
                </c:pt>
                <c:pt idx="197">
                  <c:v>2.6629999999999998</c:v>
                </c:pt>
                <c:pt idx="198">
                  <c:v>2.657</c:v>
                </c:pt>
                <c:pt idx="199">
                  <c:v>2.6819999999999999</c:v>
                </c:pt>
                <c:pt idx="200">
                  <c:v>2.6970000000000001</c:v>
                </c:pt>
                <c:pt idx="201">
                  <c:v>2.702</c:v>
                </c:pt>
                <c:pt idx="202">
                  <c:v>2.7090000000000001</c:v>
                </c:pt>
                <c:pt idx="203">
                  <c:v>2.7229999999999999</c:v>
                </c:pt>
                <c:pt idx="204">
                  <c:v>2.714</c:v>
                </c:pt>
                <c:pt idx="205">
                  <c:v>2.7040000000000002</c:v>
                </c:pt>
                <c:pt idx="206">
                  <c:v>2.7130000000000001</c:v>
                </c:pt>
                <c:pt idx="207">
                  <c:v>2.714</c:v>
                </c:pt>
                <c:pt idx="208">
                  <c:v>2.7250000000000001</c:v>
                </c:pt>
                <c:pt idx="209">
                  <c:v>2.7309999999999999</c:v>
                </c:pt>
                <c:pt idx="210">
                  <c:v>2.7360000000000002</c:v>
                </c:pt>
                <c:pt idx="211">
                  <c:v>2.7450000000000001</c:v>
                </c:pt>
                <c:pt idx="212">
                  <c:v>2.7719999999999998</c:v>
                </c:pt>
                <c:pt idx="213">
                  <c:v>2.7549999999999999</c:v>
                </c:pt>
                <c:pt idx="214">
                  <c:v>2.7549999999999999</c:v>
                </c:pt>
                <c:pt idx="215">
                  <c:v>2.7749999999999999</c:v>
                </c:pt>
                <c:pt idx="216">
                  <c:v>2.7839999999999998</c:v>
                </c:pt>
                <c:pt idx="217">
                  <c:v>2.778</c:v>
                </c:pt>
                <c:pt idx="218">
                  <c:v>2.7709999999999999</c:v>
                </c:pt>
                <c:pt idx="219">
                  <c:v>2.7709999999999999</c:v>
                </c:pt>
                <c:pt idx="220">
                  <c:v>2.7320000000000002</c:v>
                </c:pt>
                <c:pt idx="221">
                  <c:v>2.7170000000000001</c:v>
                </c:pt>
                <c:pt idx="222">
                  <c:v>2.6859999999999999</c:v>
                </c:pt>
                <c:pt idx="223">
                  <c:v>2.6970000000000001</c:v>
                </c:pt>
                <c:pt idx="224">
                  <c:v>2.7549999999999999</c:v>
                </c:pt>
                <c:pt idx="225">
                  <c:v>2.77</c:v>
                </c:pt>
                <c:pt idx="226">
                  <c:v>2.84</c:v>
                </c:pt>
                <c:pt idx="227">
                  <c:v>2.883</c:v>
                </c:pt>
                <c:pt idx="228">
                  <c:v>2.915</c:v>
                </c:pt>
                <c:pt idx="229">
                  <c:v>2.911</c:v>
                </c:pt>
                <c:pt idx="230">
                  <c:v>2.911</c:v>
                </c:pt>
                <c:pt idx="231">
                  <c:v>2.915</c:v>
                </c:pt>
                <c:pt idx="232">
                  <c:v>2.9369999999999998</c:v>
                </c:pt>
                <c:pt idx="233">
                  <c:v>2.9369999999999998</c:v>
                </c:pt>
                <c:pt idx="234">
                  <c:v>2.9409999999999998</c:v>
                </c:pt>
                <c:pt idx="235">
                  <c:v>2.944</c:v>
                </c:pt>
                <c:pt idx="236">
                  <c:v>2.9790000000000001</c:v>
                </c:pt>
                <c:pt idx="237">
                  <c:v>2.9969999999999999</c:v>
                </c:pt>
                <c:pt idx="238">
                  <c:v>3.0289999999999999</c:v>
                </c:pt>
                <c:pt idx="239">
                  <c:v>3.0329999999999999</c:v>
                </c:pt>
                <c:pt idx="240">
                  <c:v>3.0049999999999999</c:v>
                </c:pt>
                <c:pt idx="241">
                  <c:v>2.97</c:v>
                </c:pt>
                <c:pt idx="242">
                  <c:v>2.9830000000000001</c:v>
                </c:pt>
                <c:pt idx="243">
                  <c:v>3.0129999999999999</c:v>
                </c:pt>
                <c:pt idx="244">
                  <c:v>2.972</c:v>
                </c:pt>
                <c:pt idx="245">
                  <c:v>2.956</c:v>
                </c:pt>
                <c:pt idx="246">
                  <c:v>2.9409999999999998</c:v>
                </c:pt>
                <c:pt idx="247">
                  <c:v>2.9329999999999998</c:v>
                </c:pt>
                <c:pt idx="248">
                  <c:v>2.9809999999999999</c:v>
                </c:pt>
                <c:pt idx="249">
                  <c:v>3.0310000000000001</c:v>
                </c:pt>
                <c:pt idx="250">
                  <c:v>3.0409999999999999</c:v>
                </c:pt>
                <c:pt idx="251">
                  <c:v>3.0539999999999998</c:v>
                </c:pt>
                <c:pt idx="252">
                  <c:v>3.06</c:v>
                </c:pt>
                <c:pt idx="253">
                  <c:v>3.0510000000000002</c:v>
                </c:pt>
                <c:pt idx="254">
                  <c:v>2.988</c:v>
                </c:pt>
                <c:pt idx="255">
                  <c:v>2.9750000000000001</c:v>
                </c:pt>
                <c:pt idx="256">
                  <c:v>2.9689999999999999</c:v>
                </c:pt>
                <c:pt idx="257">
                  <c:v>2.9649999999999999</c:v>
                </c:pt>
                <c:pt idx="258">
                  <c:v>2.9609999999999999</c:v>
                </c:pt>
                <c:pt idx="259">
                  <c:v>2.9689999999999999</c:v>
                </c:pt>
                <c:pt idx="260">
                  <c:v>2.952</c:v>
                </c:pt>
                <c:pt idx="261">
                  <c:v>2.956</c:v>
                </c:pt>
                <c:pt idx="262">
                  <c:v>2.9470000000000001</c:v>
                </c:pt>
                <c:pt idx="263">
                  <c:v>2.9569999999999999</c:v>
                </c:pt>
                <c:pt idx="264">
                  <c:v>2.9649999999999999</c:v>
                </c:pt>
                <c:pt idx="265">
                  <c:v>2.96</c:v>
                </c:pt>
                <c:pt idx="266">
                  <c:v>2.9580000000000002</c:v>
                </c:pt>
                <c:pt idx="267">
                  <c:v>2.9350000000000001</c:v>
                </c:pt>
                <c:pt idx="268">
                  <c:v>2.9569999999999999</c:v>
                </c:pt>
                <c:pt idx="269">
                  <c:v>2.9860000000000002</c:v>
                </c:pt>
                <c:pt idx="270">
                  <c:v>3.0070000000000001</c:v>
                </c:pt>
                <c:pt idx="271">
                  <c:v>3.01</c:v>
                </c:pt>
                <c:pt idx="272">
                  <c:v>3.0190000000000001</c:v>
                </c:pt>
                <c:pt idx="273">
                  <c:v>2.9940000000000002</c:v>
                </c:pt>
                <c:pt idx="274">
                  <c:v>2.9860000000000002</c:v>
                </c:pt>
                <c:pt idx="275">
                  <c:v>2.9729999999999999</c:v>
                </c:pt>
                <c:pt idx="276">
                  <c:v>2.976</c:v>
                </c:pt>
                <c:pt idx="277">
                  <c:v>2.9790000000000001</c:v>
                </c:pt>
                <c:pt idx="278">
                  <c:v>2.9820000000000002</c:v>
                </c:pt>
                <c:pt idx="279">
                  <c:v>2.9660000000000002</c:v>
                </c:pt>
                <c:pt idx="280">
                  <c:v>2.944</c:v>
                </c:pt>
                <c:pt idx="281">
                  <c:v>2.903</c:v>
                </c:pt>
                <c:pt idx="282">
                  <c:v>2.89</c:v>
                </c:pt>
                <c:pt idx="283">
                  <c:v>2.8969999999999998</c:v>
                </c:pt>
                <c:pt idx="284">
                  <c:v>2.8940000000000001</c:v>
                </c:pt>
                <c:pt idx="285">
                  <c:v>2.8210000000000002</c:v>
                </c:pt>
                <c:pt idx="286">
                  <c:v>2.9580000000000002</c:v>
                </c:pt>
                <c:pt idx="287">
                  <c:v>2.9380000000000002</c:v>
                </c:pt>
                <c:pt idx="288">
                  <c:v>2.9550000000000001</c:v>
                </c:pt>
                <c:pt idx="289">
                  <c:v>2.8719999999999999</c:v>
                </c:pt>
                <c:pt idx="290">
                  <c:v>2.766</c:v>
                </c:pt>
                <c:pt idx="291">
                  <c:v>2.7559999999999998</c:v>
                </c:pt>
                <c:pt idx="292">
                  <c:v>2.7429999999999999</c:v>
                </c:pt>
                <c:pt idx="293">
                  <c:v>2.7440000000000002</c:v>
                </c:pt>
                <c:pt idx="294">
                  <c:v>2.7909999999999999</c:v>
                </c:pt>
                <c:pt idx="295">
                  <c:v>2.714</c:v>
                </c:pt>
                <c:pt idx="296">
                  <c:v>2.6930000000000001</c:v>
                </c:pt>
                <c:pt idx="297">
                  <c:v>2.6509999999999998</c:v>
                </c:pt>
                <c:pt idx="298">
                  <c:v>2.6419999999999999</c:v>
                </c:pt>
                <c:pt idx="299">
                  <c:v>2.5859999999999999</c:v>
                </c:pt>
                <c:pt idx="300">
                  <c:v>2.5680000000000001</c:v>
                </c:pt>
                <c:pt idx="301">
                  <c:v>2.5609999999999999</c:v>
                </c:pt>
                <c:pt idx="302">
                  <c:v>2.5009999999999999</c:v>
                </c:pt>
                <c:pt idx="303">
                  <c:v>2.464</c:v>
                </c:pt>
                <c:pt idx="304">
                  <c:v>2.4249999999999998</c:v>
                </c:pt>
                <c:pt idx="305">
                  <c:v>2.4249999999999998</c:v>
                </c:pt>
                <c:pt idx="306">
                  <c:v>2.42</c:v>
                </c:pt>
                <c:pt idx="307">
                  <c:v>2.4180000000000001</c:v>
                </c:pt>
                <c:pt idx="308">
                  <c:v>2.4</c:v>
                </c:pt>
                <c:pt idx="309">
                  <c:v>2.379</c:v>
                </c:pt>
                <c:pt idx="310">
                  <c:v>2.3919999999999999</c:v>
                </c:pt>
                <c:pt idx="311">
                  <c:v>2.4279999999999999</c:v>
                </c:pt>
                <c:pt idx="312">
                  <c:v>2.4329999999999998</c:v>
                </c:pt>
                <c:pt idx="313">
                  <c:v>2.44</c:v>
                </c:pt>
                <c:pt idx="314">
                  <c:v>2.4489999999999998</c:v>
                </c:pt>
                <c:pt idx="315">
                  <c:v>2.4510000000000001</c:v>
                </c:pt>
                <c:pt idx="316">
                  <c:v>2.468</c:v>
                </c:pt>
                <c:pt idx="317">
                  <c:v>2.4569999999999999</c:v>
                </c:pt>
                <c:pt idx="318">
                  <c:v>2.4580000000000002</c:v>
                </c:pt>
                <c:pt idx="319">
                  <c:v>2.4470000000000001</c:v>
                </c:pt>
                <c:pt idx="320">
                  <c:v>2.4350000000000001</c:v>
                </c:pt>
                <c:pt idx="321">
                  <c:v>2.3929999999999998</c:v>
                </c:pt>
                <c:pt idx="322">
                  <c:v>2.3839999999999999</c:v>
                </c:pt>
                <c:pt idx="323">
                  <c:v>2.3820000000000001</c:v>
                </c:pt>
                <c:pt idx="324">
                  <c:v>2.359</c:v>
                </c:pt>
                <c:pt idx="325">
                  <c:v>2.34</c:v>
                </c:pt>
                <c:pt idx="326">
                  <c:v>2.3439999999999999</c:v>
                </c:pt>
                <c:pt idx="327">
                  <c:v>2.331</c:v>
                </c:pt>
                <c:pt idx="328">
                  <c:v>2.2719999999999998</c:v>
                </c:pt>
                <c:pt idx="329">
                  <c:v>2.2480000000000002</c:v>
                </c:pt>
                <c:pt idx="330">
                  <c:v>2.238</c:v>
                </c:pt>
                <c:pt idx="331">
                  <c:v>2.214</c:v>
                </c:pt>
                <c:pt idx="332">
                  <c:v>2.1619999999999999</c:v>
                </c:pt>
                <c:pt idx="333">
                  <c:v>2.1589999999999998</c:v>
                </c:pt>
                <c:pt idx="334">
                  <c:v>2.1880000000000002</c:v>
                </c:pt>
                <c:pt idx="335">
                  <c:v>2.2080000000000002</c:v>
                </c:pt>
                <c:pt idx="336">
                  <c:v>2.2490000000000001</c:v>
                </c:pt>
                <c:pt idx="337">
                  <c:v>2.2650000000000001</c:v>
                </c:pt>
                <c:pt idx="338">
                  <c:v>2.2610000000000001</c:v>
                </c:pt>
                <c:pt idx="339">
                  <c:v>2.2519999999999998</c:v>
                </c:pt>
                <c:pt idx="340">
                  <c:v>2.2519999999999998</c:v>
                </c:pt>
                <c:pt idx="341">
                  <c:v>2.2599999999999998</c:v>
                </c:pt>
                <c:pt idx="342">
                  <c:v>2.2360000000000002</c:v>
                </c:pt>
                <c:pt idx="343">
                  <c:v>2.2530000000000001</c:v>
                </c:pt>
              </c:numCache>
            </c:numRef>
          </c:val>
          <c:smooth val="0"/>
          <c:extLst>
            <c:ext xmlns:c16="http://schemas.microsoft.com/office/drawing/2014/chart" uri="{C3380CC4-5D6E-409C-BE32-E72D297353CC}">
              <c16:uniqueId val="{00000001-247F-46BA-B81D-A93739C8BB48}"/>
            </c:ext>
          </c:extLst>
        </c:ser>
        <c:dLbls>
          <c:showLegendKey val="0"/>
          <c:showVal val="0"/>
          <c:showCatName val="0"/>
          <c:showSerName val="0"/>
          <c:showPercent val="0"/>
          <c:showBubbleSize val="0"/>
        </c:dLbls>
        <c:marker val="1"/>
        <c:smooth val="0"/>
        <c:axId val="202145152"/>
        <c:axId val="202143232"/>
      </c:lineChart>
      <c:dateAx>
        <c:axId val="202135808"/>
        <c:scaling>
          <c:orientation val="minMax"/>
          <c:max val="44651"/>
          <c:min val="44227"/>
        </c:scaling>
        <c:delete val="0"/>
        <c:axPos val="b"/>
        <c:numFmt formatCode="dd\/mm\/yy" sourceLinked="1"/>
        <c:majorTickMark val="out"/>
        <c:minorTickMark val="none"/>
        <c:tickLblPos val="nextTo"/>
        <c:txPr>
          <a:bodyPr rot="-2700000"/>
          <a:lstStyle/>
          <a:p>
            <a:pPr>
              <a:defRPr sz="700">
                <a:latin typeface="Calibri" panose="020F0502020204030204" pitchFamily="34" charset="0"/>
              </a:defRPr>
            </a:pPr>
            <a:endParaRPr lang="sr-Latn-RS"/>
          </a:p>
        </c:txPr>
        <c:crossAx val="202141696"/>
        <c:crosses val="autoZero"/>
        <c:auto val="1"/>
        <c:lblOffset val="100"/>
        <c:baseTimeUnit val="days"/>
        <c:majorUnit val="1"/>
        <c:majorTimeUnit val="months"/>
        <c:minorUnit val="1"/>
        <c:minorTimeUnit val="days"/>
      </c:dateAx>
      <c:valAx>
        <c:axId val="202141696"/>
        <c:scaling>
          <c:orientation val="minMax"/>
          <c:max val="105"/>
          <c:min val="75"/>
        </c:scaling>
        <c:delete val="0"/>
        <c:axPos val="l"/>
        <c:numFmt formatCode="[$$-409]#,##0.0" sourceLinked="0"/>
        <c:majorTickMark val="out"/>
        <c:minorTickMark val="none"/>
        <c:tickLblPos val="nextTo"/>
        <c:txPr>
          <a:bodyPr/>
          <a:lstStyle/>
          <a:p>
            <a:pPr>
              <a:defRPr sz="700">
                <a:latin typeface="+mn-lt"/>
              </a:defRPr>
            </a:pPr>
            <a:endParaRPr lang="sr-Latn-RS"/>
          </a:p>
        </c:txPr>
        <c:crossAx val="202135808"/>
        <c:crossesAt val="44161"/>
        <c:crossBetween val="between"/>
        <c:majorUnit val="3"/>
      </c:valAx>
      <c:valAx>
        <c:axId val="202143232"/>
        <c:scaling>
          <c:orientation val="minMax"/>
          <c:max val="5.5"/>
          <c:min val="2"/>
        </c:scaling>
        <c:delete val="0"/>
        <c:axPos val="r"/>
        <c:numFmt formatCode="#,##0.0" sourceLinked="0"/>
        <c:majorTickMark val="out"/>
        <c:minorTickMark val="none"/>
        <c:tickLblPos val="nextTo"/>
        <c:txPr>
          <a:bodyPr/>
          <a:lstStyle/>
          <a:p>
            <a:pPr>
              <a:defRPr sz="700">
                <a:latin typeface="Calibri" panose="020F0502020204030204" pitchFamily="34" charset="0"/>
              </a:defRPr>
            </a:pPr>
            <a:endParaRPr lang="sr-Latn-RS"/>
          </a:p>
        </c:txPr>
        <c:crossAx val="202145152"/>
        <c:crosses val="max"/>
        <c:crossBetween val="between"/>
        <c:majorUnit val="0.5"/>
      </c:valAx>
      <c:dateAx>
        <c:axId val="202145152"/>
        <c:scaling>
          <c:orientation val="minMax"/>
        </c:scaling>
        <c:delete val="1"/>
        <c:axPos val="b"/>
        <c:numFmt formatCode="dd\/mm\/yy" sourceLinked="1"/>
        <c:majorTickMark val="out"/>
        <c:minorTickMark val="none"/>
        <c:tickLblPos val="none"/>
        <c:crossAx val="202143232"/>
        <c:crosses val="autoZero"/>
        <c:auto val="1"/>
        <c:lblOffset val="100"/>
        <c:baseTimeUnit val="days"/>
      </c:dateAx>
    </c:plotArea>
    <c:legend>
      <c:legendPos val="r"/>
      <c:layout>
        <c:manualLayout>
          <c:xMode val="edge"/>
          <c:yMode val="edge"/>
          <c:x val="0"/>
          <c:y val="0.92049771556333237"/>
          <c:w val="0.98713831704771848"/>
          <c:h val="7.919937785554583E-2"/>
        </c:manualLayout>
      </c:layout>
      <c:overlay val="0"/>
      <c:txPr>
        <a:bodyPr/>
        <a:lstStyle/>
        <a:p>
          <a:pPr>
            <a:defRPr sz="800">
              <a:latin typeface="Calibri" panose="020F0502020204030204" pitchFamily="34" charset="0"/>
            </a:defRPr>
          </a:pPr>
          <a:endParaRPr lang="sr-Latn-RS"/>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sr-Latn-RS"/>
    </a:p>
  </c:txPr>
  <c:externalData r:id="rId2">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133405954974584"/>
          <c:y val="8.2374350265040405E-2"/>
          <c:w val="0.76869750181372043"/>
          <c:h val="0.69818702074005445"/>
        </c:manualLayout>
      </c:layout>
      <c:areaChart>
        <c:grouping val="standard"/>
        <c:varyColors val="0"/>
        <c:ser>
          <c:idx val="0"/>
          <c:order val="0"/>
          <c:tx>
            <c:strRef>
              <c:f>'[Hartije od vrednosti na medjunarodnom trzistu SAJT 04.04.2022 (00000002).xlsx]EUROBOND 2033 offline'!$B$4</c:f>
              <c:strCache>
                <c:ptCount val="1"/>
                <c:pt idx="0">
                  <c:v>Цена на затварању</c:v>
                </c:pt>
              </c:strCache>
            </c:strRef>
          </c:tx>
          <c:spPr>
            <a:solidFill>
              <a:schemeClr val="tx2"/>
            </a:solidFill>
            <a:ln w="25400">
              <a:noFill/>
            </a:ln>
          </c:spPr>
          <c:cat>
            <c:numRef>
              <c:f>'[Hartije od vrednosti na medjunarodnom trzistu SAJT 04.04.2022 (00000002).xlsx]EUROBOND 2033 offline'!$A$6:$A$289</c:f>
              <c:numCache>
                <c:formatCode>dd\/mm\/yy</c:formatCode>
                <c:ptCount val="284"/>
                <c:pt idx="0">
                  <c:v>44678</c:v>
                </c:pt>
                <c:pt idx="1">
                  <c:v>44677</c:v>
                </c:pt>
                <c:pt idx="2">
                  <c:v>44676</c:v>
                </c:pt>
                <c:pt idx="3">
                  <c:v>44673</c:v>
                </c:pt>
                <c:pt idx="4">
                  <c:v>44672</c:v>
                </c:pt>
                <c:pt idx="5">
                  <c:v>44671</c:v>
                </c:pt>
                <c:pt idx="6">
                  <c:v>44670</c:v>
                </c:pt>
                <c:pt idx="7">
                  <c:v>44665</c:v>
                </c:pt>
                <c:pt idx="8">
                  <c:v>44664</c:v>
                </c:pt>
                <c:pt idx="9">
                  <c:v>44663</c:v>
                </c:pt>
                <c:pt idx="10">
                  <c:v>44662</c:v>
                </c:pt>
                <c:pt idx="11">
                  <c:v>44659</c:v>
                </c:pt>
                <c:pt idx="12">
                  <c:v>44658</c:v>
                </c:pt>
                <c:pt idx="13">
                  <c:v>44657</c:v>
                </c:pt>
                <c:pt idx="14">
                  <c:v>44656</c:v>
                </c:pt>
                <c:pt idx="15">
                  <c:v>44655</c:v>
                </c:pt>
                <c:pt idx="16">
                  <c:v>44652</c:v>
                </c:pt>
                <c:pt idx="17">
                  <c:v>44651</c:v>
                </c:pt>
                <c:pt idx="18">
                  <c:v>44650</c:v>
                </c:pt>
                <c:pt idx="19">
                  <c:v>44649</c:v>
                </c:pt>
                <c:pt idx="20">
                  <c:v>44648</c:v>
                </c:pt>
                <c:pt idx="21">
                  <c:v>44645</c:v>
                </c:pt>
                <c:pt idx="22">
                  <c:v>44644</c:v>
                </c:pt>
                <c:pt idx="23">
                  <c:v>44643</c:v>
                </c:pt>
                <c:pt idx="24">
                  <c:v>44642</c:v>
                </c:pt>
                <c:pt idx="25">
                  <c:v>44641</c:v>
                </c:pt>
                <c:pt idx="26">
                  <c:v>44638</c:v>
                </c:pt>
                <c:pt idx="27">
                  <c:v>44637</c:v>
                </c:pt>
                <c:pt idx="28">
                  <c:v>44636</c:v>
                </c:pt>
                <c:pt idx="29">
                  <c:v>44635</c:v>
                </c:pt>
                <c:pt idx="30">
                  <c:v>44634</c:v>
                </c:pt>
                <c:pt idx="31">
                  <c:v>44631</c:v>
                </c:pt>
                <c:pt idx="32">
                  <c:v>44630</c:v>
                </c:pt>
                <c:pt idx="33">
                  <c:v>44629</c:v>
                </c:pt>
                <c:pt idx="34">
                  <c:v>44628</c:v>
                </c:pt>
                <c:pt idx="35">
                  <c:v>44627</c:v>
                </c:pt>
                <c:pt idx="36">
                  <c:v>44624</c:v>
                </c:pt>
                <c:pt idx="37">
                  <c:v>44623</c:v>
                </c:pt>
                <c:pt idx="38">
                  <c:v>44622</c:v>
                </c:pt>
                <c:pt idx="39">
                  <c:v>44621</c:v>
                </c:pt>
                <c:pt idx="40">
                  <c:v>44620</c:v>
                </c:pt>
                <c:pt idx="41">
                  <c:v>44617</c:v>
                </c:pt>
                <c:pt idx="42">
                  <c:v>44616</c:v>
                </c:pt>
                <c:pt idx="43">
                  <c:v>44615</c:v>
                </c:pt>
                <c:pt idx="44">
                  <c:v>44614</c:v>
                </c:pt>
                <c:pt idx="45">
                  <c:v>44613</c:v>
                </c:pt>
                <c:pt idx="46">
                  <c:v>44610</c:v>
                </c:pt>
                <c:pt idx="47">
                  <c:v>44609</c:v>
                </c:pt>
                <c:pt idx="48">
                  <c:v>44608</c:v>
                </c:pt>
                <c:pt idx="49">
                  <c:v>44607</c:v>
                </c:pt>
                <c:pt idx="50">
                  <c:v>44606</c:v>
                </c:pt>
                <c:pt idx="51">
                  <c:v>44603</c:v>
                </c:pt>
                <c:pt idx="52">
                  <c:v>44602</c:v>
                </c:pt>
                <c:pt idx="53">
                  <c:v>44601</c:v>
                </c:pt>
                <c:pt idx="54">
                  <c:v>44600</c:v>
                </c:pt>
                <c:pt idx="55">
                  <c:v>44599</c:v>
                </c:pt>
                <c:pt idx="56">
                  <c:v>44596</c:v>
                </c:pt>
                <c:pt idx="57">
                  <c:v>44595</c:v>
                </c:pt>
                <c:pt idx="58">
                  <c:v>44594</c:v>
                </c:pt>
                <c:pt idx="59">
                  <c:v>44593</c:v>
                </c:pt>
                <c:pt idx="60">
                  <c:v>44592</c:v>
                </c:pt>
                <c:pt idx="61">
                  <c:v>44589</c:v>
                </c:pt>
                <c:pt idx="62">
                  <c:v>44588</c:v>
                </c:pt>
                <c:pt idx="63">
                  <c:v>44587</c:v>
                </c:pt>
                <c:pt idx="64">
                  <c:v>44586</c:v>
                </c:pt>
                <c:pt idx="65">
                  <c:v>44585</c:v>
                </c:pt>
                <c:pt idx="66">
                  <c:v>44582</c:v>
                </c:pt>
                <c:pt idx="67">
                  <c:v>44581</c:v>
                </c:pt>
                <c:pt idx="68">
                  <c:v>44580</c:v>
                </c:pt>
                <c:pt idx="69">
                  <c:v>44579</c:v>
                </c:pt>
                <c:pt idx="70">
                  <c:v>44578</c:v>
                </c:pt>
                <c:pt idx="71">
                  <c:v>44575</c:v>
                </c:pt>
                <c:pt idx="72">
                  <c:v>44574</c:v>
                </c:pt>
                <c:pt idx="73">
                  <c:v>44573</c:v>
                </c:pt>
                <c:pt idx="74">
                  <c:v>44572</c:v>
                </c:pt>
                <c:pt idx="75">
                  <c:v>44571</c:v>
                </c:pt>
                <c:pt idx="76">
                  <c:v>44568</c:v>
                </c:pt>
                <c:pt idx="77">
                  <c:v>44567</c:v>
                </c:pt>
                <c:pt idx="78">
                  <c:v>44566</c:v>
                </c:pt>
                <c:pt idx="79">
                  <c:v>44565</c:v>
                </c:pt>
                <c:pt idx="80">
                  <c:v>44564</c:v>
                </c:pt>
                <c:pt idx="81">
                  <c:v>44561</c:v>
                </c:pt>
                <c:pt idx="82">
                  <c:v>44560</c:v>
                </c:pt>
                <c:pt idx="83">
                  <c:v>44559</c:v>
                </c:pt>
                <c:pt idx="84">
                  <c:v>44558</c:v>
                </c:pt>
                <c:pt idx="85">
                  <c:v>44557</c:v>
                </c:pt>
                <c:pt idx="86">
                  <c:v>44554</c:v>
                </c:pt>
                <c:pt idx="87">
                  <c:v>44553</c:v>
                </c:pt>
                <c:pt idx="88">
                  <c:v>44552</c:v>
                </c:pt>
                <c:pt idx="89">
                  <c:v>44551</c:v>
                </c:pt>
                <c:pt idx="90">
                  <c:v>44550</c:v>
                </c:pt>
                <c:pt idx="91">
                  <c:v>44547</c:v>
                </c:pt>
                <c:pt idx="92">
                  <c:v>44546</c:v>
                </c:pt>
                <c:pt idx="93">
                  <c:v>44545</c:v>
                </c:pt>
                <c:pt idx="94">
                  <c:v>44544</c:v>
                </c:pt>
                <c:pt idx="95">
                  <c:v>44543</c:v>
                </c:pt>
                <c:pt idx="96">
                  <c:v>44540</c:v>
                </c:pt>
                <c:pt idx="97">
                  <c:v>44539</c:v>
                </c:pt>
                <c:pt idx="98">
                  <c:v>44538</c:v>
                </c:pt>
                <c:pt idx="99">
                  <c:v>44537</c:v>
                </c:pt>
                <c:pt idx="100">
                  <c:v>44536</c:v>
                </c:pt>
                <c:pt idx="101">
                  <c:v>44533</c:v>
                </c:pt>
                <c:pt idx="102">
                  <c:v>44532</c:v>
                </c:pt>
                <c:pt idx="103">
                  <c:v>44531</c:v>
                </c:pt>
                <c:pt idx="104">
                  <c:v>44530</c:v>
                </c:pt>
                <c:pt idx="105">
                  <c:v>44529</c:v>
                </c:pt>
                <c:pt idx="106">
                  <c:v>44526</c:v>
                </c:pt>
                <c:pt idx="107">
                  <c:v>44525</c:v>
                </c:pt>
                <c:pt idx="108">
                  <c:v>44524</c:v>
                </c:pt>
                <c:pt idx="109">
                  <c:v>44523</c:v>
                </c:pt>
                <c:pt idx="110">
                  <c:v>44522</c:v>
                </c:pt>
                <c:pt idx="111">
                  <c:v>44519</c:v>
                </c:pt>
                <c:pt idx="112">
                  <c:v>44518</c:v>
                </c:pt>
                <c:pt idx="113">
                  <c:v>44517</c:v>
                </c:pt>
                <c:pt idx="114">
                  <c:v>44516</c:v>
                </c:pt>
                <c:pt idx="115">
                  <c:v>44515</c:v>
                </c:pt>
                <c:pt idx="116">
                  <c:v>44512</c:v>
                </c:pt>
                <c:pt idx="117">
                  <c:v>44511</c:v>
                </c:pt>
                <c:pt idx="118">
                  <c:v>44510</c:v>
                </c:pt>
                <c:pt idx="119">
                  <c:v>44509</c:v>
                </c:pt>
                <c:pt idx="120">
                  <c:v>44508</c:v>
                </c:pt>
                <c:pt idx="121">
                  <c:v>44505</c:v>
                </c:pt>
                <c:pt idx="122">
                  <c:v>44504</c:v>
                </c:pt>
                <c:pt idx="123">
                  <c:v>44503</c:v>
                </c:pt>
                <c:pt idx="124">
                  <c:v>44502</c:v>
                </c:pt>
                <c:pt idx="125">
                  <c:v>44501</c:v>
                </c:pt>
                <c:pt idx="126">
                  <c:v>44498</c:v>
                </c:pt>
                <c:pt idx="127">
                  <c:v>44497</c:v>
                </c:pt>
                <c:pt idx="128">
                  <c:v>44496</c:v>
                </c:pt>
                <c:pt idx="129">
                  <c:v>44495</c:v>
                </c:pt>
                <c:pt idx="130">
                  <c:v>44494</c:v>
                </c:pt>
                <c:pt idx="131">
                  <c:v>44491</c:v>
                </c:pt>
                <c:pt idx="132">
                  <c:v>44490</c:v>
                </c:pt>
                <c:pt idx="133">
                  <c:v>44489</c:v>
                </c:pt>
                <c:pt idx="134">
                  <c:v>44488</c:v>
                </c:pt>
                <c:pt idx="135">
                  <c:v>44487</c:v>
                </c:pt>
                <c:pt idx="136">
                  <c:v>44484</c:v>
                </c:pt>
                <c:pt idx="137">
                  <c:v>44483</c:v>
                </c:pt>
                <c:pt idx="138">
                  <c:v>44482</c:v>
                </c:pt>
                <c:pt idx="139">
                  <c:v>44481</c:v>
                </c:pt>
                <c:pt idx="140">
                  <c:v>44480</c:v>
                </c:pt>
                <c:pt idx="141">
                  <c:v>44477</c:v>
                </c:pt>
                <c:pt idx="142">
                  <c:v>44476</c:v>
                </c:pt>
                <c:pt idx="143">
                  <c:v>44475</c:v>
                </c:pt>
                <c:pt idx="144">
                  <c:v>44474</c:v>
                </c:pt>
                <c:pt idx="145">
                  <c:v>44473</c:v>
                </c:pt>
                <c:pt idx="146">
                  <c:v>44470</c:v>
                </c:pt>
                <c:pt idx="147">
                  <c:v>44469</c:v>
                </c:pt>
                <c:pt idx="148">
                  <c:v>44468</c:v>
                </c:pt>
                <c:pt idx="149">
                  <c:v>44467</c:v>
                </c:pt>
                <c:pt idx="150">
                  <c:v>44466</c:v>
                </c:pt>
                <c:pt idx="151">
                  <c:v>44463</c:v>
                </c:pt>
                <c:pt idx="152">
                  <c:v>44462</c:v>
                </c:pt>
                <c:pt idx="153">
                  <c:v>44461</c:v>
                </c:pt>
                <c:pt idx="154">
                  <c:v>44460</c:v>
                </c:pt>
                <c:pt idx="155">
                  <c:v>44459</c:v>
                </c:pt>
                <c:pt idx="156">
                  <c:v>44456</c:v>
                </c:pt>
                <c:pt idx="157">
                  <c:v>44455</c:v>
                </c:pt>
                <c:pt idx="158">
                  <c:v>44454</c:v>
                </c:pt>
                <c:pt idx="159">
                  <c:v>44453</c:v>
                </c:pt>
                <c:pt idx="160">
                  <c:v>44452</c:v>
                </c:pt>
                <c:pt idx="161">
                  <c:v>44449</c:v>
                </c:pt>
                <c:pt idx="162">
                  <c:v>44448</c:v>
                </c:pt>
                <c:pt idx="163">
                  <c:v>44447</c:v>
                </c:pt>
                <c:pt idx="164">
                  <c:v>44446</c:v>
                </c:pt>
                <c:pt idx="165">
                  <c:v>44445</c:v>
                </c:pt>
                <c:pt idx="166">
                  <c:v>44442</c:v>
                </c:pt>
                <c:pt idx="167">
                  <c:v>44441</c:v>
                </c:pt>
                <c:pt idx="168">
                  <c:v>44440</c:v>
                </c:pt>
                <c:pt idx="169">
                  <c:v>44439</c:v>
                </c:pt>
                <c:pt idx="170">
                  <c:v>44438</c:v>
                </c:pt>
                <c:pt idx="171">
                  <c:v>44435</c:v>
                </c:pt>
                <c:pt idx="172">
                  <c:v>44434</c:v>
                </c:pt>
                <c:pt idx="173">
                  <c:v>44433</c:v>
                </c:pt>
                <c:pt idx="174">
                  <c:v>44432</c:v>
                </c:pt>
                <c:pt idx="175">
                  <c:v>44431</c:v>
                </c:pt>
                <c:pt idx="176">
                  <c:v>44428</c:v>
                </c:pt>
                <c:pt idx="177">
                  <c:v>44427</c:v>
                </c:pt>
                <c:pt idx="178">
                  <c:v>44426</c:v>
                </c:pt>
                <c:pt idx="179">
                  <c:v>44425</c:v>
                </c:pt>
                <c:pt idx="180">
                  <c:v>44424</c:v>
                </c:pt>
                <c:pt idx="181">
                  <c:v>44421</c:v>
                </c:pt>
                <c:pt idx="182">
                  <c:v>44420</c:v>
                </c:pt>
                <c:pt idx="183">
                  <c:v>44419</c:v>
                </c:pt>
                <c:pt idx="184">
                  <c:v>44418</c:v>
                </c:pt>
                <c:pt idx="185">
                  <c:v>44417</c:v>
                </c:pt>
                <c:pt idx="186">
                  <c:v>44414</c:v>
                </c:pt>
                <c:pt idx="187">
                  <c:v>44413</c:v>
                </c:pt>
                <c:pt idx="188">
                  <c:v>44412</c:v>
                </c:pt>
                <c:pt idx="189">
                  <c:v>44411</c:v>
                </c:pt>
                <c:pt idx="190">
                  <c:v>44410</c:v>
                </c:pt>
                <c:pt idx="191">
                  <c:v>44407</c:v>
                </c:pt>
                <c:pt idx="192">
                  <c:v>44406</c:v>
                </c:pt>
                <c:pt idx="193">
                  <c:v>44405</c:v>
                </c:pt>
                <c:pt idx="194">
                  <c:v>44404</c:v>
                </c:pt>
                <c:pt idx="195">
                  <c:v>44403</c:v>
                </c:pt>
                <c:pt idx="196">
                  <c:v>44400</c:v>
                </c:pt>
                <c:pt idx="197">
                  <c:v>44399</c:v>
                </c:pt>
                <c:pt idx="198">
                  <c:v>44398</c:v>
                </c:pt>
                <c:pt idx="199">
                  <c:v>44397</c:v>
                </c:pt>
                <c:pt idx="200">
                  <c:v>44396</c:v>
                </c:pt>
                <c:pt idx="201">
                  <c:v>44393</c:v>
                </c:pt>
                <c:pt idx="202">
                  <c:v>44392</c:v>
                </c:pt>
                <c:pt idx="203">
                  <c:v>44391</c:v>
                </c:pt>
                <c:pt idx="204">
                  <c:v>44390</c:v>
                </c:pt>
                <c:pt idx="205">
                  <c:v>44389</c:v>
                </c:pt>
                <c:pt idx="206">
                  <c:v>44386</c:v>
                </c:pt>
                <c:pt idx="207">
                  <c:v>44385</c:v>
                </c:pt>
                <c:pt idx="208">
                  <c:v>44384</c:v>
                </c:pt>
                <c:pt idx="209">
                  <c:v>44383</c:v>
                </c:pt>
                <c:pt idx="210">
                  <c:v>44382</c:v>
                </c:pt>
                <c:pt idx="211">
                  <c:v>44379</c:v>
                </c:pt>
                <c:pt idx="212">
                  <c:v>44378</c:v>
                </c:pt>
                <c:pt idx="213">
                  <c:v>44377</c:v>
                </c:pt>
                <c:pt idx="214">
                  <c:v>44376</c:v>
                </c:pt>
                <c:pt idx="215">
                  <c:v>44375</c:v>
                </c:pt>
                <c:pt idx="216">
                  <c:v>44372</c:v>
                </c:pt>
                <c:pt idx="217">
                  <c:v>44371</c:v>
                </c:pt>
                <c:pt idx="218">
                  <c:v>44370</c:v>
                </c:pt>
                <c:pt idx="219">
                  <c:v>44369</c:v>
                </c:pt>
                <c:pt idx="220">
                  <c:v>44368</c:v>
                </c:pt>
                <c:pt idx="221">
                  <c:v>44365</c:v>
                </c:pt>
                <c:pt idx="222">
                  <c:v>44364</c:v>
                </c:pt>
                <c:pt idx="223">
                  <c:v>44363</c:v>
                </c:pt>
                <c:pt idx="224">
                  <c:v>44362</c:v>
                </c:pt>
                <c:pt idx="225">
                  <c:v>44361</c:v>
                </c:pt>
                <c:pt idx="226">
                  <c:v>44358</c:v>
                </c:pt>
                <c:pt idx="227">
                  <c:v>44357</c:v>
                </c:pt>
                <c:pt idx="228">
                  <c:v>44356</c:v>
                </c:pt>
                <c:pt idx="229">
                  <c:v>44355</c:v>
                </c:pt>
                <c:pt idx="230">
                  <c:v>44354</c:v>
                </c:pt>
                <c:pt idx="231">
                  <c:v>44351</c:v>
                </c:pt>
                <c:pt idx="232">
                  <c:v>44350</c:v>
                </c:pt>
                <c:pt idx="233">
                  <c:v>44349</c:v>
                </c:pt>
                <c:pt idx="234">
                  <c:v>44348</c:v>
                </c:pt>
                <c:pt idx="235">
                  <c:v>44347</c:v>
                </c:pt>
                <c:pt idx="236">
                  <c:v>44344</c:v>
                </c:pt>
                <c:pt idx="237">
                  <c:v>44343</c:v>
                </c:pt>
                <c:pt idx="238">
                  <c:v>44342</c:v>
                </c:pt>
                <c:pt idx="239">
                  <c:v>44341</c:v>
                </c:pt>
                <c:pt idx="240">
                  <c:v>44340</c:v>
                </c:pt>
                <c:pt idx="241">
                  <c:v>44337</c:v>
                </c:pt>
                <c:pt idx="242">
                  <c:v>44336</c:v>
                </c:pt>
                <c:pt idx="243">
                  <c:v>44335</c:v>
                </c:pt>
                <c:pt idx="244">
                  <c:v>44334</c:v>
                </c:pt>
                <c:pt idx="245">
                  <c:v>44333</c:v>
                </c:pt>
                <c:pt idx="246">
                  <c:v>44330</c:v>
                </c:pt>
                <c:pt idx="247">
                  <c:v>44329</c:v>
                </c:pt>
                <c:pt idx="248">
                  <c:v>44328</c:v>
                </c:pt>
                <c:pt idx="249">
                  <c:v>44327</c:v>
                </c:pt>
                <c:pt idx="250">
                  <c:v>44326</c:v>
                </c:pt>
                <c:pt idx="251">
                  <c:v>44323</c:v>
                </c:pt>
                <c:pt idx="252">
                  <c:v>44322</c:v>
                </c:pt>
                <c:pt idx="253">
                  <c:v>44321</c:v>
                </c:pt>
                <c:pt idx="254">
                  <c:v>44320</c:v>
                </c:pt>
                <c:pt idx="255">
                  <c:v>44319</c:v>
                </c:pt>
                <c:pt idx="256">
                  <c:v>44316</c:v>
                </c:pt>
                <c:pt idx="257">
                  <c:v>44315</c:v>
                </c:pt>
                <c:pt idx="258">
                  <c:v>44314</c:v>
                </c:pt>
                <c:pt idx="259">
                  <c:v>44313</c:v>
                </c:pt>
                <c:pt idx="260">
                  <c:v>44312</c:v>
                </c:pt>
                <c:pt idx="261">
                  <c:v>44309</c:v>
                </c:pt>
                <c:pt idx="262">
                  <c:v>44308</c:v>
                </c:pt>
                <c:pt idx="263">
                  <c:v>44307</c:v>
                </c:pt>
                <c:pt idx="264">
                  <c:v>44306</c:v>
                </c:pt>
                <c:pt idx="265">
                  <c:v>44305</c:v>
                </c:pt>
                <c:pt idx="266">
                  <c:v>44302</c:v>
                </c:pt>
                <c:pt idx="267">
                  <c:v>44301</c:v>
                </c:pt>
                <c:pt idx="268">
                  <c:v>44300</c:v>
                </c:pt>
                <c:pt idx="269">
                  <c:v>44299</c:v>
                </c:pt>
                <c:pt idx="270">
                  <c:v>44298</c:v>
                </c:pt>
                <c:pt idx="271">
                  <c:v>44295</c:v>
                </c:pt>
                <c:pt idx="272">
                  <c:v>44294</c:v>
                </c:pt>
                <c:pt idx="273">
                  <c:v>44293</c:v>
                </c:pt>
                <c:pt idx="274">
                  <c:v>44292</c:v>
                </c:pt>
                <c:pt idx="275">
                  <c:v>44287</c:v>
                </c:pt>
                <c:pt idx="276">
                  <c:v>44286</c:v>
                </c:pt>
                <c:pt idx="277">
                  <c:v>44285</c:v>
                </c:pt>
                <c:pt idx="278">
                  <c:v>44284</c:v>
                </c:pt>
                <c:pt idx="279">
                  <c:v>44281</c:v>
                </c:pt>
                <c:pt idx="280">
                  <c:v>44280</c:v>
                </c:pt>
                <c:pt idx="281">
                  <c:v>44279</c:v>
                </c:pt>
                <c:pt idx="282">
                  <c:v>44278</c:v>
                </c:pt>
                <c:pt idx="283">
                  <c:v>44277</c:v>
                </c:pt>
              </c:numCache>
            </c:numRef>
          </c:cat>
          <c:val>
            <c:numRef>
              <c:f>'[Hartije od vrednosti na medjunarodnom trzistu SAJT 04.04.2022 (00000002).xlsx]EUROBOND 2033 offline'!$B$6:$B$289</c:f>
              <c:numCache>
                <c:formatCode>#,##0.000</c:formatCode>
                <c:ptCount val="284"/>
                <c:pt idx="0">
                  <c:v>71.685000000000002</c:v>
                </c:pt>
                <c:pt idx="1">
                  <c:v>71.863</c:v>
                </c:pt>
                <c:pt idx="2">
                  <c:v>72.171000000000006</c:v>
                </c:pt>
                <c:pt idx="3">
                  <c:v>72.756</c:v>
                </c:pt>
                <c:pt idx="4">
                  <c:v>73.290000000000006</c:v>
                </c:pt>
                <c:pt idx="5">
                  <c:v>73.695999999999998</c:v>
                </c:pt>
                <c:pt idx="6">
                  <c:v>74.067999999999998</c:v>
                </c:pt>
                <c:pt idx="7">
                  <c:v>75.183999999999997</c:v>
                </c:pt>
                <c:pt idx="8">
                  <c:v>75.391999999999996</c:v>
                </c:pt>
                <c:pt idx="9">
                  <c:v>75.683000000000007</c:v>
                </c:pt>
                <c:pt idx="10">
                  <c:v>76.423000000000002</c:v>
                </c:pt>
                <c:pt idx="11">
                  <c:v>77.444000000000003</c:v>
                </c:pt>
                <c:pt idx="12">
                  <c:v>77.900000000000006</c:v>
                </c:pt>
                <c:pt idx="13">
                  <c:v>78.08</c:v>
                </c:pt>
                <c:pt idx="14">
                  <c:v>78.481999999999999</c:v>
                </c:pt>
                <c:pt idx="15">
                  <c:v>78.77</c:v>
                </c:pt>
                <c:pt idx="16">
                  <c:v>78.688999999999993</c:v>
                </c:pt>
                <c:pt idx="17">
                  <c:v>78.688999999999993</c:v>
                </c:pt>
                <c:pt idx="18">
                  <c:v>77.912999999999997</c:v>
                </c:pt>
                <c:pt idx="19">
                  <c:v>77.757999999999996</c:v>
                </c:pt>
                <c:pt idx="20">
                  <c:v>77.459999999999994</c:v>
                </c:pt>
                <c:pt idx="21">
                  <c:v>77.703000000000003</c:v>
                </c:pt>
                <c:pt idx="22">
                  <c:v>77.864000000000004</c:v>
                </c:pt>
                <c:pt idx="23">
                  <c:v>78.271000000000001</c:v>
                </c:pt>
                <c:pt idx="24">
                  <c:v>78.397999999999996</c:v>
                </c:pt>
                <c:pt idx="25">
                  <c:v>78.959999999999994</c:v>
                </c:pt>
                <c:pt idx="26">
                  <c:v>78.811999999999998</c:v>
                </c:pt>
                <c:pt idx="27">
                  <c:v>78.314999999999998</c:v>
                </c:pt>
                <c:pt idx="28">
                  <c:v>76.421999999999997</c:v>
                </c:pt>
                <c:pt idx="29">
                  <c:v>71.784000000000006</c:v>
                </c:pt>
                <c:pt idx="30">
                  <c:v>70.662999999999997</c:v>
                </c:pt>
                <c:pt idx="31">
                  <c:v>70.33</c:v>
                </c:pt>
                <c:pt idx="32">
                  <c:v>70.106999999999999</c:v>
                </c:pt>
                <c:pt idx="33">
                  <c:v>69.61</c:v>
                </c:pt>
                <c:pt idx="34">
                  <c:v>69.680000000000007</c:v>
                </c:pt>
                <c:pt idx="35">
                  <c:v>70.974000000000004</c:v>
                </c:pt>
                <c:pt idx="36">
                  <c:v>72.704999999999998</c:v>
                </c:pt>
                <c:pt idx="37">
                  <c:v>75.251000000000005</c:v>
                </c:pt>
                <c:pt idx="38">
                  <c:v>75.929000000000002</c:v>
                </c:pt>
                <c:pt idx="39">
                  <c:v>76.462999999999994</c:v>
                </c:pt>
                <c:pt idx="40">
                  <c:v>77.248999999999995</c:v>
                </c:pt>
                <c:pt idx="41">
                  <c:v>80.394000000000005</c:v>
                </c:pt>
                <c:pt idx="42">
                  <c:v>78.45</c:v>
                </c:pt>
                <c:pt idx="43">
                  <c:v>81.468999999999994</c:v>
                </c:pt>
                <c:pt idx="44">
                  <c:v>83.405000000000001</c:v>
                </c:pt>
                <c:pt idx="45">
                  <c:v>84.150999999999996</c:v>
                </c:pt>
                <c:pt idx="46">
                  <c:v>84.34</c:v>
                </c:pt>
                <c:pt idx="47">
                  <c:v>84.417000000000002</c:v>
                </c:pt>
                <c:pt idx="48">
                  <c:v>84.498999999999995</c:v>
                </c:pt>
                <c:pt idx="49">
                  <c:v>84.388999999999996</c:v>
                </c:pt>
                <c:pt idx="50">
                  <c:v>84.399000000000001</c:v>
                </c:pt>
                <c:pt idx="51">
                  <c:v>84.897999999999996</c:v>
                </c:pt>
                <c:pt idx="52">
                  <c:v>85.856999999999999</c:v>
                </c:pt>
                <c:pt idx="53">
                  <c:v>86.501999999999995</c:v>
                </c:pt>
                <c:pt idx="54">
                  <c:v>85.356999999999999</c:v>
                </c:pt>
                <c:pt idx="55">
                  <c:v>86.048000000000002</c:v>
                </c:pt>
                <c:pt idx="56">
                  <c:v>87.632999999999996</c:v>
                </c:pt>
                <c:pt idx="57">
                  <c:v>89.388000000000005</c:v>
                </c:pt>
                <c:pt idx="58">
                  <c:v>90.012</c:v>
                </c:pt>
                <c:pt idx="59">
                  <c:v>89.975999999999999</c:v>
                </c:pt>
                <c:pt idx="60">
                  <c:v>90.11</c:v>
                </c:pt>
                <c:pt idx="61">
                  <c:v>90.257999999999996</c:v>
                </c:pt>
                <c:pt idx="62">
                  <c:v>90.313999999999993</c:v>
                </c:pt>
                <c:pt idx="63">
                  <c:v>90.382000000000005</c:v>
                </c:pt>
                <c:pt idx="64">
                  <c:v>90.186999999999998</c:v>
                </c:pt>
                <c:pt idx="65">
                  <c:v>90.242999999999995</c:v>
                </c:pt>
                <c:pt idx="66">
                  <c:v>90.423000000000002</c:v>
                </c:pt>
                <c:pt idx="67">
                  <c:v>90.171000000000006</c:v>
                </c:pt>
                <c:pt idx="68">
                  <c:v>89.909000000000006</c:v>
                </c:pt>
                <c:pt idx="69">
                  <c:v>90.259</c:v>
                </c:pt>
                <c:pt idx="70">
                  <c:v>90.856999999999999</c:v>
                </c:pt>
                <c:pt idx="71">
                  <c:v>91.18</c:v>
                </c:pt>
                <c:pt idx="72">
                  <c:v>91.566999999999993</c:v>
                </c:pt>
                <c:pt idx="73">
                  <c:v>91.637</c:v>
                </c:pt>
                <c:pt idx="74">
                  <c:v>91.631</c:v>
                </c:pt>
                <c:pt idx="75">
                  <c:v>91.655000000000001</c:v>
                </c:pt>
                <c:pt idx="76">
                  <c:v>92.191000000000003</c:v>
                </c:pt>
                <c:pt idx="77">
                  <c:v>92.492999999999995</c:v>
                </c:pt>
                <c:pt idx="78">
                  <c:v>93.015000000000001</c:v>
                </c:pt>
                <c:pt idx="79">
                  <c:v>93.144999999999996</c:v>
                </c:pt>
                <c:pt idx="80">
                  <c:v>93.412000000000006</c:v>
                </c:pt>
                <c:pt idx="81">
                  <c:v>93.307000000000002</c:v>
                </c:pt>
                <c:pt idx="82">
                  <c:v>93.305999999999997</c:v>
                </c:pt>
                <c:pt idx="83">
                  <c:v>93.274000000000001</c:v>
                </c:pt>
                <c:pt idx="84">
                  <c:v>93.403999999999996</c:v>
                </c:pt>
                <c:pt idx="85">
                  <c:v>93.403999999999996</c:v>
                </c:pt>
                <c:pt idx="86">
                  <c:v>93.17</c:v>
                </c:pt>
                <c:pt idx="87">
                  <c:v>93.286000000000001</c:v>
                </c:pt>
                <c:pt idx="88">
                  <c:v>93.533000000000001</c:v>
                </c:pt>
                <c:pt idx="89">
                  <c:v>93.563999999999993</c:v>
                </c:pt>
                <c:pt idx="90">
                  <c:v>93.594999999999999</c:v>
                </c:pt>
                <c:pt idx="91">
                  <c:v>93.494</c:v>
                </c:pt>
                <c:pt idx="92">
                  <c:v>92.771000000000001</c:v>
                </c:pt>
                <c:pt idx="93">
                  <c:v>92.322000000000003</c:v>
                </c:pt>
                <c:pt idx="94">
                  <c:v>92.04</c:v>
                </c:pt>
                <c:pt idx="95">
                  <c:v>91.819000000000003</c:v>
                </c:pt>
                <c:pt idx="96">
                  <c:v>91.789000000000001</c:v>
                </c:pt>
                <c:pt idx="97">
                  <c:v>91.792000000000002</c:v>
                </c:pt>
                <c:pt idx="98">
                  <c:v>91.745000000000005</c:v>
                </c:pt>
                <c:pt idx="99">
                  <c:v>91.864000000000004</c:v>
                </c:pt>
                <c:pt idx="100">
                  <c:v>91.585999999999999</c:v>
                </c:pt>
                <c:pt idx="101">
                  <c:v>91.578999999999994</c:v>
                </c:pt>
                <c:pt idx="102">
                  <c:v>91.287999999999997</c:v>
                </c:pt>
                <c:pt idx="103">
                  <c:v>90.075999999999993</c:v>
                </c:pt>
                <c:pt idx="104">
                  <c:v>89.406000000000006</c:v>
                </c:pt>
                <c:pt idx="105">
                  <c:v>89.58</c:v>
                </c:pt>
                <c:pt idx="106">
                  <c:v>90.197000000000003</c:v>
                </c:pt>
                <c:pt idx="107">
                  <c:v>90.831999999999994</c:v>
                </c:pt>
                <c:pt idx="108">
                  <c:v>91.113</c:v>
                </c:pt>
                <c:pt idx="109">
                  <c:v>91.703000000000003</c:v>
                </c:pt>
                <c:pt idx="110">
                  <c:v>92.9</c:v>
                </c:pt>
                <c:pt idx="111">
                  <c:v>93.325000000000003</c:v>
                </c:pt>
                <c:pt idx="112">
                  <c:v>93.435000000000002</c:v>
                </c:pt>
                <c:pt idx="113">
                  <c:v>93.649000000000001</c:v>
                </c:pt>
                <c:pt idx="114">
                  <c:v>93.83</c:v>
                </c:pt>
                <c:pt idx="115">
                  <c:v>94.081999999999994</c:v>
                </c:pt>
                <c:pt idx="116">
                  <c:v>94.293999999999997</c:v>
                </c:pt>
                <c:pt idx="117">
                  <c:v>94.498000000000005</c:v>
                </c:pt>
                <c:pt idx="118">
                  <c:v>94.725999999999999</c:v>
                </c:pt>
                <c:pt idx="119">
                  <c:v>94.988</c:v>
                </c:pt>
                <c:pt idx="120">
                  <c:v>94.92</c:v>
                </c:pt>
                <c:pt idx="121">
                  <c:v>94.516999999999996</c:v>
                </c:pt>
                <c:pt idx="122">
                  <c:v>94.197000000000003</c:v>
                </c:pt>
                <c:pt idx="123">
                  <c:v>93.938000000000002</c:v>
                </c:pt>
                <c:pt idx="124">
                  <c:v>93.938999999999993</c:v>
                </c:pt>
                <c:pt idx="125">
                  <c:v>93.95</c:v>
                </c:pt>
                <c:pt idx="126">
                  <c:v>94.111000000000004</c:v>
                </c:pt>
                <c:pt idx="127">
                  <c:v>94.298000000000002</c:v>
                </c:pt>
                <c:pt idx="128">
                  <c:v>94.221000000000004</c:v>
                </c:pt>
                <c:pt idx="129">
                  <c:v>93.911000000000001</c:v>
                </c:pt>
                <c:pt idx="130">
                  <c:v>93.863</c:v>
                </c:pt>
                <c:pt idx="131">
                  <c:v>93.875</c:v>
                </c:pt>
                <c:pt idx="132">
                  <c:v>93.891999999999996</c:v>
                </c:pt>
                <c:pt idx="133">
                  <c:v>93.962000000000003</c:v>
                </c:pt>
                <c:pt idx="134">
                  <c:v>94.16</c:v>
                </c:pt>
                <c:pt idx="135">
                  <c:v>94.346000000000004</c:v>
                </c:pt>
                <c:pt idx="136">
                  <c:v>94.506</c:v>
                </c:pt>
                <c:pt idx="137">
                  <c:v>94.534999999999997</c:v>
                </c:pt>
                <c:pt idx="138">
                  <c:v>94.113</c:v>
                </c:pt>
                <c:pt idx="139">
                  <c:v>93.763000000000005</c:v>
                </c:pt>
                <c:pt idx="140">
                  <c:v>94.022999999999996</c:v>
                </c:pt>
                <c:pt idx="141">
                  <c:v>94.301000000000002</c:v>
                </c:pt>
                <c:pt idx="142">
                  <c:v>94.623000000000005</c:v>
                </c:pt>
                <c:pt idx="143">
                  <c:v>94.343000000000004</c:v>
                </c:pt>
                <c:pt idx="144">
                  <c:v>94.783000000000001</c:v>
                </c:pt>
                <c:pt idx="145">
                  <c:v>94.923000000000002</c:v>
                </c:pt>
                <c:pt idx="146">
                  <c:v>95.037000000000006</c:v>
                </c:pt>
                <c:pt idx="147">
                  <c:v>95.265000000000001</c:v>
                </c:pt>
                <c:pt idx="148">
                  <c:v>95.207999999999998</c:v>
                </c:pt>
                <c:pt idx="149">
                  <c:v>95.302000000000007</c:v>
                </c:pt>
                <c:pt idx="150">
                  <c:v>96.68</c:v>
                </c:pt>
                <c:pt idx="151">
                  <c:v>96.933000000000007</c:v>
                </c:pt>
                <c:pt idx="152">
                  <c:v>97.501999999999995</c:v>
                </c:pt>
                <c:pt idx="153">
                  <c:v>97.616</c:v>
                </c:pt>
                <c:pt idx="154">
                  <c:v>97.644999999999996</c:v>
                </c:pt>
                <c:pt idx="155">
                  <c:v>97.581999999999994</c:v>
                </c:pt>
                <c:pt idx="156">
                  <c:v>97.998999999999995</c:v>
                </c:pt>
                <c:pt idx="157">
                  <c:v>97.962999999999994</c:v>
                </c:pt>
                <c:pt idx="158">
                  <c:v>98.004000000000005</c:v>
                </c:pt>
                <c:pt idx="159">
                  <c:v>97.947000000000003</c:v>
                </c:pt>
                <c:pt idx="160">
                  <c:v>98.578999999999994</c:v>
                </c:pt>
                <c:pt idx="161">
                  <c:v>98.766000000000005</c:v>
                </c:pt>
                <c:pt idx="162">
                  <c:v>98.817999999999998</c:v>
                </c:pt>
                <c:pt idx="163">
                  <c:v>98.831999999999994</c:v>
                </c:pt>
                <c:pt idx="164">
                  <c:v>99.072000000000003</c:v>
                </c:pt>
                <c:pt idx="165">
                  <c:v>99.153000000000006</c:v>
                </c:pt>
                <c:pt idx="166">
                  <c:v>99.174999999999997</c:v>
                </c:pt>
                <c:pt idx="167">
                  <c:v>99.168999999999997</c:v>
                </c:pt>
                <c:pt idx="168">
                  <c:v>99.164000000000001</c:v>
                </c:pt>
                <c:pt idx="169">
                  <c:v>99.331000000000003</c:v>
                </c:pt>
                <c:pt idx="170">
                  <c:v>99.269000000000005</c:v>
                </c:pt>
                <c:pt idx="171">
                  <c:v>99.227999999999994</c:v>
                </c:pt>
                <c:pt idx="172">
                  <c:v>99.179000000000002</c:v>
                </c:pt>
                <c:pt idx="173">
                  <c:v>99.293999999999997</c:v>
                </c:pt>
                <c:pt idx="174">
                  <c:v>99.375</c:v>
                </c:pt>
                <c:pt idx="175">
                  <c:v>99.283000000000001</c:v>
                </c:pt>
                <c:pt idx="176">
                  <c:v>99.284999999999997</c:v>
                </c:pt>
                <c:pt idx="177">
                  <c:v>99.268000000000001</c:v>
                </c:pt>
                <c:pt idx="178">
                  <c:v>99.254000000000005</c:v>
                </c:pt>
                <c:pt idx="179">
                  <c:v>99.233000000000004</c:v>
                </c:pt>
                <c:pt idx="180">
                  <c:v>99.222999999999999</c:v>
                </c:pt>
                <c:pt idx="181">
                  <c:v>99.153999999999996</c:v>
                </c:pt>
                <c:pt idx="182">
                  <c:v>99.143000000000001</c:v>
                </c:pt>
                <c:pt idx="183">
                  <c:v>99.131</c:v>
                </c:pt>
                <c:pt idx="184">
                  <c:v>99.188000000000002</c:v>
                </c:pt>
                <c:pt idx="185">
                  <c:v>99.123999999999995</c:v>
                </c:pt>
                <c:pt idx="186">
                  <c:v>99.146000000000001</c:v>
                </c:pt>
                <c:pt idx="187">
                  <c:v>99.341999999999999</c:v>
                </c:pt>
                <c:pt idx="188">
                  <c:v>99.100999999999999</c:v>
                </c:pt>
                <c:pt idx="189">
                  <c:v>98.938000000000002</c:v>
                </c:pt>
                <c:pt idx="190">
                  <c:v>98.677999999999997</c:v>
                </c:pt>
                <c:pt idx="191">
                  <c:v>98.605000000000004</c:v>
                </c:pt>
                <c:pt idx="192">
                  <c:v>98.572999999999993</c:v>
                </c:pt>
                <c:pt idx="193">
                  <c:v>98.501000000000005</c:v>
                </c:pt>
                <c:pt idx="194">
                  <c:v>98.510999999999996</c:v>
                </c:pt>
                <c:pt idx="195">
                  <c:v>98.442999999999998</c:v>
                </c:pt>
                <c:pt idx="196">
                  <c:v>98.387</c:v>
                </c:pt>
                <c:pt idx="197">
                  <c:v>98.350999999999999</c:v>
                </c:pt>
                <c:pt idx="198">
                  <c:v>98.293999999999997</c:v>
                </c:pt>
                <c:pt idx="199">
                  <c:v>98.269000000000005</c:v>
                </c:pt>
                <c:pt idx="200">
                  <c:v>98.236999999999995</c:v>
                </c:pt>
                <c:pt idx="201">
                  <c:v>98.242999999999995</c:v>
                </c:pt>
                <c:pt idx="202">
                  <c:v>98.188999999999993</c:v>
                </c:pt>
                <c:pt idx="203">
                  <c:v>98.06</c:v>
                </c:pt>
                <c:pt idx="204">
                  <c:v>98.082999999999998</c:v>
                </c:pt>
                <c:pt idx="205">
                  <c:v>98.076999999999998</c:v>
                </c:pt>
                <c:pt idx="206">
                  <c:v>98.061999999999998</c:v>
                </c:pt>
                <c:pt idx="207">
                  <c:v>98.093999999999994</c:v>
                </c:pt>
                <c:pt idx="208">
                  <c:v>98.066999999999993</c:v>
                </c:pt>
                <c:pt idx="209">
                  <c:v>98.034999999999997</c:v>
                </c:pt>
                <c:pt idx="210">
                  <c:v>98.094999999999999</c:v>
                </c:pt>
                <c:pt idx="211">
                  <c:v>98.097999999999999</c:v>
                </c:pt>
                <c:pt idx="212">
                  <c:v>98.094999999999999</c:v>
                </c:pt>
                <c:pt idx="213">
                  <c:v>98.100999999999999</c:v>
                </c:pt>
                <c:pt idx="214">
                  <c:v>97.984999999999999</c:v>
                </c:pt>
                <c:pt idx="215">
                  <c:v>97.950999999999993</c:v>
                </c:pt>
                <c:pt idx="216">
                  <c:v>97.950999999999993</c:v>
                </c:pt>
                <c:pt idx="217">
                  <c:v>97.91</c:v>
                </c:pt>
                <c:pt idx="218">
                  <c:v>97.847999999999999</c:v>
                </c:pt>
                <c:pt idx="219">
                  <c:v>97.662999999999997</c:v>
                </c:pt>
                <c:pt idx="220">
                  <c:v>97.802999999999997</c:v>
                </c:pt>
                <c:pt idx="221">
                  <c:v>97.887</c:v>
                </c:pt>
                <c:pt idx="222">
                  <c:v>97.819000000000003</c:v>
                </c:pt>
                <c:pt idx="223">
                  <c:v>98.025000000000006</c:v>
                </c:pt>
                <c:pt idx="224">
                  <c:v>97.980999999999995</c:v>
                </c:pt>
                <c:pt idx="225">
                  <c:v>98.123000000000005</c:v>
                </c:pt>
                <c:pt idx="226">
                  <c:v>98.06</c:v>
                </c:pt>
                <c:pt idx="227">
                  <c:v>97.802999999999997</c:v>
                </c:pt>
                <c:pt idx="228">
                  <c:v>97.692999999999998</c:v>
                </c:pt>
                <c:pt idx="229">
                  <c:v>97.388999999999996</c:v>
                </c:pt>
                <c:pt idx="230">
                  <c:v>97.046999999999997</c:v>
                </c:pt>
                <c:pt idx="231">
                  <c:v>96.944000000000003</c:v>
                </c:pt>
                <c:pt idx="232">
                  <c:v>96.906999999999996</c:v>
                </c:pt>
                <c:pt idx="233">
                  <c:v>96.861999999999995</c:v>
                </c:pt>
                <c:pt idx="234">
                  <c:v>96.781999999999996</c:v>
                </c:pt>
                <c:pt idx="235">
                  <c:v>96.703000000000003</c:v>
                </c:pt>
                <c:pt idx="236">
                  <c:v>96.716999999999999</c:v>
                </c:pt>
                <c:pt idx="237">
                  <c:v>96.635999999999996</c:v>
                </c:pt>
                <c:pt idx="238">
                  <c:v>96.447000000000003</c:v>
                </c:pt>
                <c:pt idx="239">
                  <c:v>96.293000000000006</c:v>
                </c:pt>
                <c:pt idx="240">
                  <c:v>96.230999999999995</c:v>
                </c:pt>
                <c:pt idx="241">
                  <c:v>96.122</c:v>
                </c:pt>
                <c:pt idx="242">
                  <c:v>95.927000000000007</c:v>
                </c:pt>
                <c:pt idx="243">
                  <c:v>95.921000000000006</c:v>
                </c:pt>
                <c:pt idx="244">
                  <c:v>96.177000000000007</c:v>
                </c:pt>
                <c:pt idx="245">
                  <c:v>96.489000000000004</c:v>
                </c:pt>
                <c:pt idx="246">
                  <c:v>96.57</c:v>
                </c:pt>
                <c:pt idx="247">
                  <c:v>96.516999999999996</c:v>
                </c:pt>
                <c:pt idx="248">
                  <c:v>96.774000000000001</c:v>
                </c:pt>
                <c:pt idx="249">
                  <c:v>97.090999999999994</c:v>
                </c:pt>
                <c:pt idx="250">
                  <c:v>97.245000000000005</c:v>
                </c:pt>
                <c:pt idx="251">
                  <c:v>97.141999999999996</c:v>
                </c:pt>
                <c:pt idx="252">
                  <c:v>96.974999999999994</c:v>
                </c:pt>
                <c:pt idx="253">
                  <c:v>96.688000000000002</c:v>
                </c:pt>
                <c:pt idx="254">
                  <c:v>96.484999999999999</c:v>
                </c:pt>
                <c:pt idx="255">
                  <c:v>96.555999999999997</c:v>
                </c:pt>
                <c:pt idx="256">
                  <c:v>96.522000000000006</c:v>
                </c:pt>
                <c:pt idx="257">
                  <c:v>96.569000000000003</c:v>
                </c:pt>
                <c:pt idx="258">
                  <c:v>96.731999999999999</c:v>
                </c:pt>
                <c:pt idx="259">
                  <c:v>97.203999999999994</c:v>
                </c:pt>
                <c:pt idx="260">
                  <c:v>97.353999999999999</c:v>
                </c:pt>
                <c:pt idx="261">
                  <c:v>97.459000000000003</c:v>
                </c:pt>
                <c:pt idx="262">
                  <c:v>97.483000000000004</c:v>
                </c:pt>
                <c:pt idx="263">
                  <c:v>97.531000000000006</c:v>
                </c:pt>
                <c:pt idx="264">
                  <c:v>97.57</c:v>
                </c:pt>
                <c:pt idx="265">
                  <c:v>97.751999999999995</c:v>
                </c:pt>
                <c:pt idx="266">
                  <c:v>97.706000000000003</c:v>
                </c:pt>
                <c:pt idx="267">
                  <c:v>97.712999999999994</c:v>
                </c:pt>
                <c:pt idx="268">
                  <c:v>97.637</c:v>
                </c:pt>
                <c:pt idx="269">
                  <c:v>97.613</c:v>
                </c:pt>
                <c:pt idx="270">
                  <c:v>97.665000000000006</c:v>
                </c:pt>
                <c:pt idx="271">
                  <c:v>97.613</c:v>
                </c:pt>
                <c:pt idx="272">
                  <c:v>97.709000000000003</c:v>
                </c:pt>
                <c:pt idx="273">
                  <c:v>97.635999999999996</c:v>
                </c:pt>
                <c:pt idx="274">
                  <c:v>97.536000000000001</c:v>
                </c:pt>
                <c:pt idx="275">
                  <c:v>97.447999999999993</c:v>
                </c:pt>
                <c:pt idx="276">
                  <c:v>97.201999999999998</c:v>
                </c:pt>
                <c:pt idx="277">
                  <c:v>97.168999999999997</c:v>
                </c:pt>
                <c:pt idx="278">
                  <c:v>97.317999999999998</c:v>
                </c:pt>
                <c:pt idx="279">
                  <c:v>97.35</c:v>
                </c:pt>
                <c:pt idx="280">
                  <c:v>97.391999999999996</c:v>
                </c:pt>
                <c:pt idx="281">
                  <c:v>97.382999999999996</c:v>
                </c:pt>
                <c:pt idx="282">
                  <c:v>97.331999999999994</c:v>
                </c:pt>
                <c:pt idx="283">
                  <c:v>97.287999999999997</c:v>
                </c:pt>
              </c:numCache>
            </c:numRef>
          </c:val>
          <c:extLst>
            <c:ext xmlns:c16="http://schemas.microsoft.com/office/drawing/2014/chart" uri="{C3380CC4-5D6E-409C-BE32-E72D297353CC}">
              <c16:uniqueId val="{00000000-9377-4A52-8859-617F50F8D880}"/>
            </c:ext>
          </c:extLst>
        </c:ser>
        <c:dLbls>
          <c:showLegendKey val="0"/>
          <c:showVal val="0"/>
          <c:showCatName val="0"/>
          <c:showSerName val="0"/>
          <c:showPercent val="0"/>
          <c:showBubbleSize val="0"/>
        </c:dLbls>
        <c:axId val="201958528"/>
        <c:axId val="201960064"/>
      </c:areaChart>
      <c:lineChart>
        <c:grouping val="standard"/>
        <c:varyColors val="0"/>
        <c:ser>
          <c:idx val="1"/>
          <c:order val="1"/>
          <c:tx>
            <c:strRef>
              <c:f>'[Hartije od vrednosti na medjunarodnom trzistu SAJT 04.04.2022 (00000002).xlsx]EUROBOND 2033 offline'!$C$4</c:f>
              <c:strCache>
                <c:ptCount val="1"/>
                <c:pt idx="0">
                  <c:v>Средњи принос до доспећа</c:v>
                </c:pt>
              </c:strCache>
            </c:strRef>
          </c:tx>
          <c:spPr>
            <a:ln>
              <a:solidFill>
                <a:srgbClr val="4472C4">
                  <a:lumMod val="60000"/>
                  <a:lumOff val="40000"/>
                </a:srgbClr>
              </a:solidFill>
            </a:ln>
          </c:spPr>
          <c:marker>
            <c:symbol val="none"/>
          </c:marker>
          <c:cat>
            <c:numRef>
              <c:f>'[Hartije od vrednosti na medjunarodnom trzistu SAJT 04.04.2022 (00000002).xlsx]EUROBOND 2033 offline'!$A$6:$A$289</c:f>
              <c:numCache>
                <c:formatCode>dd\/mm\/yy</c:formatCode>
                <c:ptCount val="284"/>
                <c:pt idx="0">
                  <c:v>44678</c:v>
                </c:pt>
                <c:pt idx="1">
                  <c:v>44677</c:v>
                </c:pt>
                <c:pt idx="2">
                  <c:v>44676</c:v>
                </c:pt>
                <c:pt idx="3">
                  <c:v>44673</c:v>
                </c:pt>
                <c:pt idx="4">
                  <c:v>44672</c:v>
                </c:pt>
                <c:pt idx="5">
                  <c:v>44671</c:v>
                </c:pt>
                <c:pt idx="6">
                  <c:v>44670</c:v>
                </c:pt>
                <c:pt idx="7">
                  <c:v>44665</c:v>
                </c:pt>
                <c:pt idx="8">
                  <c:v>44664</c:v>
                </c:pt>
                <c:pt idx="9">
                  <c:v>44663</c:v>
                </c:pt>
                <c:pt idx="10">
                  <c:v>44662</c:v>
                </c:pt>
                <c:pt idx="11">
                  <c:v>44659</c:v>
                </c:pt>
                <c:pt idx="12">
                  <c:v>44658</c:v>
                </c:pt>
                <c:pt idx="13">
                  <c:v>44657</c:v>
                </c:pt>
                <c:pt idx="14">
                  <c:v>44656</c:v>
                </c:pt>
                <c:pt idx="15">
                  <c:v>44655</c:v>
                </c:pt>
                <c:pt idx="16">
                  <c:v>44652</c:v>
                </c:pt>
                <c:pt idx="17">
                  <c:v>44651</c:v>
                </c:pt>
                <c:pt idx="18">
                  <c:v>44650</c:v>
                </c:pt>
                <c:pt idx="19">
                  <c:v>44649</c:v>
                </c:pt>
                <c:pt idx="20">
                  <c:v>44648</c:v>
                </c:pt>
                <c:pt idx="21">
                  <c:v>44645</c:v>
                </c:pt>
                <c:pt idx="22">
                  <c:v>44644</c:v>
                </c:pt>
                <c:pt idx="23">
                  <c:v>44643</c:v>
                </c:pt>
                <c:pt idx="24">
                  <c:v>44642</c:v>
                </c:pt>
                <c:pt idx="25">
                  <c:v>44641</c:v>
                </c:pt>
                <c:pt idx="26">
                  <c:v>44638</c:v>
                </c:pt>
                <c:pt idx="27">
                  <c:v>44637</c:v>
                </c:pt>
                <c:pt idx="28">
                  <c:v>44636</c:v>
                </c:pt>
                <c:pt idx="29">
                  <c:v>44635</c:v>
                </c:pt>
                <c:pt idx="30">
                  <c:v>44634</c:v>
                </c:pt>
                <c:pt idx="31">
                  <c:v>44631</c:v>
                </c:pt>
                <c:pt idx="32">
                  <c:v>44630</c:v>
                </c:pt>
                <c:pt idx="33">
                  <c:v>44629</c:v>
                </c:pt>
                <c:pt idx="34">
                  <c:v>44628</c:v>
                </c:pt>
                <c:pt idx="35">
                  <c:v>44627</c:v>
                </c:pt>
                <c:pt idx="36">
                  <c:v>44624</c:v>
                </c:pt>
                <c:pt idx="37">
                  <c:v>44623</c:v>
                </c:pt>
                <c:pt idx="38">
                  <c:v>44622</c:v>
                </c:pt>
                <c:pt idx="39">
                  <c:v>44621</c:v>
                </c:pt>
                <c:pt idx="40">
                  <c:v>44620</c:v>
                </c:pt>
                <c:pt idx="41">
                  <c:v>44617</c:v>
                </c:pt>
                <c:pt idx="42">
                  <c:v>44616</c:v>
                </c:pt>
                <c:pt idx="43">
                  <c:v>44615</c:v>
                </c:pt>
                <c:pt idx="44">
                  <c:v>44614</c:v>
                </c:pt>
                <c:pt idx="45">
                  <c:v>44613</c:v>
                </c:pt>
                <c:pt idx="46">
                  <c:v>44610</c:v>
                </c:pt>
                <c:pt idx="47">
                  <c:v>44609</c:v>
                </c:pt>
                <c:pt idx="48">
                  <c:v>44608</c:v>
                </c:pt>
                <c:pt idx="49">
                  <c:v>44607</c:v>
                </c:pt>
                <c:pt idx="50">
                  <c:v>44606</c:v>
                </c:pt>
                <c:pt idx="51">
                  <c:v>44603</c:v>
                </c:pt>
                <c:pt idx="52">
                  <c:v>44602</c:v>
                </c:pt>
                <c:pt idx="53">
                  <c:v>44601</c:v>
                </c:pt>
                <c:pt idx="54">
                  <c:v>44600</c:v>
                </c:pt>
                <c:pt idx="55">
                  <c:v>44599</c:v>
                </c:pt>
                <c:pt idx="56">
                  <c:v>44596</c:v>
                </c:pt>
                <c:pt idx="57">
                  <c:v>44595</c:v>
                </c:pt>
                <c:pt idx="58">
                  <c:v>44594</c:v>
                </c:pt>
                <c:pt idx="59">
                  <c:v>44593</c:v>
                </c:pt>
                <c:pt idx="60">
                  <c:v>44592</c:v>
                </c:pt>
                <c:pt idx="61">
                  <c:v>44589</c:v>
                </c:pt>
                <c:pt idx="62">
                  <c:v>44588</c:v>
                </c:pt>
                <c:pt idx="63">
                  <c:v>44587</c:v>
                </c:pt>
                <c:pt idx="64">
                  <c:v>44586</c:v>
                </c:pt>
                <c:pt idx="65">
                  <c:v>44585</c:v>
                </c:pt>
                <c:pt idx="66">
                  <c:v>44582</c:v>
                </c:pt>
                <c:pt idx="67">
                  <c:v>44581</c:v>
                </c:pt>
                <c:pt idx="68">
                  <c:v>44580</c:v>
                </c:pt>
                <c:pt idx="69">
                  <c:v>44579</c:v>
                </c:pt>
                <c:pt idx="70">
                  <c:v>44578</c:v>
                </c:pt>
                <c:pt idx="71">
                  <c:v>44575</c:v>
                </c:pt>
                <c:pt idx="72">
                  <c:v>44574</c:v>
                </c:pt>
                <c:pt idx="73">
                  <c:v>44573</c:v>
                </c:pt>
                <c:pt idx="74">
                  <c:v>44572</c:v>
                </c:pt>
                <c:pt idx="75">
                  <c:v>44571</c:v>
                </c:pt>
                <c:pt idx="76">
                  <c:v>44568</c:v>
                </c:pt>
                <c:pt idx="77">
                  <c:v>44567</c:v>
                </c:pt>
                <c:pt idx="78">
                  <c:v>44566</c:v>
                </c:pt>
                <c:pt idx="79">
                  <c:v>44565</c:v>
                </c:pt>
                <c:pt idx="80">
                  <c:v>44564</c:v>
                </c:pt>
                <c:pt idx="81">
                  <c:v>44561</c:v>
                </c:pt>
                <c:pt idx="82">
                  <c:v>44560</c:v>
                </c:pt>
                <c:pt idx="83">
                  <c:v>44559</c:v>
                </c:pt>
                <c:pt idx="84">
                  <c:v>44558</c:v>
                </c:pt>
                <c:pt idx="85">
                  <c:v>44557</c:v>
                </c:pt>
                <c:pt idx="86">
                  <c:v>44554</c:v>
                </c:pt>
                <c:pt idx="87">
                  <c:v>44553</c:v>
                </c:pt>
                <c:pt idx="88">
                  <c:v>44552</c:v>
                </c:pt>
                <c:pt idx="89">
                  <c:v>44551</c:v>
                </c:pt>
                <c:pt idx="90">
                  <c:v>44550</c:v>
                </c:pt>
                <c:pt idx="91">
                  <c:v>44547</c:v>
                </c:pt>
                <c:pt idx="92">
                  <c:v>44546</c:v>
                </c:pt>
                <c:pt idx="93">
                  <c:v>44545</c:v>
                </c:pt>
                <c:pt idx="94">
                  <c:v>44544</c:v>
                </c:pt>
                <c:pt idx="95">
                  <c:v>44543</c:v>
                </c:pt>
                <c:pt idx="96">
                  <c:v>44540</c:v>
                </c:pt>
                <c:pt idx="97">
                  <c:v>44539</c:v>
                </c:pt>
                <c:pt idx="98">
                  <c:v>44538</c:v>
                </c:pt>
                <c:pt idx="99">
                  <c:v>44537</c:v>
                </c:pt>
                <c:pt idx="100">
                  <c:v>44536</c:v>
                </c:pt>
                <c:pt idx="101">
                  <c:v>44533</c:v>
                </c:pt>
                <c:pt idx="102">
                  <c:v>44532</c:v>
                </c:pt>
                <c:pt idx="103">
                  <c:v>44531</c:v>
                </c:pt>
                <c:pt idx="104">
                  <c:v>44530</c:v>
                </c:pt>
                <c:pt idx="105">
                  <c:v>44529</c:v>
                </c:pt>
                <c:pt idx="106">
                  <c:v>44526</c:v>
                </c:pt>
                <c:pt idx="107">
                  <c:v>44525</c:v>
                </c:pt>
                <c:pt idx="108">
                  <c:v>44524</c:v>
                </c:pt>
                <c:pt idx="109">
                  <c:v>44523</c:v>
                </c:pt>
                <c:pt idx="110">
                  <c:v>44522</c:v>
                </c:pt>
                <c:pt idx="111">
                  <c:v>44519</c:v>
                </c:pt>
                <c:pt idx="112">
                  <c:v>44518</c:v>
                </c:pt>
                <c:pt idx="113">
                  <c:v>44517</c:v>
                </c:pt>
                <c:pt idx="114">
                  <c:v>44516</c:v>
                </c:pt>
                <c:pt idx="115">
                  <c:v>44515</c:v>
                </c:pt>
                <c:pt idx="116">
                  <c:v>44512</c:v>
                </c:pt>
                <c:pt idx="117">
                  <c:v>44511</c:v>
                </c:pt>
                <c:pt idx="118">
                  <c:v>44510</c:v>
                </c:pt>
                <c:pt idx="119">
                  <c:v>44509</c:v>
                </c:pt>
                <c:pt idx="120">
                  <c:v>44508</c:v>
                </c:pt>
                <c:pt idx="121">
                  <c:v>44505</c:v>
                </c:pt>
                <c:pt idx="122">
                  <c:v>44504</c:v>
                </c:pt>
                <c:pt idx="123">
                  <c:v>44503</c:v>
                </c:pt>
                <c:pt idx="124">
                  <c:v>44502</c:v>
                </c:pt>
                <c:pt idx="125">
                  <c:v>44501</c:v>
                </c:pt>
                <c:pt idx="126">
                  <c:v>44498</c:v>
                </c:pt>
                <c:pt idx="127">
                  <c:v>44497</c:v>
                </c:pt>
                <c:pt idx="128">
                  <c:v>44496</c:v>
                </c:pt>
                <c:pt idx="129">
                  <c:v>44495</c:v>
                </c:pt>
                <c:pt idx="130">
                  <c:v>44494</c:v>
                </c:pt>
                <c:pt idx="131">
                  <c:v>44491</c:v>
                </c:pt>
                <c:pt idx="132">
                  <c:v>44490</c:v>
                </c:pt>
                <c:pt idx="133">
                  <c:v>44489</c:v>
                </c:pt>
                <c:pt idx="134">
                  <c:v>44488</c:v>
                </c:pt>
                <c:pt idx="135">
                  <c:v>44487</c:v>
                </c:pt>
                <c:pt idx="136">
                  <c:v>44484</c:v>
                </c:pt>
                <c:pt idx="137">
                  <c:v>44483</c:v>
                </c:pt>
                <c:pt idx="138">
                  <c:v>44482</c:v>
                </c:pt>
                <c:pt idx="139">
                  <c:v>44481</c:v>
                </c:pt>
                <c:pt idx="140">
                  <c:v>44480</c:v>
                </c:pt>
                <c:pt idx="141">
                  <c:v>44477</c:v>
                </c:pt>
                <c:pt idx="142">
                  <c:v>44476</c:v>
                </c:pt>
                <c:pt idx="143">
                  <c:v>44475</c:v>
                </c:pt>
                <c:pt idx="144">
                  <c:v>44474</c:v>
                </c:pt>
                <c:pt idx="145">
                  <c:v>44473</c:v>
                </c:pt>
                <c:pt idx="146">
                  <c:v>44470</c:v>
                </c:pt>
                <c:pt idx="147">
                  <c:v>44469</c:v>
                </c:pt>
                <c:pt idx="148">
                  <c:v>44468</c:v>
                </c:pt>
                <c:pt idx="149">
                  <c:v>44467</c:v>
                </c:pt>
                <c:pt idx="150">
                  <c:v>44466</c:v>
                </c:pt>
                <c:pt idx="151">
                  <c:v>44463</c:v>
                </c:pt>
                <c:pt idx="152">
                  <c:v>44462</c:v>
                </c:pt>
                <c:pt idx="153">
                  <c:v>44461</c:v>
                </c:pt>
                <c:pt idx="154">
                  <c:v>44460</c:v>
                </c:pt>
                <c:pt idx="155">
                  <c:v>44459</c:v>
                </c:pt>
                <c:pt idx="156">
                  <c:v>44456</c:v>
                </c:pt>
                <c:pt idx="157">
                  <c:v>44455</c:v>
                </c:pt>
                <c:pt idx="158">
                  <c:v>44454</c:v>
                </c:pt>
                <c:pt idx="159">
                  <c:v>44453</c:v>
                </c:pt>
                <c:pt idx="160">
                  <c:v>44452</c:v>
                </c:pt>
                <c:pt idx="161">
                  <c:v>44449</c:v>
                </c:pt>
                <c:pt idx="162">
                  <c:v>44448</c:v>
                </c:pt>
                <c:pt idx="163">
                  <c:v>44447</c:v>
                </c:pt>
                <c:pt idx="164">
                  <c:v>44446</c:v>
                </c:pt>
                <c:pt idx="165">
                  <c:v>44445</c:v>
                </c:pt>
                <c:pt idx="166">
                  <c:v>44442</c:v>
                </c:pt>
                <c:pt idx="167">
                  <c:v>44441</c:v>
                </c:pt>
                <c:pt idx="168">
                  <c:v>44440</c:v>
                </c:pt>
                <c:pt idx="169">
                  <c:v>44439</c:v>
                </c:pt>
                <c:pt idx="170">
                  <c:v>44438</c:v>
                </c:pt>
                <c:pt idx="171">
                  <c:v>44435</c:v>
                </c:pt>
                <c:pt idx="172">
                  <c:v>44434</c:v>
                </c:pt>
                <c:pt idx="173">
                  <c:v>44433</c:v>
                </c:pt>
                <c:pt idx="174">
                  <c:v>44432</c:v>
                </c:pt>
                <c:pt idx="175">
                  <c:v>44431</c:v>
                </c:pt>
                <c:pt idx="176">
                  <c:v>44428</c:v>
                </c:pt>
                <c:pt idx="177">
                  <c:v>44427</c:v>
                </c:pt>
                <c:pt idx="178">
                  <c:v>44426</c:v>
                </c:pt>
                <c:pt idx="179">
                  <c:v>44425</c:v>
                </c:pt>
                <c:pt idx="180">
                  <c:v>44424</c:v>
                </c:pt>
                <c:pt idx="181">
                  <c:v>44421</c:v>
                </c:pt>
                <c:pt idx="182">
                  <c:v>44420</c:v>
                </c:pt>
                <c:pt idx="183">
                  <c:v>44419</c:v>
                </c:pt>
                <c:pt idx="184">
                  <c:v>44418</c:v>
                </c:pt>
                <c:pt idx="185">
                  <c:v>44417</c:v>
                </c:pt>
                <c:pt idx="186">
                  <c:v>44414</c:v>
                </c:pt>
                <c:pt idx="187">
                  <c:v>44413</c:v>
                </c:pt>
                <c:pt idx="188">
                  <c:v>44412</c:v>
                </c:pt>
                <c:pt idx="189">
                  <c:v>44411</c:v>
                </c:pt>
                <c:pt idx="190">
                  <c:v>44410</c:v>
                </c:pt>
                <c:pt idx="191">
                  <c:v>44407</c:v>
                </c:pt>
                <c:pt idx="192">
                  <c:v>44406</c:v>
                </c:pt>
                <c:pt idx="193">
                  <c:v>44405</c:v>
                </c:pt>
                <c:pt idx="194">
                  <c:v>44404</c:v>
                </c:pt>
                <c:pt idx="195">
                  <c:v>44403</c:v>
                </c:pt>
                <c:pt idx="196">
                  <c:v>44400</c:v>
                </c:pt>
                <c:pt idx="197">
                  <c:v>44399</c:v>
                </c:pt>
                <c:pt idx="198">
                  <c:v>44398</c:v>
                </c:pt>
                <c:pt idx="199">
                  <c:v>44397</c:v>
                </c:pt>
                <c:pt idx="200">
                  <c:v>44396</c:v>
                </c:pt>
                <c:pt idx="201">
                  <c:v>44393</c:v>
                </c:pt>
                <c:pt idx="202">
                  <c:v>44392</c:v>
                </c:pt>
                <c:pt idx="203">
                  <c:v>44391</c:v>
                </c:pt>
                <c:pt idx="204">
                  <c:v>44390</c:v>
                </c:pt>
                <c:pt idx="205">
                  <c:v>44389</c:v>
                </c:pt>
                <c:pt idx="206">
                  <c:v>44386</c:v>
                </c:pt>
                <c:pt idx="207">
                  <c:v>44385</c:v>
                </c:pt>
                <c:pt idx="208">
                  <c:v>44384</c:v>
                </c:pt>
                <c:pt idx="209">
                  <c:v>44383</c:v>
                </c:pt>
                <c:pt idx="210">
                  <c:v>44382</c:v>
                </c:pt>
                <c:pt idx="211">
                  <c:v>44379</c:v>
                </c:pt>
                <c:pt idx="212">
                  <c:v>44378</c:v>
                </c:pt>
                <c:pt idx="213">
                  <c:v>44377</c:v>
                </c:pt>
                <c:pt idx="214">
                  <c:v>44376</c:v>
                </c:pt>
                <c:pt idx="215">
                  <c:v>44375</c:v>
                </c:pt>
                <c:pt idx="216">
                  <c:v>44372</c:v>
                </c:pt>
                <c:pt idx="217">
                  <c:v>44371</c:v>
                </c:pt>
                <c:pt idx="218">
                  <c:v>44370</c:v>
                </c:pt>
                <c:pt idx="219">
                  <c:v>44369</c:v>
                </c:pt>
                <c:pt idx="220">
                  <c:v>44368</c:v>
                </c:pt>
                <c:pt idx="221">
                  <c:v>44365</c:v>
                </c:pt>
                <c:pt idx="222">
                  <c:v>44364</c:v>
                </c:pt>
                <c:pt idx="223">
                  <c:v>44363</c:v>
                </c:pt>
                <c:pt idx="224">
                  <c:v>44362</c:v>
                </c:pt>
                <c:pt idx="225">
                  <c:v>44361</c:v>
                </c:pt>
                <c:pt idx="226">
                  <c:v>44358</c:v>
                </c:pt>
                <c:pt idx="227">
                  <c:v>44357</c:v>
                </c:pt>
                <c:pt idx="228">
                  <c:v>44356</c:v>
                </c:pt>
                <c:pt idx="229">
                  <c:v>44355</c:v>
                </c:pt>
                <c:pt idx="230">
                  <c:v>44354</c:v>
                </c:pt>
                <c:pt idx="231">
                  <c:v>44351</c:v>
                </c:pt>
                <c:pt idx="232">
                  <c:v>44350</c:v>
                </c:pt>
                <c:pt idx="233">
                  <c:v>44349</c:v>
                </c:pt>
                <c:pt idx="234">
                  <c:v>44348</c:v>
                </c:pt>
                <c:pt idx="235">
                  <c:v>44347</c:v>
                </c:pt>
                <c:pt idx="236">
                  <c:v>44344</c:v>
                </c:pt>
                <c:pt idx="237">
                  <c:v>44343</c:v>
                </c:pt>
                <c:pt idx="238">
                  <c:v>44342</c:v>
                </c:pt>
                <c:pt idx="239">
                  <c:v>44341</c:v>
                </c:pt>
                <c:pt idx="240">
                  <c:v>44340</c:v>
                </c:pt>
                <c:pt idx="241">
                  <c:v>44337</c:v>
                </c:pt>
                <c:pt idx="242">
                  <c:v>44336</c:v>
                </c:pt>
                <c:pt idx="243">
                  <c:v>44335</c:v>
                </c:pt>
                <c:pt idx="244">
                  <c:v>44334</c:v>
                </c:pt>
                <c:pt idx="245">
                  <c:v>44333</c:v>
                </c:pt>
                <c:pt idx="246">
                  <c:v>44330</c:v>
                </c:pt>
                <c:pt idx="247">
                  <c:v>44329</c:v>
                </c:pt>
                <c:pt idx="248">
                  <c:v>44328</c:v>
                </c:pt>
                <c:pt idx="249">
                  <c:v>44327</c:v>
                </c:pt>
                <c:pt idx="250">
                  <c:v>44326</c:v>
                </c:pt>
                <c:pt idx="251">
                  <c:v>44323</c:v>
                </c:pt>
                <c:pt idx="252">
                  <c:v>44322</c:v>
                </c:pt>
                <c:pt idx="253">
                  <c:v>44321</c:v>
                </c:pt>
                <c:pt idx="254">
                  <c:v>44320</c:v>
                </c:pt>
                <c:pt idx="255">
                  <c:v>44319</c:v>
                </c:pt>
                <c:pt idx="256">
                  <c:v>44316</c:v>
                </c:pt>
                <c:pt idx="257">
                  <c:v>44315</c:v>
                </c:pt>
                <c:pt idx="258">
                  <c:v>44314</c:v>
                </c:pt>
                <c:pt idx="259">
                  <c:v>44313</c:v>
                </c:pt>
                <c:pt idx="260">
                  <c:v>44312</c:v>
                </c:pt>
                <c:pt idx="261">
                  <c:v>44309</c:v>
                </c:pt>
                <c:pt idx="262">
                  <c:v>44308</c:v>
                </c:pt>
                <c:pt idx="263">
                  <c:v>44307</c:v>
                </c:pt>
                <c:pt idx="264">
                  <c:v>44306</c:v>
                </c:pt>
                <c:pt idx="265">
                  <c:v>44305</c:v>
                </c:pt>
                <c:pt idx="266">
                  <c:v>44302</c:v>
                </c:pt>
                <c:pt idx="267">
                  <c:v>44301</c:v>
                </c:pt>
                <c:pt idx="268">
                  <c:v>44300</c:v>
                </c:pt>
                <c:pt idx="269">
                  <c:v>44299</c:v>
                </c:pt>
                <c:pt idx="270">
                  <c:v>44298</c:v>
                </c:pt>
                <c:pt idx="271">
                  <c:v>44295</c:v>
                </c:pt>
                <c:pt idx="272">
                  <c:v>44294</c:v>
                </c:pt>
                <c:pt idx="273">
                  <c:v>44293</c:v>
                </c:pt>
                <c:pt idx="274">
                  <c:v>44292</c:v>
                </c:pt>
                <c:pt idx="275">
                  <c:v>44287</c:v>
                </c:pt>
                <c:pt idx="276">
                  <c:v>44286</c:v>
                </c:pt>
                <c:pt idx="277">
                  <c:v>44285</c:v>
                </c:pt>
                <c:pt idx="278">
                  <c:v>44284</c:v>
                </c:pt>
                <c:pt idx="279">
                  <c:v>44281</c:v>
                </c:pt>
                <c:pt idx="280">
                  <c:v>44280</c:v>
                </c:pt>
                <c:pt idx="281">
                  <c:v>44279</c:v>
                </c:pt>
                <c:pt idx="282">
                  <c:v>44278</c:v>
                </c:pt>
                <c:pt idx="283">
                  <c:v>44277</c:v>
                </c:pt>
              </c:numCache>
            </c:numRef>
          </c:cat>
          <c:val>
            <c:numRef>
              <c:f>'[Hartije od vrednosti na medjunarodnom trzistu SAJT 04.04.2022 (00000002).xlsx]EUROBOND 2033 offline'!$C$6:$C$289</c:f>
              <c:numCache>
                <c:formatCode>#,##0.000</c:formatCode>
                <c:ptCount val="284"/>
                <c:pt idx="0">
                  <c:v>5.1159999999999997</c:v>
                </c:pt>
                <c:pt idx="1">
                  <c:v>5.0890000000000004</c:v>
                </c:pt>
                <c:pt idx="2">
                  <c:v>5.0419999999999998</c:v>
                </c:pt>
                <c:pt idx="3">
                  <c:v>4.9550000000000001</c:v>
                </c:pt>
                <c:pt idx="4">
                  <c:v>4.8769999999999998</c:v>
                </c:pt>
                <c:pt idx="5">
                  <c:v>4.8159999999999998</c:v>
                </c:pt>
                <c:pt idx="6">
                  <c:v>4.7619999999999996</c:v>
                </c:pt>
                <c:pt idx="7">
                  <c:v>4.6020000000000003</c:v>
                </c:pt>
                <c:pt idx="8">
                  <c:v>4.5720000000000001</c:v>
                </c:pt>
                <c:pt idx="9">
                  <c:v>4.5279999999999996</c:v>
                </c:pt>
                <c:pt idx="10">
                  <c:v>4.4249999999999998</c:v>
                </c:pt>
                <c:pt idx="11">
                  <c:v>4.2850000000000001</c:v>
                </c:pt>
                <c:pt idx="12">
                  <c:v>4.2220000000000004</c:v>
                </c:pt>
                <c:pt idx="13">
                  <c:v>4.1959999999999997</c:v>
                </c:pt>
                <c:pt idx="14">
                  <c:v>4.1420000000000003</c:v>
                </c:pt>
                <c:pt idx="15">
                  <c:v>4.1029999999999998</c:v>
                </c:pt>
                <c:pt idx="16">
                  <c:v>4.1130000000000004</c:v>
                </c:pt>
                <c:pt idx="17">
                  <c:v>4.1130000000000004</c:v>
                </c:pt>
                <c:pt idx="18">
                  <c:v>4.2149999999999999</c:v>
                </c:pt>
                <c:pt idx="19">
                  <c:v>4.2350000000000003</c:v>
                </c:pt>
                <c:pt idx="20">
                  <c:v>4.2750000000000004</c:v>
                </c:pt>
                <c:pt idx="21">
                  <c:v>4.2409999999999997</c:v>
                </c:pt>
                <c:pt idx="22">
                  <c:v>4.2190000000000003</c:v>
                </c:pt>
                <c:pt idx="23">
                  <c:v>4.1630000000000003</c:v>
                </c:pt>
                <c:pt idx="24">
                  <c:v>4.1449999999999996</c:v>
                </c:pt>
                <c:pt idx="25">
                  <c:v>4.07</c:v>
                </c:pt>
                <c:pt idx="26">
                  <c:v>4.0890000000000004</c:v>
                </c:pt>
                <c:pt idx="27">
                  <c:v>4.1550000000000002</c:v>
                </c:pt>
                <c:pt idx="28">
                  <c:v>4.4089999999999998</c:v>
                </c:pt>
                <c:pt idx="29">
                  <c:v>5.0679999999999996</c:v>
                </c:pt>
                <c:pt idx="30">
                  <c:v>5.234</c:v>
                </c:pt>
                <c:pt idx="31">
                  <c:v>5.2830000000000004</c:v>
                </c:pt>
                <c:pt idx="32">
                  <c:v>5.3159999999999998</c:v>
                </c:pt>
                <c:pt idx="33">
                  <c:v>5.3890000000000002</c:v>
                </c:pt>
                <c:pt idx="34">
                  <c:v>5.3780000000000001</c:v>
                </c:pt>
                <c:pt idx="35">
                  <c:v>5.1820000000000004</c:v>
                </c:pt>
                <c:pt idx="36">
                  <c:v>4.9260000000000002</c:v>
                </c:pt>
                <c:pt idx="37">
                  <c:v>4.5640000000000001</c:v>
                </c:pt>
                <c:pt idx="38">
                  <c:v>4.468</c:v>
                </c:pt>
                <c:pt idx="39">
                  <c:v>4.3940000000000001</c:v>
                </c:pt>
                <c:pt idx="40">
                  <c:v>4.2869999999999999</c:v>
                </c:pt>
                <c:pt idx="41">
                  <c:v>3.8719999999999999</c:v>
                </c:pt>
                <c:pt idx="42">
                  <c:v>4.125</c:v>
                </c:pt>
                <c:pt idx="43">
                  <c:v>3.7320000000000002</c:v>
                </c:pt>
                <c:pt idx="44">
                  <c:v>3.49</c:v>
                </c:pt>
                <c:pt idx="45">
                  <c:v>3.3980000000000001</c:v>
                </c:pt>
                <c:pt idx="46">
                  <c:v>3.375</c:v>
                </c:pt>
                <c:pt idx="47">
                  <c:v>3.3650000000000002</c:v>
                </c:pt>
                <c:pt idx="48">
                  <c:v>3.3540000000000001</c:v>
                </c:pt>
                <c:pt idx="49">
                  <c:v>3.367</c:v>
                </c:pt>
                <c:pt idx="50">
                  <c:v>3.3650000000000002</c:v>
                </c:pt>
                <c:pt idx="51">
                  <c:v>3.3039999999999998</c:v>
                </c:pt>
                <c:pt idx="52">
                  <c:v>3.1890000000000001</c:v>
                </c:pt>
                <c:pt idx="53">
                  <c:v>3.1120000000000001</c:v>
                </c:pt>
                <c:pt idx="54">
                  <c:v>3.2469999999999999</c:v>
                </c:pt>
                <c:pt idx="55">
                  <c:v>3.165</c:v>
                </c:pt>
                <c:pt idx="56">
                  <c:v>2.9780000000000002</c:v>
                </c:pt>
                <c:pt idx="57">
                  <c:v>2.7770000000000001</c:v>
                </c:pt>
                <c:pt idx="58">
                  <c:v>2.706</c:v>
                </c:pt>
                <c:pt idx="59">
                  <c:v>2.7090000000000001</c:v>
                </c:pt>
                <c:pt idx="60">
                  <c:v>2.694</c:v>
                </c:pt>
                <c:pt idx="61">
                  <c:v>2.677</c:v>
                </c:pt>
                <c:pt idx="62">
                  <c:v>2.6709999999999998</c:v>
                </c:pt>
                <c:pt idx="63">
                  <c:v>2.6629999999999998</c:v>
                </c:pt>
                <c:pt idx="64">
                  <c:v>2.6840000000000002</c:v>
                </c:pt>
                <c:pt idx="65">
                  <c:v>2.6779999999999999</c:v>
                </c:pt>
                <c:pt idx="66">
                  <c:v>2.657</c:v>
                </c:pt>
                <c:pt idx="67">
                  <c:v>2.6850000000000001</c:v>
                </c:pt>
                <c:pt idx="68">
                  <c:v>2.714</c:v>
                </c:pt>
                <c:pt idx="69">
                  <c:v>2.6739999999999999</c:v>
                </c:pt>
                <c:pt idx="70">
                  <c:v>2.6080000000000001</c:v>
                </c:pt>
                <c:pt idx="71">
                  <c:v>2.5720000000000001</c:v>
                </c:pt>
                <c:pt idx="72">
                  <c:v>2.5289999999999999</c:v>
                </c:pt>
                <c:pt idx="73">
                  <c:v>2.5209999999999999</c:v>
                </c:pt>
                <c:pt idx="74">
                  <c:v>2.5209999999999999</c:v>
                </c:pt>
                <c:pt idx="75">
                  <c:v>2.5179999999999998</c:v>
                </c:pt>
                <c:pt idx="76">
                  <c:v>2.46</c:v>
                </c:pt>
                <c:pt idx="77">
                  <c:v>2.427</c:v>
                </c:pt>
                <c:pt idx="78">
                  <c:v>2.37</c:v>
                </c:pt>
                <c:pt idx="79">
                  <c:v>2.3559999999999999</c:v>
                </c:pt>
                <c:pt idx="80">
                  <c:v>2.327</c:v>
                </c:pt>
                <c:pt idx="81">
                  <c:v>2.3380000000000001</c:v>
                </c:pt>
                <c:pt idx="82">
                  <c:v>2.3380000000000001</c:v>
                </c:pt>
                <c:pt idx="83">
                  <c:v>2.3410000000000002</c:v>
                </c:pt>
                <c:pt idx="84">
                  <c:v>2.327</c:v>
                </c:pt>
                <c:pt idx="85">
                  <c:v>2.327</c:v>
                </c:pt>
                <c:pt idx="86">
                  <c:v>2.3519999999999999</c:v>
                </c:pt>
                <c:pt idx="87">
                  <c:v>2.339</c:v>
                </c:pt>
                <c:pt idx="88">
                  <c:v>2.3119999999999998</c:v>
                </c:pt>
                <c:pt idx="89">
                  <c:v>2.3090000000000002</c:v>
                </c:pt>
                <c:pt idx="90">
                  <c:v>2.3050000000000002</c:v>
                </c:pt>
                <c:pt idx="91">
                  <c:v>2.3159999999999998</c:v>
                </c:pt>
                <c:pt idx="92">
                  <c:v>2.3929999999999998</c:v>
                </c:pt>
                <c:pt idx="93">
                  <c:v>2.4409999999999998</c:v>
                </c:pt>
                <c:pt idx="94">
                  <c:v>2.4710000000000001</c:v>
                </c:pt>
                <c:pt idx="95">
                  <c:v>2.4950000000000001</c:v>
                </c:pt>
                <c:pt idx="96">
                  <c:v>2.4980000000000002</c:v>
                </c:pt>
                <c:pt idx="97">
                  <c:v>2.4980000000000002</c:v>
                </c:pt>
                <c:pt idx="98">
                  <c:v>2.5019999999999998</c:v>
                </c:pt>
                <c:pt idx="99">
                  <c:v>2.4889999999999999</c:v>
                </c:pt>
                <c:pt idx="100">
                  <c:v>2.5190000000000001</c:v>
                </c:pt>
                <c:pt idx="101">
                  <c:v>2.52</c:v>
                </c:pt>
                <c:pt idx="102">
                  <c:v>2.5510000000000002</c:v>
                </c:pt>
                <c:pt idx="103">
                  <c:v>2.6840000000000002</c:v>
                </c:pt>
                <c:pt idx="104">
                  <c:v>2.758</c:v>
                </c:pt>
                <c:pt idx="105">
                  <c:v>2.738</c:v>
                </c:pt>
                <c:pt idx="106">
                  <c:v>2.669</c:v>
                </c:pt>
                <c:pt idx="107">
                  <c:v>2.5990000000000002</c:v>
                </c:pt>
                <c:pt idx="108">
                  <c:v>2.5680000000000001</c:v>
                </c:pt>
                <c:pt idx="109">
                  <c:v>2.504</c:v>
                </c:pt>
                <c:pt idx="110">
                  <c:v>2.375</c:v>
                </c:pt>
                <c:pt idx="111">
                  <c:v>2.33</c:v>
                </c:pt>
                <c:pt idx="112">
                  <c:v>2.3180000000000001</c:v>
                </c:pt>
                <c:pt idx="113">
                  <c:v>2.2949999999999999</c:v>
                </c:pt>
                <c:pt idx="114">
                  <c:v>2.2759999999999998</c:v>
                </c:pt>
                <c:pt idx="115">
                  <c:v>2.2490000000000001</c:v>
                </c:pt>
                <c:pt idx="116">
                  <c:v>2.2269999999999999</c:v>
                </c:pt>
                <c:pt idx="117">
                  <c:v>2.2050000000000001</c:v>
                </c:pt>
                <c:pt idx="118">
                  <c:v>2.181</c:v>
                </c:pt>
                <c:pt idx="119">
                  <c:v>2.1539999999999999</c:v>
                </c:pt>
                <c:pt idx="120">
                  <c:v>2.161</c:v>
                </c:pt>
                <c:pt idx="121">
                  <c:v>2.202</c:v>
                </c:pt>
                <c:pt idx="122">
                  <c:v>2.2360000000000002</c:v>
                </c:pt>
                <c:pt idx="123">
                  <c:v>2.262</c:v>
                </c:pt>
                <c:pt idx="124">
                  <c:v>2.262</c:v>
                </c:pt>
                <c:pt idx="125">
                  <c:v>2.2610000000000001</c:v>
                </c:pt>
                <c:pt idx="126">
                  <c:v>2.2440000000000002</c:v>
                </c:pt>
                <c:pt idx="127">
                  <c:v>2.2240000000000002</c:v>
                </c:pt>
                <c:pt idx="128">
                  <c:v>2.2320000000000002</c:v>
                </c:pt>
                <c:pt idx="129">
                  <c:v>2.2639999999999998</c:v>
                </c:pt>
                <c:pt idx="130">
                  <c:v>2.2690000000000001</c:v>
                </c:pt>
                <c:pt idx="131">
                  <c:v>2.2679999999999998</c:v>
                </c:pt>
                <c:pt idx="132">
                  <c:v>2.266</c:v>
                </c:pt>
                <c:pt idx="133">
                  <c:v>2.258</c:v>
                </c:pt>
                <c:pt idx="134">
                  <c:v>2.2370000000000001</c:v>
                </c:pt>
                <c:pt idx="135">
                  <c:v>2.218</c:v>
                </c:pt>
                <c:pt idx="136">
                  <c:v>2.2010000000000001</c:v>
                </c:pt>
                <c:pt idx="137">
                  <c:v>2.198</c:v>
                </c:pt>
                <c:pt idx="138">
                  <c:v>2.2410000000000001</c:v>
                </c:pt>
                <c:pt idx="139">
                  <c:v>2.278</c:v>
                </c:pt>
                <c:pt idx="140">
                  <c:v>2.25</c:v>
                </c:pt>
                <c:pt idx="141">
                  <c:v>2.2210000000000001</c:v>
                </c:pt>
                <c:pt idx="142">
                  <c:v>2.1880000000000002</c:v>
                </c:pt>
                <c:pt idx="143">
                  <c:v>2.2170000000000001</c:v>
                </c:pt>
                <c:pt idx="144">
                  <c:v>2.1709999999999998</c:v>
                </c:pt>
                <c:pt idx="145">
                  <c:v>2.1560000000000001</c:v>
                </c:pt>
                <c:pt idx="146">
                  <c:v>2.145</c:v>
                </c:pt>
                <c:pt idx="147">
                  <c:v>2.121</c:v>
                </c:pt>
                <c:pt idx="148">
                  <c:v>2.1269999999999998</c:v>
                </c:pt>
                <c:pt idx="149">
                  <c:v>2.117</c:v>
                </c:pt>
                <c:pt idx="150">
                  <c:v>1.9770000000000001</c:v>
                </c:pt>
                <c:pt idx="151">
                  <c:v>1.952</c:v>
                </c:pt>
                <c:pt idx="152">
                  <c:v>1.895</c:v>
                </c:pt>
                <c:pt idx="153">
                  <c:v>1.883</c:v>
                </c:pt>
                <c:pt idx="154">
                  <c:v>1.88</c:v>
                </c:pt>
                <c:pt idx="155">
                  <c:v>1.887</c:v>
                </c:pt>
                <c:pt idx="156">
                  <c:v>1.845</c:v>
                </c:pt>
                <c:pt idx="157">
                  <c:v>1.849</c:v>
                </c:pt>
                <c:pt idx="158">
                  <c:v>1.8440000000000001</c:v>
                </c:pt>
                <c:pt idx="159">
                  <c:v>1.85</c:v>
                </c:pt>
                <c:pt idx="160">
                  <c:v>1.788</c:v>
                </c:pt>
                <c:pt idx="161">
                  <c:v>1.77</c:v>
                </c:pt>
                <c:pt idx="162">
                  <c:v>1.764</c:v>
                </c:pt>
                <c:pt idx="163">
                  <c:v>1.7629999999999999</c:v>
                </c:pt>
                <c:pt idx="164">
                  <c:v>1.74</c:v>
                </c:pt>
                <c:pt idx="165">
                  <c:v>1.732</c:v>
                </c:pt>
                <c:pt idx="166">
                  <c:v>1.7290000000000001</c:v>
                </c:pt>
                <c:pt idx="167">
                  <c:v>1.73</c:v>
                </c:pt>
                <c:pt idx="168">
                  <c:v>1.73</c:v>
                </c:pt>
                <c:pt idx="169">
                  <c:v>1.714</c:v>
                </c:pt>
                <c:pt idx="170">
                  <c:v>1.72</c:v>
                </c:pt>
                <c:pt idx="171">
                  <c:v>1.724</c:v>
                </c:pt>
                <c:pt idx="172">
                  <c:v>1.7290000000000001</c:v>
                </c:pt>
                <c:pt idx="173">
                  <c:v>1.718</c:v>
                </c:pt>
                <c:pt idx="174">
                  <c:v>1.71</c:v>
                </c:pt>
                <c:pt idx="175">
                  <c:v>1.7190000000000001</c:v>
                </c:pt>
                <c:pt idx="176">
                  <c:v>1.7190000000000001</c:v>
                </c:pt>
                <c:pt idx="177">
                  <c:v>1.72</c:v>
                </c:pt>
                <c:pt idx="178">
                  <c:v>1.722</c:v>
                </c:pt>
                <c:pt idx="179">
                  <c:v>1.724</c:v>
                </c:pt>
                <c:pt idx="180">
                  <c:v>1.724</c:v>
                </c:pt>
                <c:pt idx="181">
                  <c:v>1.7310000000000001</c:v>
                </c:pt>
                <c:pt idx="182">
                  <c:v>1.732</c:v>
                </c:pt>
                <c:pt idx="183">
                  <c:v>1.7330000000000001</c:v>
                </c:pt>
                <c:pt idx="184">
                  <c:v>1.728</c:v>
                </c:pt>
                <c:pt idx="185">
                  <c:v>1.734</c:v>
                </c:pt>
                <c:pt idx="186">
                  <c:v>1.732</c:v>
                </c:pt>
                <c:pt idx="187">
                  <c:v>1.7130000000000001</c:v>
                </c:pt>
                <c:pt idx="188">
                  <c:v>1.736</c:v>
                </c:pt>
                <c:pt idx="189">
                  <c:v>1.752</c:v>
                </c:pt>
                <c:pt idx="190">
                  <c:v>1.7769999999999999</c:v>
                </c:pt>
                <c:pt idx="191">
                  <c:v>1.784</c:v>
                </c:pt>
                <c:pt idx="192">
                  <c:v>1.7869999999999999</c:v>
                </c:pt>
                <c:pt idx="193">
                  <c:v>1.794</c:v>
                </c:pt>
                <c:pt idx="194">
                  <c:v>1.7929999999999999</c:v>
                </c:pt>
                <c:pt idx="195">
                  <c:v>1.8</c:v>
                </c:pt>
                <c:pt idx="196">
                  <c:v>1.8049999999999999</c:v>
                </c:pt>
                <c:pt idx="197">
                  <c:v>1.8080000000000001</c:v>
                </c:pt>
                <c:pt idx="198">
                  <c:v>1.8140000000000001</c:v>
                </c:pt>
                <c:pt idx="199">
                  <c:v>1.8160000000000001</c:v>
                </c:pt>
                <c:pt idx="200">
                  <c:v>1.819</c:v>
                </c:pt>
                <c:pt idx="201">
                  <c:v>1.819</c:v>
                </c:pt>
                <c:pt idx="202">
                  <c:v>1.8240000000000001</c:v>
                </c:pt>
                <c:pt idx="203">
                  <c:v>1.8360000000000001</c:v>
                </c:pt>
                <c:pt idx="204">
                  <c:v>1.8340000000000001</c:v>
                </c:pt>
                <c:pt idx="205">
                  <c:v>1.835</c:v>
                </c:pt>
                <c:pt idx="206">
                  <c:v>1.8360000000000001</c:v>
                </c:pt>
                <c:pt idx="207">
                  <c:v>1.833</c:v>
                </c:pt>
                <c:pt idx="208">
                  <c:v>1.835</c:v>
                </c:pt>
                <c:pt idx="209">
                  <c:v>1.839</c:v>
                </c:pt>
                <c:pt idx="210">
                  <c:v>1.833</c:v>
                </c:pt>
                <c:pt idx="211">
                  <c:v>1.8320000000000001</c:v>
                </c:pt>
                <c:pt idx="212">
                  <c:v>1.833</c:v>
                </c:pt>
                <c:pt idx="213">
                  <c:v>1.8320000000000001</c:v>
                </c:pt>
                <c:pt idx="214">
                  <c:v>1.843</c:v>
                </c:pt>
                <c:pt idx="215">
                  <c:v>1.8460000000000001</c:v>
                </c:pt>
                <c:pt idx="216">
                  <c:v>1.8460000000000001</c:v>
                </c:pt>
                <c:pt idx="217">
                  <c:v>1.85</c:v>
                </c:pt>
                <c:pt idx="218">
                  <c:v>1.8560000000000001</c:v>
                </c:pt>
                <c:pt idx="219">
                  <c:v>1.8740000000000001</c:v>
                </c:pt>
                <c:pt idx="220">
                  <c:v>1.86</c:v>
                </c:pt>
                <c:pt idx="221">
                  <c:v>1.8520000000000001</c:v>
                </c:pt>
                <c:pt idx="222">
                  <c:v>1.859</c:v>
                </c:pt>
                <c:pt idx="223">
                  <c:v>1.839</c:v>
                </c:pt>
                <c:pt idx="224">
                  <c:v>1.843</c:v>
                </c:pt>
                <c:pt idx="225">
                  <c:v>1.829</c:v>
                </c:pt>
                <c:pt idx="226">
                  <c:v>1.835</c:v>
                </c:pt>
                <c:pt idx="227">
                  <c:v>1.86</c:v>
                </c:pt>
                <c:pt idx="228">
                  <c:v>1.871</c:v>
                </c:pt>
                <c:pt idx="229">
                  <c:v>1.9</c:v>
                </c:pt>
                <c:pt idx="230">
                  <c:v>1.9330000000000001</c:v>
                </c:pt>
                <c:pt idx="231">
                  <c:v>1.9430000000000001</c:v>
                </c:pt>
                <c:pt idx="232">
                  <c:v>1.9470000000000001</c:v>
                </c:pt>
                <c:pt idx="233">
                  <c:v>1.9510000000000001</c:v>
                </c:pt>
                <c:pt idx="234">
                  <c:v>1.9590000000000001</c:v>
                </c:pt>
                <c:pt idx="235">
                  <c:v>1.9670000000000001</c:v>
                </c:pt>
                <c:pt idx="236">
                  <c:v>1.9650000000000001</c:v>
                </c:pt>
                <c:pt idx="237">
                  <c:v>1.9730000000000001</c:v>
                </c:pt>
                <c:pt idx="238">
                  <c:v>1.9910000000000001</c:v>
                </c:pt>
                <c:pt idx="239">
                  <c:v>2.0070000000000001</c:v>
                </c:pt>
                <c:pt idx="240">
                  <c:v>2.0129999999999999</c:v>
                </c:pt>
                <c:pt idx="241">
                  <c:v>2.0230000000000001</c:v>
                </c:pt>
                <c:pt idx="242">
                  <c:v>2.0419999999999998</c:v>
                </c:pt>
                <c:pt idx="243">
                  <c:v>2.0430000000000001</c:v>
                </c:pt>
                <c:pt idx="244">
                  <c:v>2.0169999999999999</c:v>
                </c:pt>
                <c:pt idx="245">
                  <c:v>1.9870000000000001</c:v>
                </c:pt>
                <c:pt idx="246">
                  <c:v>1.9790000000000001</c:v>
                </c:pt>
                <c:pt idx="247">
                  <c:v>1.984</c:v>
                </c:pt>
                <c:pt idx="248">
                  <c:v>1.9590000000000001</c:v>
                </c:pt>
                <c:pt idx="249">
                  <c:v>1.9279999999999999</c:v>
                </c:pt>
                <c:pt idx="250">
                  <c:v>1.913</c:v>
                </c:pt>
                <c:pt idx="251">
                  <c:v>1.923</c:v>
                </c:pt>
                <c:pt idx="252">
                  <c:v>1.9390000000000001</c:v>
                </c:pt>
                <c:pt idx="253">
                  <c:v>1.966</c:v>
                </c:pt>
                <c:pt idx="254">
                  <c:v>1.986</c:v>
                </c:pt>
                <c:pt idx="255">
                  <c:v>1.9790000000000001</c:v>
                </c:pt>
                <c:pt idx="256">
                  <c:v>1.982</c:v>
                </c:pt>
                <c:pt idx="257">
                  <c:v>1.978</c:v>
                </c:pt>
                <c:pt idx="258">
                  <c:v>1.962</c:v>
                </c:pt>
                <c:pt idx="259">
                  <c:v>1.9159999999999999</c:v>
                </c:pt>
                <c:pt idx="260">
                  <c:v>1.901</c:v>
                </c:pt>
                <c:pt idx="261">
                  <c:v>1.891</c:v>
                </c:pt>
                <c:pt idx="262">
                  <c:v>1.889</c:v>
                </c:pt>
                <c:pt idx="263">
                  <c:v>1.8839999999999999</c:v>
                </c:pt>
                <c:pt idx="264">
                  <c:v>1.88</c:v>
                </c:pt>
                <c:pt idx="265">
                  <c:v>1.863</c:v>
                </c:pt>
                <c:pt idx="266">
                  <c:v>1.867</c:v>
                </c:pt>
                <c:pt idx="267">
                  <c:v>1.8660000000000001</c:v>
                </c:pt>
                <c:pt idx="268">
                  <c:v>1.8740000000000001</c:v>
                </c:pt>
                <c:pt idx="269">
                  <c:v>1.8759999999999999</c:v>
                </c:pt>
                <c:pt idx="270">
                  <c:v>1.871</c:v>
                </c:pt>
                <c:pt idx="271">
                  <c:v>1.8759999999999999</c:v>
                </c:pt>
                <c:pt idx="272">
                  <c:v>1.8660000000000001</c:v>
                </c:pt>
                <c:pt idx="273">
                  <c:v>1.873</c:v>
                </c:pt>
                <c:pt idx="274">
                  <c:v>1.883</c:v>
                </c:pt>
                <c:pt idx="275">
                  <c:v>1.891</c:v>
                </c:pt>
                <c:pt idx="276">
                  <c:v>1.915</c:v>
                </c:pt>
                <c:pt idx="277">
                  <c:v>1.9179999999999999</c:v>
                </c:pt>
                <c:pt idx="278">
                  <c:v>1.903</c:v>
                </c:pt>
                <c:pt idx="279">
                  <c:v>1.9</c:v>
                </c:pt>
                <c:pt idx="280">
                  <c:v>1.8959999999999999</c:v>
                </c:pt>
                <c:pt idx="281">
                  <c:v>1.897</c:v>
                </c:pt>
                <c:pt idx="282">
                  <c:v>1.9019999999999999</c:v>
                </c:pt>
                <c:pt idx="283">
                  <c:v>1.9059999999999999</c:v>
                </c:pt>
              </c:numCache>
            </c:numRef>
          </c:val>
          <c:smooth val="0"/>
          <c:extLst>
            <c:ext xmlns:c16="http://schemas.microsoft.com/office/drawing/2014/chart" uri="{C3380CC4-5D6E-409C-BE32-E72D297353CC}">
              <c16:uniqueId val="{00000001-9377-4A52-8859-617F50F8D880}"/>
            </c:ext>
          </c:extLst>
        </c:ser>
        <c:dLbls>
          <c:showLegendKey val="0"/>
          <c:showVal val="0"/>
          <c:showCatName val="0"/>
          <c:showSerName val="0"/>
          <c:showPercent val="0"/>
          <c:showBubbleSize val="0"/>
        </c:dLbls>
        <c:marker val="1"/>
        <c:smooth val="0"/>
        <c:axId val="201971968"/>
        <c:axId val="201970048"/>
      </c:lineChart>
      <c:dateAx>
        <c:axId val="201958528"/>
        <c:scaling>
          <c:orientation val="minMax"/>
          <c:max val="44651"/>
          <c:min val="44286"/>
        </c:scaling>
        <c:delete val="0"/>
        <c:axPos val="b"/>
        <c:numFmt formatCode="dd\/mm\/yy" sourceLinked="1"/>
        <c:majorTickMark val="out"/>
        <c:minorTickMark val="none"/>
        <c:tickLblPos val="nextTo"/>
        <c:txPr>
          <a:bodyPr rot="-2700000"/>
          <a:lstStyle/>
          <a:p>
            <a:pPr>
              <a:defRPr sz="700">
                <a:latin typeface="Calibri" panose="020F0502020204030204" pitchFamily="34" charset="0"/>
              </a:defRPr>
            </a:pPr>
            <a:endParaRPr lang="sr-Latn-RS"/>
          </a:p>
        </c:txPr>
        <c:crossAx val="201960064"/>
        <c:crosses val="autoZero"/>
        <c:auto val="1"/>
        <c:lblOffset val="100"/>
        <c:baseTimeUnit val="days"/>
        <c:majorUnit val="1"/>
        <c:majorTimeUnit val="months"/>
        <c:minorUnit val="1"/>
        <c:minorTimeUnit val="days"/>
      </c:dateAx>
      <c:valAx>
        <c:axId val="201960064"/>
        <c:scaling>
          <c:orientation val="minMax"/>
          <c:max val="105"/>
          <c:min val="68"/>
        </c:scaling>
        <c:delete val="0"/>
        <c:axPos val="l"/>
        <c:numFmt formatCode="#,##0.0\ [$€-407]" sourceLinked="0"/>
        <c:majorTickMark val="out"/>
        <c:minorTickMark val="none"/>
        <c:tickLblPos val="nextTo"/>
        <c:txPr>
          <a:bodyPr/>
          <a:lstStyle/>
          <a:p>
            <a:pPr>
              <a:defRPr sz="700">
                <a:latin typeface="+mn-lt"/>
              </a:defRPr>
            </a:pPr>
            <a:endParaRPr lang="sr-Latn-RS"/>
          </a:p>
        </c:txPr>
        <c:crossAx val="201958528"/>
        <c:crossesAt val="44256"/>
        <c:crossBetween val="between"/>
        <c:majorUnit val="3"/>
      </c:valAx>
      <c:valAx>
        <c:axId val="201970048"/>
        <c:scaling>
          <c:orientation val="minMax"/>
          <c:max val="5.7"/>
          <c:min val="1.5"/>
        </c:scaling>
        <c:delete val="0"/>
        <c:axPos val="r"/>
        <c:numFmt formatCode="#,##0.0" sourceLinked="0"/>
        <c:majorTickMark val="out"/>
        <c:minorTickMark val="none"/>
        <c:tickLblPos val="nextTo"/>
        <c:txPr>
          <a:bodyPr/>
          <a:lstStyle/>
          <a:p>
            <a:pPr>
              <a:defRPr sz="700">
                <a:latin typeface="Calibri" panose="020F0502020204030204" pitchFamily="34" charset="0"/>
              </a:defRPr>
            </a:pPr>
            <a:endParaRPr lang="sr-Latn-RS"/>
          </a:p>
        </c:txPr>
        <c:crossAx val="201971968"/>
        <c:crosses val="max"/>
        <c:crossBetween val="between"/>
        <c:majorUnit val="0.5"/>
      </c:valAx>
      <c:dateAx>
        <c:axId val="201971968"/>
        <c:scaling>
          <c:orientation val="minMax"/>
        </c:scaling>
        <c:delete val="1"/>
        <c:axPos val="b"/>
        <c:numFmt formatCode="dd\/mm\/yy" sourceLinked="1"/>
        <c:majorTickMark val="out"/>
        <c:minorTickMark val="none"/>
        <c:tickLblPos val="none"/>
        <c:crossAx val="201970048"/>
        <c:crosses val="autoZero"/>
        <c:auto val="1"/>
        <c:lblOffset val="100"/>
        <c:baseTimeUnit val="days"/>
      </c:dateAx>
    </c:plotArea>
    <c:legend>
      <c:legendPos val="r"/>
      <c:layout>
        <c:manualLayout>
          <c:xMode val="edge"/>
          <c:yMode val="edge"/>
          <c:x val="3.2017235630562454E-2"/>
          <c:y val="0.94025092592590409"/>
          <c:w val="0.96798276436943753"/>
          <c:h val="5.9446296296297024E-2"/>
        </c:manualLayout>
      </c:layout>
      <c:overlay val="0"/>
      <c:txPr>
        <a:bodyPr/>
        <a:lstStyle/>
        <a:p>
          <a:pPr>
            <a:defRPr sz="800">
              <a:latin typeface="Calibri" panose="020F0502020204030204" pitchFamily="34" charset="0"/>
            </a:defRPr>
          </a:pPr>
          <a:endParaRPr lang="sr-Latn-RS"/>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sr-Latn-RS"/>
    </a:p>
  </c:txPr>
  <c:externalData r:id="rId2">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133405954974584"/>
          <c:y val="7.6901552560167272E-2"/>
          <c:w val="0.76869750181372043"/>
          <c:h val="0.69823181871601203"/>
        </c:manualLayout>
      </c:layout>
      <c:areaChart>
        <c:grouping val="standard"/>
        <c:varyColors val="0"/>
        <c:ser>
          <c:idx val="0"/>
          <c:order val="0"/>
          <c:tx>
            <c:strRef>
              <c:f>'[Hartije od vrednosti na medjunarodnom trzistu SAJT 04.04.2022 (00000002).xlsx]EUROBOND 2036 offline'!$B$4</c:f>
              <c:strCache>
                <c:ptCount val="1"/>
                <c:pt idx="0">
                  <c:v>Цена на затварању</c:v>
                </c:pt>
              </c:strCache>
            </c:strRef>
          </c:tx>
          <c:spPr>
            <a:solidFill>
              <a:schemeClr val="tx2"/>
            </a:solidFill>
            <a:ln w="25400">
              <a:noFill/>
            </a:ln>
          </c:spPr>
          <c:cat>
            <c:numRef>
              <c:f>'[Hartije od vrednosti na medjunarodnom trzistu SAJT 04.04.2022 (00000002).xlsx]EUROBOND 2036 offline'!$A$6:$A$145</c:f>
              <c:numCache>
                <c:formatCode>dd\/mm\/yy</c:formatCode>
                <c:ptCount val="140"/>
                <c:pt idx="0">
                  <c:v>44678</c:v>
                </c:pt>
                <c:pt idx="1">
                  <c:v>44677</c:v>
                </c:pt>
                <c:pt idx="2">
                  <c:v>44676</c:v>
                </c:pt>
                <c:pt idx="3">
                  <c:v>44673</c:v>
                </c:pt>
                <c:pt idx="4">
                  <c:v>44672</c:v>
                </c:pt>
                <c:pt idx="5">
                  <c:v>44671</c:v>
                </c:pt>
                <c:pt idx="6">
                  <c:v>44670</c:v>
                </c:pt>
                <c:pt idx="7">
                  <c:v>44665</c:v>
                </c:pt>
                <c:pt idx="8">
                  <c:v>44664</c:v>
                </c:pt>
                <c:pt idx="9">
                  <c:v>44663</c:v>
                </c:pt>
                <c:pt idx="10">
                  <c:v>44662</c:v>
                </c:pt>
                <c:pt idx="11">
                  <c:v>44659</c:v>
                </c:pt>
                <c:pt idx="12">
                  <c:v>44658</c:v>
                </c:pt>
                <c:pt idx="13">
                  <c:v>44657</c:v>
                </c:pt>
                <c:pt idx="14">
                  <c:v>44656</c:v>
                </c:pt>
                <c:pt idx="15">
                  <c:v>44655</c:v>
                </c:pt>
                <c:pt idx="16">
                  <c:v>44652</c:v>
                </c:pt>
                <c:pt idx="17">
                  <c:v>44651</c:v>
                </c:pt>
                <c:pt idx="18">
                  <c:v>44650</c:v>
                </c:pt>
                <c:pt idx="19">
                  <c:v>44649</c:v>
                </c:pt>
                <c:pt idx="20">
                  <c:v>44648</c:v>
                </c:pt>
                <c:pt idx="21">
                  <c:v>44645</c:v>
                </c:pt>
                <c:pt idx="22">
                  <c:v>44644</c:v>
                </c:pt>
                <c:pt idx="23">
                  <c:v>44643</c:v>
                </c:pt>
                <c:pt idx="24">
                  <c:v>44642</c:v>
                </c:pt>
                <c:pt idx="25">
                  <c:v>44641</c:v>
                </c:pt>
                <c:pt idx="26">
                  <c:v>44638</c:v>
                </c:pt>
                <c:pt idx="27">
                  <c:v>44637</c:v>
                </c:pt>
                <c:pt idx="28">
                  <c:v>44636</c:v>
                </c:pt>
                <c:pt idx="29">
                  <c:v>44635</c:v>
                </c:pt>
                <c:pt idx="30">
                  <c:v>44634</c:v>
                </c:pt>
                <c:pt idx="31">
                  <c:v>44631</c:v>
                </c:pt>
                <c:pt idx="32">
                  <c:v>44630</c:v>
                </c:pt>
                <c:pt idx="33">
                  <c:v>44629</c:v>
                </c:pt>
                <c:pt idx="34">
                  <c:v>44628</c:v>
                </c:pt>
                <c:pt idx="35">
                  <c:v>44627</c:v>
                </c:pt>
                <c:pt idx="36">
                  <c:v>44624</c:v>
                </c:pt>
                <c:pt idx="37">
                  <c:v>44623</c:v>
                </c:pt>
                <c:pt idx="38">
                  <c:v>44622</c:v>
                </c:pt>
                <c:pt idx="39">
                  <c:v>44621</c:v>
                </c:pt>
                <c:pt idx="40">
                  <c:v>44620</c:v>
                </c:pt>
                <c:pt idx="41">
                  <c:v>44617</c:v>
                </c:pt>
                <c:pt idx="42">
                  <c:v>44616</c:v>
                </c:pt>
                <c:pt idx="43">
                  <c:v>44615</c:v>
                </c:pt>
                <c:pt idx="44">
                  <c:v>44614</c:v>
                </c:pt>
                <c:pt idx="45">
                  <c:v>44613</c:v>
                </c:pt>
                <c:pt idx="46">
                  <c:v>44610</c:v>
                </c:pt>
                <c:pt idx="47">
                  <c:v>44609</c:v>
                </c:pt>
                <c:pt idx="48">
                  <c:v>44608</c:v>
                </c:pt>
                <c:pt idx="49">
                  <c:v>44607</c:v>
                </c:pt>
                <c:pt idx="50">
                  <c:v>44606</c:v>
                </c:pt>
                <c:pt idx="51">
                  <c:v>44603</c:v>
                </c:pt>
                <c:pt idx="52">
                  <c:v>44602</c:v>
                </c:pt>
                <c:pt idx="53">
                  <c:v>44601</c:v>
                </c:pt>
                <c:pt idx="54">
                  <c:v>44600</c:v>
                </c:pt>
                <c:pt idx="55">
                  <c:v>44599</c:v>
                </c:pt>
                <c:pt idx="56">
                  <c:v>44596</c:v>
                </c:pt>
                <c:pt idx="57">
                  <c:v>44595</c:v>
                </c:pt>
                <c:pt idx="58">
                  <c:v>44594</c:v>
                </c:pt>
                <c:pt idx="59">
                  <c:v>44593</c:v>
                </c:pt>
                <c:pt idx="60">
                  <c:v>44592</c:v>
                </c:pt>
                <c:pt idx="61">
                  <c:v>44589</c:v>
                </c:pt>
                <c:pt idx="62">
                  <c:v>44588</c:v>
                </c:pt>
                <c:pt idx="63">
                  <c:v>44587</c:v>
                </c:pt>
                <c:pt idx="64">
                  <c:v>44586</c:v>
                </c:pt>
                <c:pt idx="65">
                  <c:v>44585</c:v>
                </c:pt>
                <c:pt idx="66">
                  <c:v>44582</c:v>
                </c:pt>
                <c:pt idx="67">
                  <c:v>44581</c:v>
                </c:pt>
                <c:pt idx="68">
                  <c:v>44580</c:v>
                </c:pt>
                <c:pt idx="69">
                  <c:v>44579</c:v>
                </c:pt>
                <c:pt idx="70">
                  <c:v>44578</c:v>
                </c:pt>
                <c:pt idx="71">
                  <c:v>44575</c:v>
                </c:pt>
                <c:pt idx="72">
                  <c:v>44574</c:v>
                </c:pt>
                <c:pt idx="73">
                  <c:v>44573</c:v>
                </c:pt>
                <c:pt idx="74">
                  <c:v>44572</c:v>
                </c:pt>
                <c:pt idx="75">
                  <c:v>44571</c:v>
                </c:pt>
                <c:pt idx="76">
                  <c:v>44568</c:v>
                </c:pt>
                <c:pt idx="77">
                  <c:v>44567</c:v>
                </c:pt>
                <c:pt idx="78">
                  <c:v>44566</c:v>
                </c:pt>
                <c:pt idx="79">
                  <c:v>44565</c:v>
                </c:pt>
                <c:pt idx="80">
                  <c:v>44564</c:v>
                </c:pt>
                <c:pt idx="81">
                  <c:v>44561</c:v>
                </c:pt>
                <c:pt idx="82">
                  <c:v>44560</c:v>
                </c:pt>
                <c:pt idx="83">
                  <c:v>44559</c:v>
                </c:pt>
                <c:pt idx="84">
                  <c:v>44558</c:v>
                </c:pt>
                <c:pt idx="85">
                  <c:v>44557</c:v>
                </c:pt>
                <c:pt idx="86">
                  <c:v>44554</c:v>
                </c:pt>
                <c:pt idx="87">
                  <c:v>44553</c:v>
                </c:pt>
                <c:pt idx="88">
                  <c:v>44552</c:v>
                </c:pt>
                <c:pt idx="89">
                  <c:v>44551</c:v>
                </c:pt>
                <c:pt idx="90">
                  <c:v>44550</c:v>
                </c:pt>
                <c:pt idx="91">
                  <c:v>44547</c:v>
                </c:pt>
                <c:pt idx="92">
                  <c:v>44546</c:v>
                </c:pt>
                <c:pt idx="93">
                  <c:v>44545</c:v>
                </c:pt>
                <c:pt idx="94">
                  <c:v>44544</c:v>
                </c:pt>
                <c:pt idx="95">
                  <c:v>44543</c:v>
                </c:pt>
                <c:pt idx="96">
                  <c:v>44540</c:v>
                </c:pt>
                <c:pt idx="97">
                  <c:v>44539</c:v>
                </c:pt>
                <c:pt idx="98">
                  <c:v>44538</c:v>
                </c:pt>
                <c:pt idx="99">
                  <c:v>44537</c:v>
                </c:pt>
                <c:pt idx="100">
                  <c:v>44536</c:v>
                </c:pt>
                <c:pt idx="101">
                  <c:v>44533</c:v>
                </c:pt>
                <c:pt idx="102">
                  <c:v>44532</c:v>
                </c:pt>
                <c:pt idx="103">
                  <c:v>44531</c:v>
                </c:pt>
                <c:pt idx="104">
                  <c:v>44530</c:v>
                </c:pt>
                <c:pt idx="105">
                  <c:v>44529</c:v>
                </c:pt>
                <c:pt idx="106">
                  <c:v>44526</c:v>
                </c:pt>
                <c:pt idx="107">
                  <c:v>44525</c:v>
                </c:pt>
                <c:pt idx="108">
                  <c:v>44524</c:v>
                </c:pt>
                <c:pt idx="109">
                  <c:v>44523</c:v>
                </c:pt>
                <c:pt idx="110">
                  <c:v>44522</c:v>
                </c:pt>
                <c:pt idx="111">
                  <c:v>44519</c:v>
                </c:pt>
                <c:pt idx="112">
                  <c:v>44518</c:v>
                </c:pt>
                <c:pt idx="113">
                  <c:v>44517</c:v>
                </c:pt>
                <c:pt idx="114">
                  <c:v>44516</c:v>
                </c:pt>
                <c:pt idx="115">
                  <c:v>44515</c:v>
                </c:pt>
                <c:pt idx="116">
                  <c:v>44512</c:v>
                </c:pt>
                <c:pt idx="117">
                  <c:v>44511</c:v>
                </c:pt>
                <c:pt idx="118">
                  <c:v>44510</c:v>
                </c:pt>
                <c:pt idx="119">
                  <c:v>44509</c:v>
                </c:pt>
                <c:pt idx="120">
                  <c:v>44508</c:v>
                </c:pt>
                <c:pt idx="121">
                  <c:v>44505</c:v>
                </c:pt>
                <c:pt idx="122">
                  <c:v>44504</c:v>
                </c:pt>
                <c:pt idx="123">
                  <c:v>44503</c:v>
                </c:pt>
                <c:pt idx="124">
                  <c:v>44502</c:v>
                </c:pt>
                <c:pt idx="125">
                  <c:v>44501</c:v>
                </c:pt>
                <c:pt idx="126">
                  <c:v>44498</c:v>
                </c:pt>
                <c:pt idx="127">
                  <c:v>44497</c:v>
                </c:pt>
                <c:pt idx="128">
                  <c:v>44496</c:v>
                </c:pt>
                <c:pt idx="129">
                  <c:v>44495</c:v>
                </c:pt>
                <c:pt idx="130">
                  <c:v>44494</c:v>
                </c:pt>
                <c:pt idx="131">
                  <c:v>44491</c:v>
                </c:pt>
                <c:pt idx="132">
                  <c:v>44490</c:v>
                </c:pt>
                <c:pt idx="133">
                  <c:v>44489</c:v>
                </c:pt>
                <c:pt idx="134">
                  <c:v>44488</c:v>
                </c:pt>
                <c:pt idx="135">
                  <c:v>44487</c:v>
                </c:pt>
                <c:pt idx="136">
                  <c:v>44484</c:v>
                </c:pt>
                <c:pt idx="137">
                  <c:v>44483</c:v>
                </c:pt>
                <c:pt idx="138">
                  <c:v>44482</c:v>
                </c:pt>
                <c:pt idx="139">
                  <c:v>44481</c:v>
                </c:pt>
              </c:numCache>
            </c:numRef>
          </c:cat>
          <c:val>
            <c:numRef>
              <c:f>'[Hartije od vrednosti na medjunarodnom trzistu SAJT 04.04.2022 (00000002).xlsx]EUROBOND 2036 offline'!$B$6:$B$145</c:f>
              <c:numCache>
                <c:formatCode>#,##0.000</c:formatCode>
                <c:ptCount val="140"/>
                <c:pt idx="0">
                  <c:v>68.462000000000003</c:v>
                </c:pt>
                <c:pt idx="1">
                  <c:v>68.700999999999993</c:v>
                </c:pt>
                <c:pt idx="2">
                  <c:v>69.117999999999995</c:v>
                </c:pt>
                <c:pt idx="3">
                  <c:v>69.614999999999995</c:v>
                </c:pt>
                <c:pt idx="4">
                  <c:v>70.238</c:v>
                </c:pt>
                <c:pt idx="5">
                  <c:v>70.772000000000006</c:v>
                </c:pt>
                <c:pt idx="6">
                  <c:v>71.322000000000003</c:v>
                </c:pt>
                <c:pt idx="7">
                  <c:v>72.998000000000005</c:v>
                </c:pt>
                <c:pt idx="8">
                  <c:v>73.17</c:v>
                </c:pt>
                <c:pt idx="9">
                  <c:v>73.558999999999997</c:v>
                </c:pt>
                <c:pt idx="10">
                  <c:v>74.363</c:v>
                </c:pt>
                <c:pt idx="11">
                  <c:v>75.484999999999999</c:v>
                </c:pt>
                <c:pt idx="12">
                  <c:v>76.120999999999995</c:v>
                </c:pt>
                <c:pt idx="13">
                  <c:v>76.328999999999994</c:v>
                </c:pt>
                <c:pt idx="14">
                  <c:v>76.924999999999997</c:v>
                </c:pt>
                <c:pt idx="15">
                  <c:v>77.191000000000003</c:v>
                </c:pt>
                <c:pt idx="16">
                  <c:v>77.063999999999993</c:v>
                </c:pt>
                <c:pt idx="17">
                  <c:v>77.093000000000004</c:v>
                </c:pt>
                <c:pt idx="18">
                  <c:v>76.426000000000002</c:v>
                </c:pt>
                <c:pt idx="19">
                  <c:v>76.025999999999996</c:v>
                </c:pt>
                <c:pt idx="20">
                  <c:v>75.754999999999995</c:v>
                </c:pt>
                <c:pt idx="21">
                  <c:v>75.906999999999996</c:v>
                </c:pt>
                <c:pt idx="22">
                  <c:v>76.159000000000006</c:v>
                </c:pt>
                <c:pt idx="23">
                  <c:v>76.56</c:v>
                </c:pt>
                <c:pt idx="24">
                  <c:v>76.626999999999995</c:v>
                </c:pt>
                <c:pt idx="25">
                  <c:v>77.203000000000003</c:v>
                </c:pt>
                <c:pt idx="26">
                  <c:v>76.968999999999994</c:v>
                </c:pt>
                <c:pt idx="27">
                  <c:v>76.587999999999994</c:v>
                </c:pt>
                <c:pt idx="28">
                  <c:v>74.084000000000003</c:v>
                </c:pt>
                <c:pt idx="29">
                  <c:v>68.864000000000004</c:v>
                </c:pt>
                <c:pt idx="30">
                  <c:v>67.730999999999995</c:v>
                </c:pt>
                <c:pt idx="31">
                  <c:v>67.338999999999999</c:v>
                </c:pt>
                <c:pt idx="32">
                  <c:v>67.129000000000005</c:v>
                </c:pt>
                <c:pt idx="33">
                  <c:v>66.28</c:v>
                </c:pt>
                <c:pt idx="34">
                  <c:v>65.760000000000005</c:v>
                </c:pt>
                <c:pt idx="35">
                  <c:v>67.016000000000005</c:v>
                </c:pt>
                <c:pt idx="36">
                  <c:v>68.88</c:v>
                </c:pt>
                <c:pt idx="37">
                  <c:v>71.738</c:v>
                </c:pt>
                <c:pt idx="38">
                  <c:v>72.260000000000005</c:v>
                </c:pt>
                <c:pt idx="39">
                  <c:v>73.207999999999998</c:v>
                </c:pt>
                <c:pt idx="40">
                  <c:v>74.31</c:v>
                </c:pt>
                <c:pt idx="41">
                  <c:v>78.013000000000005</c:v>
                </c:pt>
                <c:pt idx="42">
                  <c:v>75.870999999999995</c:v>
                </c:pt>
                <c:pt idx="43">
                  <c:v>79.495000000000005</c:v>
                </c:pt>
                <c:pt idx="44">
                  <c:v>81.344999999999999</c:v>
                </c:pt>
                <c:pt idx="45">
                  <c:v>82.081000000000003</c:v>
                </c:pt>
                <c:pt idx="46">
                  <c:v>82.266999999999996</c:v>
                </c:pt>
                <c:pt idx="47">
                  <c:v>82.323999999999998</c:v>
                </c:pt>
                <c:pt idx="48">
                  <c:v>82.379000000000005</c:v>
                </c:pt>
                <c:pt idx="49">
                  <c:v>82.244</c:v>
                </c:pt>
                <c:pt idx="50">
                  <c:v>82.391999999999996</c:v>
                </c:pt>
                <c:pt idx="51">
                  <c:v>83.236000000000004</c:v>
                </c:pt>
                <c:pt idx="52">
                  <c:v>83.950999999999993</c:v>
                </c:pt>
                <c:pt idx="53">
                  <c:v>84.629000000000005</c:v>
                </c:pt>
                <c:pt idx="54">
                  <c:v>83.042000000000002</c:v>
                </c:pt>
                <c:pt idx="55">
                  <c:v>83.673000000000002</c:v>
                </c:pt>
                <c:pt idx="56">
                  <c:v>85.977999999999994</c:v>
                </c:pt>
                <c:pt idx="57">
                  <c:v>87.858000000000004</c:v>
                </c:pt>
                <c:pt idx="58">
                  <c:v>88.364000000000004</c:v>
                </c:pt>
                <c:pt idx="59">
                  <c:v>88.320999999999998</c:v>
                </c:pt>
                <c:pt idx="60">
                  <c:v>88.436000000000007</c:v>
                </c:pt>
                <c:pt idx="61">
                  <c:v>88.447999999999993</c:v>
                </c:pt>
                <c:pt idx="62">
                  <c:v>88.4</c:v>
                </c:pt>
                <c:pt idx="63">
                  <c:v>88.454999999999998</c:v>
                </c:pt>
                <c:pt idx="64">
                  <c:v>88.153999999999996</c:v>
                </c:pt>
                <c:pt idx="65">
                  <c:v>88.135999999999996</c:v>
                </c:pt>
                <c:pt idx="66">
                  <c:v>88.21</c:v>
                </c:pt>
                <c:pt idx="67">
                  <c:v>87.768000000000001</c:v>
                </c:pt>
                <c:pt idx="68">
                  <c:v>87.495000000000005</c:v>
                </c:pt>
                <c:pt idx="69">
                  <c:v>87.835999999999999</c:v>
                </c:pt>
                <c:pt idx="70">
                  <c:v>88.370999999999995</c:v>
                </c:pt>
                <c:pt idx="71">
                  <c:v>88.881</c:v>
                </c:pt>
                <c:pt idx="72">
                  <c:v>89.397000000000006</c:v>
                </c:pt>
                <c:pt idx="73">
                  <c:v>89.358000000000004</c:v>
                </c:pt>
                <c:pt idx="74">
                  <c:v>89.320999999999998</c:v>
                </c:pt>
                <c:pt idx="75">
                  <c:v>89.481999999999999</c:v>
                </c:pt>
                <c:pt idx="76">
                  <c:v>90.034000000000006</c:v>
                </c:pt>
                <c:pt idx="77">
                  <c:v>90.38</c:v>
                </c:pt>
                <c:pt idx="78">
                  <c:v>91.004999999999995</c:v>
                </c:pt>
                <c:pt idx="79">
                  <c:v>91.253</c:v>
                </c:pt>
                <c:pt idx="80">
                  <c:v>91.543000000000006</c:v>
                </c:pt>
                <c:pt idx="81">
                  <c:v>91.519000000000005</c:v>
                </c:pt>
                <c:pt idx="82">
                  <c:v>91.611000000000004</c:v>
                </c:pt>
                <c:pt idx="83">
                  <c:v>91.483000000000004</c:v>
                </c:pt>
                <c:pt idx="84">
                  <c:v>91.635000000000005</c:v>
                </c:pt>
                <c:pt idx="85">
                  <c:v>91.638999999999996</c:v>
                </c:pt>
                <c:pt idx="86">
                  <c:v>91.61</c:v>
                </c:pt>
                <c:pt idx="87">
                  <c:v>91.566000000000003</c:v>
                </c:pt>
                <c:pt idx="88">
                  <c:v>91.796999999999997</c:v>
                </c:pt>
                <c:pt idx="89">
                  <c:v>91.781999999999996</c:v>
                </c:pt>
                <c:pt idx="90">
                  <c:v>91.754000000000005</c:v>
                </c:pt>
                <c:pt idx="91">
                  <c:v>91.786000000000001</c:v>
                </c:pt>
                <c:pt idx="92">
                  <c:v>91.16</c:v>
                </c:pt>
                <c:pt idx="93">
                  <c:v>90.748999999999995</c:v>
                </c:pt>
                <c:pt idx="94">
                  <c:v>90.454999999999998</c:v>
                </c:pt>
                <c:pt idx="95">
                  <c:v>90.447999999999993</c:v>
                </c:pt>
                <c:pt idx="96">
                  <c:v>90.358999999999995</c:v>
                </c:pt>
                <c:pt idx="97">
                  <c:v>90.39</c:v>
                </c:pt>
                <c:pt idx="98">
                  <c:v>90.406000000000006</c:v>
                </c:pt>
                <c:pt idx="99">
                  <c:v>90.510999999999996</c:v>
                </c:pt>
                <c:pt idx="100">
                  <c:v>90.171000000000006</c:v>
                </c:pt>
                <c:pt idx="101">
                  <c:v>90.302000000000007</c:v>
                </c:pt>
                <c:pt idx="102">
                  <c:v>89.893000000000001</c:v>
                </c:pt>
                <c:pt idx="103">
                  <c:v>88.406000000000006</c:v>
                </c:pt>
                <c:pt idx="104">
                  <c:v>87.77</c:v>
                </c:pt>
                <c:pt idx="105">
                  <c:v>87.902000000000001</c:v>
                </c:pt>
                <c:pt idx="106">
                  <c:v>88.474999999999994</c:v>
                </c:pt>
                <c:pt idx="107">
                  <c:v>89.275000000000006</c:v>
                </c:pt>
                <c:pt idx="108">
                  <c:v>89.878</c:v>
                </c:pt>
                <c:pt idx="109">
                  <c:v>90.728999999999999</c:v>
                </c:pt>
                <c:pt idx="110">
                  <c:v>91.662999999999997</c:v>
                </c:pt>
                <c:pt idx="111">
                  <c:v>92.248999999999995</c:v>
                </c:pt>
                <c:pt idx="112">
                  <c:v>92.445999999999998</c:v>
                </c:pt>
                <c:pt idx="113">
                  <c:v>92.611999999999995</c:v>
                </c:pt>
                <c:pt idx="114">
                  <c:v>92.789000000000001</c:v>
                </c:pt>
                <c:pt idx="115">
                  <c:v>93.061000000000007</c:v>
                </c:pt>
                <c:pt idx="116">
                  <c:v>93.290999999999997</c:v>
                </c:pt>
                <c:pt idx="117">
                  <c:v>93.631</c:v>
                </c:pt>
                <c:pt idx="118">
                  <c:v>93.81</c:v>
                </c:pt>
                <c:pt idx="119">
                  <c:v>94.058999999999997</c:v>
                </c:pt>
                <c:pt idx="120">
                  <c:v>94.019000000000005</c:v>
                </c:pt>
                <c:pt idx="121">
                  <c:v>93.566999999999993</c:v>
                </c:pt>
                <c:pt idx="122">
                  <c:v>93.046999999999997</c:v>
                </c:pt>
                <c:pt idx="123">
                  <c:v>92.956999999999994</c:v>
                </c:pt>
                <c:pt idx="124">
                  <c:v>92.947999999999993</c:v>
                </c:pt>
                <c:pt idx="125">
                  <c:v>93.08</c:v>
                </c:pt>
                <c:pt idx="126">
                  <c:v>93.203000000000003</c:v>
                </c:pt>
                <c:pt idx="127">
                  <c:v>93.305000000000007</c:v>
                </c:pt>
                <c:pt idx="128">
                  <c:v>93.284000000000006</c:v>
                </c:pt>
                <c:pt idx="129">
                  <c:v>92.930999999999997</c:v>
                </c:pt>
                <c:pt idx="130">
                  <c:v>92.816000000000003</c:v>
                </c:pt>
                <c:pt idx="131">
                  <c:v>92.793999999999997</c:v>
                </c:pt>
                <c:pt idx="132">
                  <c:v>92.793000000000006</c:v>
                </c:pt>
                <c:pt idx="133">
                  <c:v>92.968999999999994</c:v>
                </c:pt>
                <c:pt idx="134">
                  <c:v>93.144000000000005</c:v>
                </c:pt>
                <c:pt idx="135">
                  <c:v>93.334000000000003</c:v>
                </c:pt>
                <c:pt idx="136">
                  <c:v>93.403999999999996</c:v>
                </c:pt>
                <c:pt idx="137">
                  <c:v>93.495000000000005</c:v>
                </c:pt>
                <c:pt idx="138">
                  <c:v>92.725999999999999</c:v>
                </c:pt>
                <c:pt idx="139">
                  <c:v>92.444999999999993</c:v>
                </c:pt>
              </c:numCache>
            </c:numRef>
          </c:val>
          <c:extLst>
            <c:ext xmlns:c16="http://schemas.microsoft.com/office/drawing/2014/chart" uri="{C3380CC4-5D6E-409C-BE32-E72D297353CC}">
              <c16:uniqueId val="{00000000-6E4E-4E76-880E-E54D872B045D}"/>
            </c:ext>
          </c:extLst>
        </c:ser>
        <c:dLbls>
          <c:showLegendKey val="0"/>
          <c:showVal val="0"/>
          <c:showCatName val="0"/>
          <c:showSerName val="0"/>
          <c:showPercent val="0"/>
          <c:showBubbleSize val="0"/>
        </c:dLbls>
        <c:axId val="202515584"/>
        <c:axId val="202517120"/>
      </c:areaChart>
      <c:lineChart>
        <c:grouping val="standard"/>
        <c:varyColors val="0"/>
        <c:ser>
          <c:idx val="1"/>
          <c:order val="1"/>
          <c:tx>
            <c:strRef>
              <c:f>'[Hartije od vrednosti na medjunarodnom trzistu SAJT 04.04.2022 (00000002).xlsx]EUROBOND 2036 offline'!$C$4</c:f>
              <c:strCache>
                <c:ptCount val="1"/>
                <c:pt idx="0">
                  <c:v>Средњи принос до доспећа</c:v>
                </c:pt>
              </c:strCache>
            </c:strRef>
          </c:tx>
          <c:spPr>
            <a:ln>
              <a:solidFill>
                <a:srgbClr val="4472C4">
                  <a:lumMod val="60000"/>
                  <a:lumOff val="40000"/>
                </a:srgbClr>
              </a:solidFill>
            </a:ln>
          </c:spPr>
          <c:marker>
            <c:symbol val="none"/>
          </c:marker>
          <c:cat>
            <c:numRef>
              <c:f>'[Hartije od vrednosti na medjunarodnom trzistu SAJT 04.04.2022 (00000002).xlsx]EUROBOND 2036 offline'!$A$6:$A$145</c:f>
              <c:numCache>
                <c:formatCode>dd\/mm\/yy</c:formatCode>
                <c:ptCount val="140"/>
                <c:pt idx="0">
                  <c:v>44678</c:v>
                </c:pt>
                <c:pt idx="1">
                  <c:v>44677</c:v>
                </c:pt>
                <c:pt idx="2">
                  <c:v>44676</c:v>
                </c:pt>
                <c:pt idx="3">
                  <c:v>44673</c:v>
                </c:pt>
                <c:pt idx="4">
                  <c:v>44672</c:v>
                </c:pt>
                <c:pt idx="5">
                  <c:v>44671</c:v>
                </c:pt>
                <c:pt idx="6">
                  <c:v>44670</c:v>
                </c:pt>
                <c:pt idx="7">
                  <c:v>44665</c:v>
                </c:pt>
                <c:pt idx="8">
                  <c:v>44664</c:v>
                </c:pt>
                <c:pt idx="9">
                  <c:v>44663</c:v>
                </c:pt>
                <c:pt idx="10">
                  <c:v>44662</c:v>
                </c:pt>
                <c:pt idx="11">
                  <c:v>44659</c:v>
                </c:pt>
                <c:pt idx="12">
                  <c:v>44658</c:v>
                </c:pt>
                <c:pt idx="13">
                  <c:v>44657</c:v>
                </c:pt>
                <c:pt idx="14">
                  <c:v>44656</c:v>
                </c:pt>
                <c:pt idx="15">
                  <c:v>44655</c:v>
                </c:pt>
                <c:pt idx="16">
                  <c:v>44652</c:v>
                </c:pt>
                <c:pt idx="17">
                  <c:v>44651</c:v>
                </c:pt>
                <c:pt idx="18">
                  <c:v>44650</c:v>
                </c:pt>
                <c:pt idx="19">
                  <c:v>44649</c:v>
                </c:pt>
                <c:pt idx="20">
                  <c:v>44648</c:v>
                </c:pt>
                <c:pt idx="21">
                  <c:v>44645</c:v>
                </c:pt>
                <c:pt idx="22">
                  <c:v>44644</c:v>
                </c:pt>
                <c:pt idx="23">
                  <c:v>44643</c:v>
                </c:pt>
                <c:pt idx="24">
                  <c:v>44642</c:v>
                </c:pt>
                <c:pt idx="25">
                  <c:v>44641</c:v>
                </c:pt>
                <c:pt idx="26">
                  <c:v>44638</c:v>
                </c:pt>
                <c:pt idx="27">
                  <c:v>44637</c:v>
                </c:pt>
                <c:pt idx="28">
                  <c:v>44636</c:v>
                </c:pt>
                <c:pt idx="29">
                  <c:v>44635</c:v>
                </c:pt>
                <c:pt idx="30">
                  <c:v>44634</c:v>
                </c:pt>
                <c:pt idx="31">
                  <c:v>44631</c:v>
                </c:pt>
                <c:pt idx="32">
                  <c:v>44630</c:v>
                </c:pt>
                <c:pt idx="33">
                  <c:v>44629</c:v>
                </c:pt>
                <c:pt idx="34">
                  <c:v>44628</c:v>
                </c:pt>
                <c:pt idx="35">
                  <c:v>44627</c:v>
                </c:pt>
                <c:pt idx="36">
                  <c:v>44624</c:v>
                </c:pt>
                <c:pt idx="37">
                  <c:v>44623</c:v>
                </c:pt>
                <c:pt idx="38">
                  <c:v>44622</c:v>
                </c:pt>
                <c:pt idx="39">
                  <c:v>44621</c:v>
                </c:pt>
                <c:pt idx="40">
                  <c:v>44620</c:v>
                </c:pt>
                <c:pt idx="41">
                  <c:v>44617</c:v>
                </c:pt>
                <c:pt idx="42">
                  <c:v>44616</c:v>
                </c:pt>
                <c:pt idx="43">
                  <c:v>44615</c:v>
                </c:pt>
                <c:pt idx="44">
                  <c:v>44614</c:v>
                </c:pt>
                <c:pt idx="45">
                  <c:v>44613</c:v>
                </c:pt>
                <c:pt idx="46">
                  <c:v>44610</c:v>
                </c:pt>
                <c:pt idx="47">
                  <c:v>44609</c:v>
                </c:pt>
                <c:pt idx="48">
                  <c:v>44608</c:v>
                </c:pt>
                <c:pt idx="49">
                  <c:v>44607</c:v>
                </c:pt>
                <c:pt idx="50">
                  <c:v>44606</c:v>
                </c:pt>
                <c:pt idx="51">
                  <c:v>44603</c:v>
                </c:pt>
                <c:pt idx="52">
                  <c:v>44602</c:v>
                </c:pt>
                <c:pt idx="53">
                  <c:v>44601</c:v>
                </c:pt>
                <c:pt idx="54">
                  <c:v>44600</c:v>
                </c:pt>
                <c:pt idx="55">
                  <c:v>44599</c:v>
                </c:pt>
                <c:pt idx="56">
                  <c:v>44596</c:v>
                </c:pt>
                <c:pt idx="57">
                  <c:v>44595</c:v>
                </c:pt>
                <c:pt idx="58">
                  <c:v>44594</c:v>
                </c:pt>
                <c:pt idx="59">
                  <c:v>44593</c:v>
                </c:pt>
                <c:pt idx="60">
                  <c:v>44592</c:v>
                </c:pt>
                <c:pt idx="61">
                  <c:v>44589</c:v>
                </c:pt>
                <c:pt idx="62">
                  <c:v>44588</c:v>
                </c:pt>
                <c:pt idx="63">
                  <c:v>44587</c:v>
                </c:pt>
                <c:pt idx="64">
                  <c:v>44586</c:v>
                </c:pt>
                <c:pt idx="65">
                  <c:v>44585</c:v>
                </c:pt>
                <c:pt idx="66">
                  <c:v>44582</c:v>
                </c:pt>
                <c:pt idx="67">
                  <c:v>44581</c:v>
                </c:pt>
                <c:pt idx="68">
                  <c:v>44580</c:v>
                </c:pt>
                <c:pt idx="69">
                  <c:v>44579</c:v>
                </c:pt>
                <c:pt idx="70">
                  <c:v>44578</c:v>
                </c:pt>
                <c:pt idx="71">
                  <c:v>44575</c:v>
                </c:pt>
                <c:pt idx="72">
                  <c:v>44574</c:v>
                </c:pt>
                <c:pt idx="73">
                  <c:v>44573</c:v>
                </c:pt>
                <c:pt idx="74">
                  <c:v>44572</c:v>
                </c:pt>
                <c:pt idx="75">
                  <c:v>44571</c:v>
                </c:pt>
                <c:pt idx="76">
                  <c:v>44568</c:v>
                </c:pt>
                <c:pt idx="77">
                  <c:v>44567</c:v>
                </c:pt>
                <c:pt idx="78">
                  <c:v>44566</c:v>
                </c:pt>
                <c:pt idx="79">
                  <c:v>44565</c:v>
                </c:pt>
                <c:pt idx="80">
                  <c:v>44564</c:v>
                </c:pt>
                <c:pt idx="81">
                  <c:v>44561</c:v>
                </c:pt>
                <c:pt idx="82">
                  <c:v>44560</c:v>
                </c:pt>
                <c:pt idx="83">
                  <c:v>44559</c:v>
                </c:pt>
                <c:pt idx="84">
                  <c:v>44558</c:v>
                </c:pt>
                <c:pt idx="85">
                  <c:v>44557</c:v>
                </c:pt>
                <c:pt idx="86">
                  <c:v>44554</c:v>
                </c:pt>
                <c:pt idx="87">
                  <c:v>44553</c:v>
                </c:pt>
                <c:pt idx="88">
                  <c:v>44552</c:v>
                </c:pt>
                <c:pt idx="89">
                  <c:v>44551</c:v>
                </c:pt>
                <c:pt idx="90">
                  <c:v>44550</c:v>
                </c:pt>
                <c:pt idx="91">
                  <c:v>44547</c:v>
                </c:pt>
                <c:pt idx="92">
                  <c:v>44546</c:v>
                </c:pt>
                <c:pt idx="93">
                  <c:v>44545</c:v>
                </c:pt>
                <c:pt idx="94">
                  <c:v>44544</c:v>
                </c:pt>
                <c:pt idx="95">
                  <c:v>44543</c:v>
                </c:pt>
                <c:pt idx="96">
                  <c:v>44540</c:v>
                </c:pt>
                <c:pt idx="97">
                  <c:v>44539</c:v>
                </c:pt>
                <c:pt idx="98">
                  <c:v>44538</c:v>
                </c:pt>
                <c:pt idx="99">
                  <c:v>44537</c:v>
                </c:pt>
                <c:pt idx="100">
                  <c:v>44536</c:v>
                </c:pt>
                <c:pt idx="101">
                  <c:v>44533</c:v>
                </c:pt>
                <c:pt idx="102">
                  <c:v>44532</c:v>
                </c:pt>
                <c:pt idx="103">
                  <c:v>44531</c:v>
                </c:pt>
                <c:pt idx="104">
                  <c:v>44530</c:v>
                </c:pt>
                <c:pt idx="105">
                  <c:v>44529</c:v>
                </c:pt>
                <c:pt idx="106">
                  <c:v>44526</c:v>
                </c:pt>
                <c:pt idx="107">
                  <c:v>44525</c:v>
                </c:pt>
                <c:pt idx="108">
                  <c:v>44524</c:v>
                </c:pt>
                <c:pt idx="109">
                  <c:v>44523</c:v>
                </c:pt>
                <c:pt idx="110">
                  <c:v>44522</c:v>
                </c:pt>
                <c:pt idx="111">
                  <c:v>44519</c:v>
                </c:pt>
                <c:pt idx="112">
                  <c:v>44518</c:v>
                </c:pt>
                <c:pt idx="113">
                  <c:v>44517</c:v>
                </c:pt>
                <c:pt idx="114">
                  <c:v>44516</c:v>
                </c:pt>
                <c:pt idx="115">
                  <c:v>44515</c:v>
                </c:pt>
                <c:pt idx="116">
                  <c:v>44512</c:v>
                </c:pt>
                <c:pt idx="117">
                  <c:v>44511</c:v>
                </c:pt>
                <c:pt idx="118">
                  <c:v>44510</c:v>
                </c:pt>
                <c:pt idx="119">
                  <c:v>44509</c:v>
                </c:pt>
                <c:pt idx="120">
                  <c:v>44508</c:v>
                </c:pt>
                <c:pt idx="121">
                  <c:v>44505</c:v>
                </c:pt>
                <c:pt idx="122">
                  <c:v>44504</c:v>
                </c:pt>
                <c:pt idx="123">
                  <c:v>44503</c:v>
                </c:pt>
                <c:pt idx="124">
                  <c:v>44502</c:v>
                </c:pt>
                <c:pt idx="125">
                  <c:v>44501</c:v>
                </c:pt>
                <c:pt idx="126">
                  <c:v>44498</c:v>
                </c:pt>
                <c:pt idx="127">
                  <c:v>44497</c:v>
                </c:pt>
                <c:pt idx="128">
                  <c:v>44496</c:v>
                </c:pt>
                <c:pt idx="129">
                  <c:v>44495</c:v>
                </c:pt>
                <c:pt idx="130">
                  <c:v>44494</c:v>
                </c:pt>
                <c:pt idx="131">
                  <c:v>44491</c:v>
                </c:pt>
                <c:pt idx="132">
                  <c:v>44490</c:v>
                </c:pt>
                <c:pt idx="133">
                  <c:v>44489</c:v>
                </c:pt>
                <c:pt idx="134">
                  <c:v>44488</c:v>
                </c:pt>
                <c:pt idx="135">
                  <c:v>44487</c:v>
                </c:pt>
                <c:pt idx="136">
                  <c:v>44484</c:v>
                </c:pt>
                <c:pt idx="137">
                  <c:v>44483</c:v>
                </c:pt>
                <c:pt idx="138">
                  <c:v>44482</c:v>
                </c:pt>
                <c:pt idx="139">
                  <c:v>44481</c:v>
                </c:pt>
              </c:numCache>
            </c:numRef>
          </c:cat>
          <c:val>
            <c:numRef>
              <c:f>'[Hartije od vrednosti na medjunarodnom trzistu SAJT 04.04.2022 (00000002).xlsx]EUROBOND 2036 offline'!$C$6:$C$145</c:f>
              <c:numCache>
                <c:formatCode>#,##0.000</c:formatCode>
                <c:ptCount val="140"/>
                <c:pt idx="0">
                  <c:v>5.2169999999999996</c:v>
                </c:pt>
                <c:pt idx="1">
                  <c:v>5.1870000000000003</c:v>
                </c:pt>
                <c:pt idx="2">
                  <c:v>5.1340000000000003</c:v>
                </c:pt>
                <c:pt idx="3">
                  <c:v>5.0720000000000001</c:v>
                </c:pt>
                <c:pt idx="4">
                  <c:v>4.9939999999999998</c:v>
                </c:pt>
                <c:pt idx="5">
                  <c:v>4.9279999999999999</c:v>
                </c:pt>
                <c:pt idx="6">
                  <c:v>4.8609999999999998</c:v>
                </c:pt>
                <c:pt idx="7">
                  <c:v>4.6619999999999999</c:v>
                </c:pt>
                <c:pt idx="8">
                  <c:v>4.641</c:v>
                </c:pt>
                <c:pt idx="9">
                  <c:v>4.5940000000000003</c:v>
                </c:pt>
                <c:pt idx="10">
                  <c:v>4.5010000000000003</c:v>
                </c:pt>
                <c:pt idx="11">
                  <c:v>4.3730000000000002</c:v>
                </c:pt>
                <c:pt idx="12">
                  <c:v>4.3019999999999996</c:v>
                </c:pt>
                <c:pt idx="13">
                  <c:v>4.2779999999999996</c:v>
                </c:pt>
                <c:pt idx="14">
                  <c:v>4.2119999999999997</c:v>
                </c:pt>
                <c:pt idx="15">
                  <c:v>4.1820000000000004</c:v>
                </c:pt>
                <c:pt idx="16">
                  <c:v>4.1959999999999997</c:v>
                </c:pt>
                <c:pt idx="17">
                  <c:v>4.1920000000000002</c:v>
                </c:pt>
                <c:pt idx="18">
                  <c:v>4.2649999999999997</c:v>
                </c:pt>
                <c:pt idx="19">
                  <c:v>4.3090000000000002</c:v>
                </c:pt>
                <c:pt idx="20">
                  <c:v>4.3380000000000001</c:v>
                </c:pt>
                <c:pt idx="21">
                  <c:v>4.3209999999999997</c:v>
                </c:pt>
                <c:pt idx="22">
                  <c:v>4.2930000000000001</c:v>
                </c:pt>
                <c:pt idx="23">
                  <c:v>4.2469999999999999</c:v>
                </c:pt>
                <c:pt idx="24">
                  <c:v>4.24</c:v>
                </c:pt>
                <c:pt idx="25">
                  <c:v>4.1760000000000002</c:v>
                </c:pt>
                <c:pt idx="26">
                  <c:v>4.2009999999999996</c:v>
                </c:pt>
                <c:pt idx="27">
                  <c:v>4.2430000000000003</c:v>
                </c:pt>
                <c:pt idx="28">
                  <c:v>4.5220000000000002</c:v>
                </c:pt>
                <c:pt idx="29">
                  <c:v>5.1449999999999996</c:v>
                </c:pt>
                <c:pt idx="30">
                  <c:v>5.2869999999999999</c:v>
                </c:pt>
                <c:pt idx="31">
                  <c:v>5.3369999999999997</c:v>
                </c:pt>
                <c:pt idx="32">
                  <c:v>5.3630000000000004</c:v>
                </c:pt>
                <c:pt idx="33">
                  <c:v>5.4720000000000004</c:v>
                </c:pt>
                <c:pt idx="34">
                  <c:v>5.5389999999999997</c:v>
                </c:pt>
                <c:pt idx="35">
                  <c:v>5.375</c:v>
                </c:pt>
                <c:pt idx="36">
                  <c:v>5.1390000000000002</c:v>
                </c:pt>
                <c:pt idx="37">
                  <c:v>4.7910000000000004</c:v>
                </c:pt>
                <c:pt idx="38">
                  <c:v>4.7279999999999998</c:v>
                </c:pt>
                <c:pt idx="39">
                  <c:v>4.617</c:v>
                </c:pt>
                <c:pt idx="40">
                  <c:v>4.49</c:v>
                </c:pt>
                <c:pt idx="41">
                  <c:v>4.0810000000000004</c:v>
                </c:pt>
                <c:pt idx="42">
                  <c:v>4.3140000000000001</c:v>
                </c:pt>
                <c:pt idx="43">
                  <c:v>3.923</c:v>
                </c:pt>
                <c:pt idx="44">
                  <c:v>3.7309999999999999</c:v>
                </c:pt>
                <c:pt idx="45">
                  <c:v>3.657</c:v>
                </c:pt>
                <c:pt idx="46">
                  <c:v>3.6379999999999999</c:v>
                </c:pt>
                <c:pt idx="47">
                  <c:v>3.6320000000000001</c:v>
                </c:pt>
                <c:pt idx="48">
                  <c:v>3.625</c:v>
                </c:pt>
                <c:pt idx="49">
                  <c:v>3.6389999999999998</c:v>
                </c:pt>
                <c:pt idx="50">
                  <c:v>3.6230000000000002</c:v>
                </c:pt>
                <c:pt idx="51">
                  <c:v>3.5390000000000001</c:v>
                </c:pt>
                <c:pt idx="52">
                  <c:v>3.468</c:v>
                </c:pt>
                <c:pt idx="53">
                  <c:v>3.4020000000000001</c:v>
                </c:pt>
                <c:pt idx="54">
                  <c:v>3.5569999999999999</c:v>
                </c:pt>
                <c:pt idx="55">
                  <c:v>3.4950000000000001</c:v>
                </c:pt>
                <c:pt idx="56">
                  <c:v>3.2709999999999999</c:v>
                </c:pt>
                <c:pt idx="57">
                  <c:v>3.0939999999999999</c:v>
                </c:pt>
                <c:pt idx="58">
                  <c:v>3.0470000000000002</c:v>
                </c:pt>
                <c:pt idx="59">
                  <c:v>3.0510000000000002</c:v>
                </c:pt>
                <c:pt idx="60">
                  <c:v>3.04</c:v>
                </c:pt>
                <c:pt idx="61">
                  <c:v>3.0390000000000001</c:v>
                </c:pt>
                <c:pt idx="62">
                  <c:v>3.0430000000000001</c:v>
                </c:pt>
                <c:pt idx="63">
                  <c:v>3.0369999999999999</c:v>
                </c:pt>
                <c:pt idx="64">
                  <c:v>3.0649999999999999</c:v>
                </c:pt>
                <c:pt idx="65">
                  <c:v>3.0659999999999998</c:v>
                </c:pt>
                <c:pt idx="66">
                  <c:v>3.0590000000000002</c:v>
                </c:pt>
                <c:pt idx="67">
                  <c:v>3.1</c:v>
                </c:pt>
                <c:pt idx="68">
                  <c:v>3.125</c:v>
                </c:pt>
                <c:pt idx="69">
                  <c:v>3.093</c:v>
                </c:pt>
                <c:pt idx="70">
                  <c:v>3.044</c:v>
                </c:pt>
                <c:pt idx="71">
                  <c:v>2.9969999999999999</c:v>
                </c:pt>
                <c:pt idx="72">
                  <c:v>2.95</c:v>
                </c:pt>
                <c:pt idx="73">
                  <c:v>2.9529999999999998</c:v>
                </c:pt>
                <c:pt idx="74">
                  <c:v>2.956</c:v>
                </c:pt>
                <c:pt idx="75">
                  <c:v>2.9409999999999998</c:v>
                </c:pt>
                <c:pt idx="76">
                  <c:v>2.891</c:v>
                </c:pt>
                <c:pt idx="77">
                  <c:v>2.86</c:v>
                </c:pt>
                <c:pt idx="78">
                  <c:v>2.8039999999999998</c:v>
                </c:pt>
                <c:pt idx="79">
                  <c:v>2.782</c:v>
                </c:pt>
                <c:pt idx="80">
                  <c:v>2.7559999999999998</c:v>
                </c:pt>
                <c:pt idx="81">
                  <c:v>2.758</c:v>
                </c:pt>
                <c:pt idx="82">
                  <c:v>2.75</c:v>
                </c:pt>
                <c:pt idx="83">
                  <c:v>2.7610000000000001</c:v>
                </c:pt>
                <c:pt idx="84">
                  <c:v>2.7480000000000002</c:v>
                </c:pt>
                <c:pt idx="85">
                  <c:v>2.7469999999999999</c:v>
                </c:pt>
                <c:pt idx="86">
                  <c:v>2.75</c:v>
                </c:pt>
                <c:pt idx="87">
                  <c:v>2.7530000000000001</c:v>
                </c:pt>
                <c:pt idx="88">
                  <c:v>2.7330000000000001</c:v>
                </c:pt>
                <c:pt idx="89">
                  <c:v>2.734</c:v>
                </c:pt>
                <c:pt idx="90">
                  <c:v>2.7360000000000002</c:v>
                </c:pt>
                <c:pt idx="91">
                  <c:v>2.7330000000000001</c:v>
                </c:pt>
                <c:pt idx="92">
                  <c:v>2.7879999999999998</c:v>
                </c:pt>
                <c:pt idx="93">
                  <c:v>2.8239999999999998</c:v>
                </c:pt>
                <c:pt idx="94">
                  <c:v>2.85</c:v>
                </c:pt>
                <c:pt idx="95">
                  <c:v>2.851</c:v>
                </c:pt>
                <c:pt idx="96">
                  <c:v>2.859</c:v>
                </c:pt>
                <c:pt idx="97">
                  <c:v>2.8559999999999999</c:v>
                </c:pt>
                <c:pt idx="98">
                  <c:v>2.8540000000000001</c:v>
                </c:pt>
                <c:pt idx="99">
                  <c:v>2.8450000000000002</c:v>
                </c:pt>
                <c:pt idx="100">
                  <c:v>2.875</c:v>
                </c:pt>
                <c:pt idx="101">
                  <c:v>2.863</c:v>
                </c:pt>
                <c:pt idx="102">
                  <c:v>2.899</c:v>
                </c:pt>
                <c:pt idx="103">
                  <c:v>3.0329999999999999</c:v>
                </c:pt>
                <c:pt idx="104">
                  <c:v>3.0910000000000002</c:v>
                </c:pt>
                <c:pt idx="105">
                  <c:v>3.0790000000000002</c:v>
                </c:pt>
                <c:pt idx="106">
                  <c:v>3.0270000000000001</c:v>
                </c:pt>
                <c:pt idx="107">
                  <c:v>2.9540000000000002</c:v>
                </c:pt>
                <c:pt idx="108">
                  <c:v>2.899</c:v>
                </c:pt>
                <c:pt idx="109">
                  <c:v>2.8239999999999998</c:v>
                </c:pt>
                <c:pt idx="110">
                  <c:v>2.7410000000000001</c:v>
                </c:pt>
                <c:pt idx="111">
                  <c:v>2.69</c:v>
                </c:pt>
                <c:pt idx="112">
                  <c:v>2.673</c:v>
                </c:pt>
                <c:pt idx="113">
                  <c:v>2.6589999999999998</c:v>
                </c:pt>
                <c:pt idx="114">
                  <c:v>2.6429999999999998</c:v>
                </c:pt>
                <c:pt idx="115">
                  <c:v>2.62</c:v>
                </c:pt>
                <c:pt idx="116">
                  <c:v>2.6</c:v>
                </c:pt>
                <c:pt idx="117">
                  <c:v>2.5710000000000002</c:v>
                </c:pt>
                <c:pt idx="118">
                  <c:v>2.556</c:v>
                </c:pt>
                <c:pt idx="119">
                  <c:v>2.5339999999999998</c:v>
                </c:pt>
                <c:pt idx="120">
                  <c:v>2.5379999999999998</c:v>
                </c:pt>
                <c:pt idx="121">
                  <c:v>2.5760000000000001</c:v>
                </c:pt>
                <c:pt idx="122">
                  <c:v>2.62</c:v>
                </c:pt>
                <c:pt idx="123">
                  <c:v>2.6280000000000001</c:v>
                </c:pt>
                <c:pt idx="124">
                  <c:v>2.6280000000000001</c:v>
                </c:pt>
                <c:pt idx="125">
                  <c:v>2.617</c:v>
                </c:pt>
                <c:pt idx="126">
                  <c:v>2.6059999999999999</c:v>
                </c:pt>
                <c:pt idx="127">
                  <c:v>2.5979999999999999</c:v>
                </c:pt>
                <c:pt idx="128">
                  <c:v>2.5990000000000002</c:v>
                </c:pt>
                <c:pt idx="129">
                  <c:v>2.629</c:v>
                </c:pt>
                <c:pt idx="130">
                  <c:v>2.6389999999999998</c:v>
                </c:pt>
                <c:pt idx="131">
                  <c:v>2.641</c:v>
                </c:pt>
                <c:pt idx="132">
                  <c:v>2.641</c:v>
                </c:pt>
                <c:pt idx="133">
                  <c:v>2.625</c:v>
                </c:pt>
                <c:pt idx="134">
                  <c:v>2.61</c:v>
                </c:pt>
                <c:pt idx="135">
                  <c:v>2.5939999999999999</c:v>
                </c:pt>
                <c:pt idx="136">
                  <c:v>2.5880000000000001</c:v>
                </c:pt>
                <c:pt idx="137">
                  <c:v>2.58</c:v>
                </c:pt>
                <c:pt idx="138">
                  <c:v>2.6459999999999999</c:v>
                </c:pt>
                <c:pt idx="139">
                  <c:v>2.67</c:v>
                </c:pt>
              </c:numCache>
            </c:numRef>
          </c:val>
          <c:smooth val="0"/>
          <c:extLst>
            <c:ext xmlns:c16="http://schemas.microsoft.com/office/drawing/2014/chart" uri="{C3380CC4-5D6E-409C-BE32-E72D297353CC}">
              <c16:uniqueId val="{00000001-6E4E-4E76-880E-E54D872B045D}"/>
            </c:ext>
          </c:extLst>
        </c:ser>
        <c:dLbls>
          <c:showLegendKey val="0"/>
          <c:showVal val="0"/>
          <c:showCatName val="0"/>
          <c:showSerName val="0"/>
          <c:showPercent val="0"/>
          <c:showBubbleSize val="0"/>
        </c:dLbls>
        <c:marker val="1"/>
        <c:smooth val="0"/>
        <c:axId val="202520832"/>
        <c:axId val="202518912"/>
      </c:lineChart>
      <c:dateAx>
        <c:axId val="202515584"/>
        <c:scaling>
          <c:orientation val="minMax"/>
          <c:max val="44651"/>
          <c:min val="44469"/>
        </c:scaling>
        <c:delete val="0"/>
        <c:axPos val="b"/>
        <c:numFmt formatCode="dd\/mm\/yy" sourceLinked="1"/>
        <c:majorTickMark val="out"/>
        <c:minorTickMark val="none"/>
        <c:tickLblPos val="nextTo"/>
        <c:txPr>
          <a:bodyPr rot="-2700000"/>
          <a:lstStyle/>
          <a:p>
            <a:pPr>
              <a:defRPr sz="700">
                <a:latin typeface="Calibri" panose="020F0502020204030204" pitchFamily="34" charset="0"/>
              </a:defRPr>
            </a:pPr>
            <a:endParaRPr lang="sr-Latn-RS"/>
          </a:p>
        </c:txPr>
        <c:crossAx val="202517120"/>
        <c:crosses val="autoZero"/>
        <c:auto val="1"/>
        <c:lblOffset val="100"/>
        <c:baseTimeUnit val="days"/>
        <c:majorUnit val="1"/>
        <c:majorTimeUnit val="months"/>
        <c:minorUnit val="1"/>
        <c:minorTimeUnit val="days"/>
      </c:dateAx>
      <c:valAx>
        <c:axId val="202517120"/>
        <c:scaling>
          <c:orientation val="minMax"/>
          <c:max val="100"/>
          <c:min val="64"/>
        </c:scaling>
        <c:delete val="0"/>
        <c:axPos val="l"/>
        <c:numFmt formatCode="#,##0.0\ [$€-407]" sourceLinked="0"/>
        <c:majorTickMark val="out"/>
        <c:minorTickMark val="none"/>
        <c:tickLblPos val="nextTo"/>
        <c:txPr>
          <a:bodyPr/>
          <a:lstStyle/>
          <a:p>
            <a:pPr>
              <a:defRPr sz="700">
                <a:latin typeface="+mn-lt"/>
              </a:defRPr>
            </a:pPr>
            <a:endParaRPr lang="sr-Latn-RS"/>
          </a:p>
        </c:txPr>
        <c:crossAx val="202515584"/>
        <c:crosses val="autoZero"/>
        <c:crossBetween val="between"/>
        <c:majorUnit val="4"/>
      </c:valAx>
      <c:valAx>
        <c:axId val="202518912"/>
        <c:scaling>
          <c:orientation val="minMax"/>
          <c:max val="5.7"/>
          <c:min val="2.2000000000000002"/>
        </c:scaling>
        <c:delete val="0"/>
        <c:axPos val="r"/>
        <c:numFmt formatCode="#,##0.0" sourceLinked="0"/>
        <c:majorTickMark val="out"/>
        <c:minorTickMark val="none"/>
        <c:tickLblPos val="nextTo"/>
        <c:txPr>
          <a:bodyPr/>
          <a:lstStyle/>
          <a:p>
            <a:pPr>
              <a:defRPr sz="700">
                <a:latin typeface="Calibri" panose="020F0502020204030204" pitchFamily="34" charset="0"/>
              </a:defRPr>
            </a:pPr>
            <a:endParaRPr lang="sr-Latn-RS"/>
          </a:p>
        </c:txPr>
        <c:crossAx val="202520832"/>
        <c:crosses val="max"/>
        <c:crossBetween val="between"/>
        <c:majorUnit val="0.5"/>
      </c:valAx>
      <c:dateAx>
        <c:axId val="202520832"/>
        <c:scaling>
          <c:orientation val="minMax"/>
        </c:scaling>
        <c:delete val="1"/>
        <c:axPos val="b"/>
        <c:numFmt formatCode="dd\/mm\/yy" sourceLinked="1"/>
        <c:majorTickMark val="out"/>
        <c:minorTickMark val="none"/>
        <c:tickLblPos val="none"/>
        <c:crossAx val="202518912"/>
        <c:crosses val="autoZero"/>
        <c:auto val="1"/>
        <c:lblOffset val="100"/>
        <c:baseTimeUnit val="days"/>
      </c:dateAx>
    </c:plotArea>
    <c:legend>
      <c:legendPos val="r"/>
      <c:layout>
        <c:manualLayout>
          <c:xMode val="edge"/>
          <c:yMode val="edge"/>
          <c:x val="2.216962705243241E-2"/>
          <c:y val="0.94025092592590409"/>
          <c:w val="0.97783037294756758"/>
          <c:h val="5.9446296296297024E-2"/>
        </c:manualLayout>
      </c:layout>
      <c:overlay val="0"/>
      <c:txPr>
        <a:bodyPr/>
        <a:lstStyle/>
        <a:p>
          <a:pPr>
            <a:defRPr sz="800">
              <a:latin typeface="Calibri" panose="020F0502020204030204" pitchFamily="34" charset="0"/>
            </a:defRPr>
          </a:pPr>
          <a:endParaRPr lang="sr-Latn-RS"/>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sr-Latn-RS"/>
    </a:p>
  </c:txPr>
  <c:externalData r:id="rId2">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947013702710755"/>
          <c:y val="0.1159364568431092"/>
          <c:w val="0.7124333482275842"/>
          <c:h val="0.65796894188418298"/>
        </c:manualLayout>
      </c:layout>
      <c:scatterChart>
        <c:scatterStyle val="lineMarker"/>
        <c:varyColors val="0"/>
        <c:ser>
          <c:idx val="0"/>
          <c:order val="0"/>
          <c:tx>
            <c:strRef>
              <c:f>'3Y_OUTPUT'!$C$123</c:f>
              <c:strCache>
                <c:ptCount val="1"/>
                <c:pt idx="0">
                  <c:v>C1</c:v>
                </c:pt>
              </c:strCache>
            </c:strRef>
          </c:tx>
          <c:spPr>
            <a:ln w="25400" cap="flat" cmpd="dbl" algn="ctr">
              <a:solidFill>
                <a:schemeClr val="accent1">
                  <a:alpha val="50000"/>
                </a:schemeClr>
              </a:solidFill>
              <a:round/>
            </a:ln>
            <a:effectLst/>
          </c:spPr>
          <c:marker>
            <c:symbol val="circle"/>
            <c:size val="10"/>
            <c:spPr>
              <a:solidFill>
                <a:srgbClr val="FF0000"/>
              </a:solidFill>
              <a:ln w="9525" cap="flat" cmpd="dbl" algn="ctr">
                <a:solidFill>
                  <a:srgbClr val="FF0000">
                    <a:alpha val="70000"/>
                  </a:srgbClr>
                </a:solidFill>
                <a:round/>
              </a:ln>
              <a:effectLst/>
            </c:spPr>
          </c:marker>
          <c:dLbls>
            <c:spPr>
              <a:noFill/>
              <a:ln>
                <a:noFill/>
              </a:ln>
              <a:effectLst/>
            </c:spPr>
            <c:txPr>
              <a:bodyPr rot="0" vert="horz"/>
              <a:lstStyle/>
              <a:p>
                <a:pPr>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'3Y_OUTPUT'!$C$129</c:f>
              <c:numCache>
                <c:formatCode>0.0</c:formatCode>
                <c:ptCount val="1"/>
                <c:pt idx="0">
                  <c:v>5.6946593947706177</c:v>
                </c:pt>
              </c:numCache>
            </c:numRef>
          </c:xVal>
          <c:yVal>
            <c:numRef>
              <c:f>'3Y_OUTPUT'!$C$124</c:f>
              <c:numCache>
                <c:formatCode>0.0</c:formatCode>
                <c:ptCount val="1"/>
                <c:pt idx="0">
                  <c:v>48.54029955446002</c:v>
                </c:pt>
              </c:numCache>
            </c:numRef>
          </c:yVal>
          <c:smooth val="0"/>
          <c:extLst>
            <c:ext xmlns:c16="http://schemas.microsoft.com/office/drawing/2014/chart" uri="{C3380CC4-5D6E-409C-BE32-E72D297353CC}">
              <c16:uniqueId val="{00000000-F101-4C04-9EF0-73810ECD6ECE}"/>
            </c:ext>
          </c:extLst>
        </c:ser>
        <c:ser>
          <c:idx val="1"/>
          <c:order val="1"/>
          <c:tx>
            <c:strRef>
              <c:f>'3Y_OUTPUT'!$D$123</c:f>
              <c:strCache>
                <c:ptCount val="1"/>
                <c:pt idx="0">
                  <c:v>C2</c:v>
                </c:pt>
              </c:strCache>
            </c:strRef>
          </c:tx>
          <c:spPr>
            <a:ln w="127000" cap="flat" cmpd="dbl" algn="ctr">
              <a:solidFill>
                <a:srgbClr val="00B050">
                  <a:alpha val="50000"/>
                </a:srgbClr>
              </a:solidFill>
              <a:round/>
            </a:ln>
            <a:effectLst/>
          </c:spPr>
          <c:marker>
            <c:symbol val="circle"/>
            <c:size val="10"/>
            <c:spPr>
              <a:solidFill>
                <a:srgbClr val="00B050"/>
              </a:solidFill>
              <a:ln w="9525" cap="flat" cmpd="dbl" algn="ctr">
                <a:solidFill>
                  <a:srgbClr val="00B050">
                    <a:alpha val="70000"/>
                  </a:srgbClr>
                </a:solidFill>
                <a:round/>
              </a:ln>
              <a:effectLst/>
            </c:spPr>
          </c:marker>
          <c:dLbls>
            <c:spPr>
              <a:noFill/>
              <a:ln>
                <a:noFill/>
              </a:ln>
              <a:effectLst/>
            </c:spPr>
            <c:txPr>
              <a:bodyPr rot="0" vert="horz"/>
              <a:lstStyle/>
              <a:p>
                <a:pPr>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'3Y_OUTPUT'!$D$129</c:f>
              <c:numCache>
                <c:formatCode>0.0</c:formatCode>
                <c:ptCount val="1"/>
                <c:pt idx="0">
                  <c:v>6.0524176778674459</c:v>
                </c:pt>
              </c:numCache>
            </c:numRef>
          </c:xVal>
          <c:yVal>
            <c:numRef>
              <c:f>'3Y_OUTPUT'!$D$124</c:f>
              <c:numCache>
                <c:formatCode>0.0</c:formatCode>
                <c:ptCount val="1"/>
                <c:pt idx="0">
                  <c:v>48.678995258404527</c:v>
                </c:pt>
              </c:numCache>
            </c:numRef>
          </c:yVal>
          <c:smooth val="0"/>
          <c:extLst>
            <c:ext xmlns:c16="http://schemas.microsoft.com/office/drawing/2014/chart" uri="{C3380CC4-5D6E-409C-BE32-E72D297353CC}">
              <c16:uniqueId val="{00000001-F101-4C04-9EF0-73810ECD6ECE}"/>
            </c:ext>
          </c:extLst>
        </c:ser>
        <c:ser>
          <c:idx val="2"/>
          <c:order val="2"/>
          <c:tx>
            <c:strRef>
              <c:f>'3Y_OUTPUT'!$E$123</c:f>
              <c:strCache>
                <c:ptCount val="1"/>
                <c:pt idx="0">
                  <c:v>C3</c:v>
                </c:pt>
              </c:strCache>
            </c:strRef>
          </c:tx>
          <c:spPr>
            <a:ln w="127000" cap="flat" cmpd="dbl" algn="ctr">
              <a:solidFill>
                <a:srgbClr val="9BBB59">
                  <a:alpha val="50000"/>
                </a:srgbClr>
              </a:solidFill>
              <a:round/>
            </a:ln>
            <a:effectLst/>
          </c:spPr>
          <c:marker>
            <c:symbol val="circle"/>
            <c:size val="10"/>
            <c:spPr>
              <a:solidFill>
                <a:srgbClr val="7030A0"/>
              </a:solidFill>
              <a:ln w="9525" cap="flat" cmpd="dbl" algn="ctr">
                <a:solidFill>
                  <a:srgbClr val="7030A0">
                    <a:alpha val="70000"/>
                  </a:srgbClr>
                </a:solidFill>
                <a:round/>
              </a:ln>
              <a:effectLst/>
            </c:spPr>
          </c:marker>
          <c:dLbls>
            <c:dLbl>
              <c:idx val="0"/>
              <c:layout>
                <c:manualLayout>
                  <c:x val="-7.0933869526362908E-2"/>
                  <c:y val="7.8395061728395068E-2"/>
                </c:manualLayout>
              </c:layout>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2-F101-4C04-9EF0-73810ECD6ECE}"/>
                </c:ext>
              </c:extLst>
            </c:dLbl>
            <c:spPr>
              <a:noFill/>
              <a:ln>
                <a:noFill/>
              </a:ln>
              <a:effectLst/>
            </c:spPr>
            <c:txPr>
              <a:bodyPr rot="0" vert="horz"/>
              <a:lstStyle/>
              <a:p>
                <a:pPr>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'3Y_OUTPUT'!$E$129</c:f>
              <c:numCache>
                <c:formatCode>0.0</c:formatCode>
                <c:ptCount val="1"/>
                <c:pt idx="0">
                  <c:v>6.0297742705383897</c:v>
                </c:pt>
              </c:numCache>
            </c:numRef>
          </c:xVal>
          <c:yVal>
            <c:numRef>
              <c:f>'3Y_OUTPUT'!$E$124</c:f>
              <c:numCache>
                <c:formatCode>0.0</c:formatCode>
                <c:ptCount val="1"/>
                <c:pt idx="0">
                  <c:v>48.511701785450754</c:v>
                </c:pt>
              </c:numCache>
            </c:numRef>
          </c:yVal>
          <c:smooth val="0"/>
          <c:extLst>
            <c:ext xmlns:c16="http://schemas.microsoft.com/office/drawing/2014/chart" uri="{C3380CC4-5D6E-409C-BE32-E72D297353CC}">
              <c16:uniqueId val="{00000003-F101-4C04-9EF0-73810ECD6ECE}"/>
            </c:ext>
          </c:extLst>
        </c:ser>
        <c:ser>
          <c:idx val="3"/>
          <c:order val="3"/>
          <c:tx>
            <c:strRef>
              <c:f>'3Y_OUTPUT'!$F$123</c:f>
              <c:strCache>
                <c:ptCount val="1"/>
                <c:pt idx="0">
                  <c:v>C4</c:v>
                </c:pt>
              </c:strCache>
            </c:strRef>
          </c:tx>
          <c:spPr>
            <a:ln w="25400" cap="flat" cmpd="dbl" algn="ctr">
              <a:noFill/>
              <a:round/>
            </a:ln>
            <a:effectLst/>
          </c:spPr>
          <c:marker>
            <c:symbol val="circle"/>
            <c:size val="10"/>
            <c:spPr>
              <a:solidFill>
                <a:srgbClr val="1F497D">
                  <a:alpha val="98000"/>
                </a:srgbClr>
              </a:solidFill>
              <a:ln w="9525" cap="flat" cmpd="dbl" algn="ctr">
                <a:solidFill>
                  <a:srgbClr val="1F497D">
                    <a:alpha val="70000"/>
                  </a:srgbClr>
                </a:solidFill>
                <a:round/>
              </a:ln>
              <a:effectLst/>
            </c:spPr>
          </c:marker>
          <c:dLbls>
            <c:spPr>
              <a:noFill/>
              <a:ln>
                <a:noFill/>
              </a:ln>
              <a:effectLst/>
            </c:spPr>
            <c:txPr>
              <a:bodyPr rot="0" vert="horz"/>
              <a:lstStyle/>
              <a:p>
                <a:pPr>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'3Y_OUTPUT'!$F$129</c:f>
              <c:numCache>
                <c:formatCode>0.0</c:formatCode>
                <c:ptCount val="1"/>
                <c:pt idx="0">
                  <c:v>4.8541046009597366</c:v>
                </c:pt>
              </c:numCache>
            </c:numRef>
          </c:xVal>
          <c:yVal>
            <c:numRef>
              <c:f>'3Y_OUTPUT'!$F$124</c:f>
              <c:numCache>
                <c:formatCode>0.0</c:formatCode>
                <c:ptCount val="1"/>
                <c:pt idx="0">
                  <c:v>48.828426376600213</c:v>
                </c:pt>
              </c:numCache>
            </c:numRef>
          </c:yVal>
          <c:smooth val="0"/>
          <c:extLst>
            <c:ext xmlns:c16="http://schemas.microsoft.com/office/drawing/2014/chart" uri="{C3380CC4-5D6E-409C-BE32-E72D297353CC}">
              <c16:uniqueId val="{00000004-F101-4C04-9EF0-73810ECD6ECE}"/>
            </c:ext>
          </c:extLst>
        </c:ser>
        <c:dLbls>
          <c:showLegendKey val="0"/>
          <c:showVal val="0"/>
          <c:showCatName val="0"/>
          <c:showSerName val="0"/>
          <c:showPercent val="0"/>
          <c:showBubbleSize val="0"/>
        </c:dLbls>
        <c:axId val="253667200"/>
        <c:axId val="253681664"/>
      </c:scatterChart>
      <c:valAx>
        <c:axId val="253667200"/>
        <c:scaling>
          <c:orientation val="minMax"/>
          <c:max val="6.5"/>
          <c:min val="4.5"/>
        </c:scaling>
        <c:delete val="0"/>
        <c:axPos val="b"/>
        <c:majorGridlines>
          <c:spPr>
            <a:ln w="9525" cap="flat" cmpd="sng" algn="ctr">
              <a:noFill/>
              <a:round/>
            </a:ln>
            <a:effectLst/>
          </c:spPr>
        </c:majorGridlines>
        <c:minorGridlines>
          <c:spPr>
            <a:ln w="9525" cap="flat" cmpd="sng" algn="ctr">
              <a:noFill/>
              <a:round/>
            </a:ln>
            <a:effectLst/>
          </c:spPr>
        </c:minorGridlines>
        <c:title>
          <c:tx>
            <c:rich>
              <a:bodyPr rot="0" vert="horz"/>
              <a:lstStyle/>
              <a:p>
                <a:pPr>
                  <a:defRPr>
                    <a:solidFill>
                      <a:schemeClr val="accent1">
                        <a:lumMod val="75000"/>
                      </a:schemeClr>
                    </a:solidFill>
                    <a:latin typeface="Calibri" panose="020F0502020204030204" pitchFamily="34" charset="0"/>
                    <a:cs typeface="Calibri" panose="020F0502020204030204" pitchFamily="34" charset="0"/>
                  </a:defRPr>
                </a:pPr>
                <a:r>
                  <a:rPr lang="sr-Cyrl-BA">
                    <a:solidFill>
                      <a:schemeClr val="accent1">
                        <a:lumMod val="75000"/>
                      </a:schemeClr>
                    </a:solidFill>
                    <a:latin typeface="Calibri" panose="020F0502020204030204" pitchFamily="34" charset="0"/>
                    <a:cs typeface="Calibri" panose="020F0502020204030204" pitchFamily="34" charset="0"/>
                  </a:rPr>
                  <a:t>Ризик</a:t>
                </a:r>
              </a:p>
            </c:rich>
          </c:tx>
          <c:layout>
            <c:manualLayout>
              <c:xMode val="edge"/>
              <c:yMode val="edge"/>
              <c:x val="0.4712499835945263"/>
              <c:y val="0.935530611677861"/>
            </c:manualLayout>
          </c:layout>
          <c:overlay val="0"/>
          <c:spPr>
            <a:noFill/>
            <a:ln>
              <a:noFill/>
            </a:ln>
            <a:effectLst/>
          </c:spPr>
        </c:title>
        <c:numFmt formatCode="0.0" sourceLinked="0"/>
        <c:majorTickMark val="none"/>
        <c:minorTickMark val="none"/>
        <c:tickLblPos val="nextTo"/>
        <c:spPr>
          <a:noFill/>
          <a:ln>
            <a:noFill/>
          </a:ln>
          <a:effectLst/>
        </c:spPr>
        <c:txPr>
          <a:bodyPr rot="0"/>
          <a:lstStyle/>
          <a:p>
            <a:pPr>
              <a:defRPr sz="800">
                <a:solidFill>
                  <a:schemeClr val="accent1">
                    <a:lumMod val="75000"/>
                  </a:schemeClr>
                </a:solidFill>
                <a:latin typeface="Calibri" panose="020F0502020204030204" pitchFamily="34" charset="0"/>
                <a:cs typeface="Calibri" panose="020F0502020204030204" pitchFamily="34" charset="0"/>
              </a:defRPr>
            </a:pPr>
            <a:endParaRPr lang="sr-Latn-RS"/>
          </a:p>
        </c:txPr>
        <c:crossAx val="253681664"/>
        <c:crosses val="autoZero"/>
        <c:crossBetween val="midCat"/>
        <c:majorUnit val="0.5"/>
        <c:minorUnit val="0.1"/>
      </c:valAx>
      <c:valAx>
        <c:axId val="253681664"/>
        <c:scaling>
          <c:orientation val="minMax"/>
          <c:max val="49"/>
          <c:min val="48"/>
        </c:scaling>
        <c:delete val="0"/>
        <c:axPos val="l"/>
        <c:majorGridlines>
          <c:spPr>
            <a:ln w="9525" cap="flat" cmpd="sng" algn="ctr">
              <a:noFill/>
              <a:round/>
            </a:ln>
            <a:effectLst/>
          </c:spPr>
        </c:majorGridlines>
        <c:minorGridlines>
          <c:spPr>
            <a:ln w="9525" cap="flat" cmpd="sng" algn="ctr">
              <a:noFill/>
              <a:round/>
            </a:ln>
            <a:effectLst/>
          </c:spPr>
        </c:minorGridlines>
        <c:title>
          <c:tx>
            <c:rich>
              <a:bodyPr rot="-5400000" vert="horz"/>
              <a:lstStyle/>
              <a:p>
                <a:pPr>
                  <a:defRPr>
                    <a:solidFill>
                      <a:schemeClr val="accent1">
                        <a:lumMod val="75000"/>
                      </a:schemeClr>
                    </a:solidFill>
                    <a:latin typeface="Calibri" panose="020F0502020204030204" pitchFamily="34" charset="0"/>
                    <a:cs typeface="Calibri" panose="020F0502020204030204" pitchFamily="34" charset="0"/>
                  </a:defRPr>
                </a:pPr>
                <a:r>
                  <a:rPr lang="sr-Cyrl-BA">
                    <a:solidFill>
                      <a:schemeClr val="accent1">
                        <a:lumMod val="75000"/>
                      </a:schemeClr>
                    </a:solidFill>
                    <a:latin typeface="Calibri" panose="020F0502020204030204" pitchFamily="34" charset="0"/>
                    <a:cs typeface="Calibri" panose="020F0502020204030204" pitchFamily="34" charset="0"/>
                  </a:rPr>
                  <a:t>Трошкови (%)</a:t>
                </a:r>
              </a:p>
            </c:rich>
          </c:tx>
          <c:layout>
            <c:manualLayout>
              <c:xMode val="edge"/>
              <c:yMode val="edge"/>
              <c:x val="4.2641600474437186E-3"/>
              <c:y val="0.32453201268393489"/>
            </c:manualLayout>
          </c:layout>
          <c:overlay val="0"/>
          <c:spPr>
            <a:noFill/>
            <a:ln>
              <a:noFill/>
            </a:ln>
            <a:effectLst/>
          </c:spPr>
        </c:title>
        <c:numFmt formatCode="0.0" sourceLinked="0"/>
        <c:majorTickMark val="none"/>
        <c:minorTickMark val="none"/>
        <c:tickLblPos val="nextTo"/>
        <c:spPr>
          <a:noFill/>
          <a:ln>
            <a:noFill/>
          </a:ln>
          <a:effectLst/>
        </c:spPr>
        <c:txPr>
          <a:bodyPr rot="0"/>
          <a:lstStyle/>
          <a:p>
            <a:pPr>
              <a:defRPr sz="800">
                <a:solidFill>
                  <a:schemeClr val="accent1">
                    <a:lumMod val="75000"/>
                  </a:schemeClr>
                </a:solidFill>
                <a:latin typeface="Calibri" panose="020F0502020204030204" pitchFamily="34" charset="0"/>
                <a:cs typeface="Calibri" panose="020F0502020204030204" pitchFamily="34" charset="0"/>
              </a:defRPr>
            </a:pPr>
            <a:endParaRPr lang="sr-Latn-RS"/>
          </a:p>
        </c:txPr>
        <c:crossAx val="253667200"/>
        <c:crosses val="autoZero"/>
        <c:crossBetween val="midCat"/>
        <c:majorUnit val="0.5"/>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Cambria" panose="02040503050406030204" pitchFamily="18" charset="0"/>
        </a:defRPr>
      </a:pPr>
      <a:endParaRPr lang="sr-Latn-RS"/>
    </a:p>
  </c:txPr>
  <c:externalData r:id="rId2">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632893952934166"/>
          <c:y val="8.3992045285606692E-2"/>
          <c:w val="0.73758452487339898"/>
          <c:h val="0.7112994754411065"/>
        </c:manualLayout>
      </c:layout>
      <c:scatterChart>
        <c:scatterStyle val="lineMarker"/>
        <c:varyColors val="0"/>
        <c:ser>
          <c:idx val="0"/>
          <c:order val="0"/>
          <c:tx>
            <c:strRef>
              <c:f>'3Y_OUTPUT'!$C$133</c:f>
              <c:strCache>
                <c:ptCount val="1"/>
                <c:pt idx="0">
                  <c:v>C1</c:v>
                </c:pt>
              </c:strCache>
            </c:strRef>
          </c:tx>
          <c:spPr>
            <a:ln w="25400" cap="flat" cmpd="dbl" algn="ctr">
              <a:solidFill>
                <a:schemeClr val="accent1">
                  <a:alpha val="50000"/>
                </a:schemeClr>
              </a:solidFill>
              <a:round/>
            </a:ln>
            <a:effectLst/>
          </c:spPr>
          <c:marker>
            <c:symbol val="circle"/>
            <c:size val="10"/>
            <c:spPr>
              <a:solidFill>
                <a:srgbClr val="FF0000"/>
              </a:solidFill>
              <a:ln w="9525" cap="flat" cmpd="dbl" algn="ctr">
                <a:solidFill>
                  <a:srgbClr val="FF0000">
                    <a:alpha val="70000"/>
                  </a:srgbClr>
                </a:solidFill>
                <a:round/>
              </a:ln>
              <a:effectLst/>
            </c:spPr>
          </c:marker>
          <c:dLbls>
            <c:spPr>
              <a:noFill/>
              <a:ln>
                <a:noFill/>
              </a:ln>
              <a:effectLst/>
            </c:spPr>
            <c:txPr>
              <a:bodyPr rot="0" vert="horz"/>
              <a:lstStyle/>
              <a:p>
                <a:pPr>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'3Y_OUTPUT'!$C$139</c:f>
              <c:numCache>
                <c:formatCode>0.0</c:formatCode>
                <c:ptCount val="1"/>
                <c:pt idx="0">
                  <c:v>0.57582437341229742</c:v>
                </c:pt>
              </c:numCache>
            </c:numRef>
          </c:xVal>
          <c:yVal>
            <c:numRef>
              <c:f>'3Y_OUTPUT'!$C$134</c:f>
              <c:numCache>
                <c:formatCode>0.0</c:formatCode>
                <c:ptCount val="1"/>
                <c:pt idx="0">
                  <c:v>1.5047368434831965</c:v>
                </c:pt>
              </c:numCache>
            </c:numRef>
          </c:yVal>
          <c:smooth val="0"/>
          <c:extLst>
            <c:ext xmlns:c16="http://schemas.microsoft.com/office/drawing/2014/chart" uri="{C3380CC4-5D6E-409C-BE32-E72D297353CC}">
              <c16:uniqueId val="{00000000-E605-40F3-9741-9C67CCA8CFEF}"/>
            </c:ext>
          </c:extLst>
        </c:ser>
        <c:ser>
          <c:idx val="1"/>
          <c:order val="1"/>
          <c:tx>
            <c:strRef>
              <c:f>'3Y_OUTPUT'!$D$133</c:f>
              <c:strCache>
                <c:ptCount val="1"/>
                <c:pt idx="0">
                  <c:v>C2</c:v>
                </c:pt>
              </c:strCache>
            </c:strRef>
          </c:tx>
          <c:spPr>
            <a:ln w="25400" cap="flat" cmpd="dbl" algn="ctr">
              <a:noFill/>
              <a:round/>
            </a:ln>
            <a:effectLst/>
          </c:spPr>
          <c:marker>
            <c:symbol val="circle"/>
            <c:size val="10"/>
            <c:spPr>
              <a:solidFill>
                <a:srgbClr val="00B050"/>
              </a:solidFill>
              <a:ln w="34925" cap="flat" cmpd="dbl" algn="ctr">
                <a:noFill/>
                <a:round/>
              </a:ln>
              <a:effectLst/>
            </c:spPr>
          </c:marker>
          <c:dLbls>
            <c:spPr>
              <a:noFill/>
              <a:ln>
                <a:noFill/>
              </a:ln>
              <a:effectLst/>
            </c:spPr>
            <c:txPr>
              <a:bodyPr rot="0" vert="horz"/>
              <a:lstStyle/>
              <a:p>
                <a:pPr>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'3Y_OUTPUT'!$D$139</c:f>
              <c:numCache>
                <c:formatCode>0.0</c:formatCode>
                <c:ptCount val="1"/>
                <c:pt idx="0">
                  <c:v>0.59410605375595371</c:v>
                </c:pt>
              </c:numCache>
            </c:numRef>
          </c:xVal>
          <c:yVal>
            <c:numRef>
              <c:f>'3Y_OUTPUT'!$D$134</c:f>
              <c:numCache>
                <c:formatCode>0.0</c:formatCode>
                <c:ptCount val="1"/>
                <c:pt idx="0">
                  <c:v>1.5484252265807423</c:v>
                </c:pt>
              </c:numCache>
            </c:numRef>
          </c:yVal>
          <c:smooth val="0"/>
          <c:extLst>
            <c:ext xmlns:c16="http://schemas.microsoft.com/office/drawing/2014/chart" uri="{C3380CC4-5D6E-409C-BE32-E72D297353CC}">
              <c16:uniqueId val="{00000001-E605-40F3-9741-9C67CCA8CFEF}"/>
            </c:ext>
          </c:extLst>
        </c:ser>
        <c:ser>
          <c:idx val="2"/>
          <c:order val="2"/>
          <c:tx>
            <c:strRef>
              <c:f>'3Y_OUTPUT'!$E$133</c:f>
              <c:strCache>
                <c:ptCount val="1"/>
                <c:pt idx="0">
                  <c:v>C3</c:v>
                </c:pt>
              </c:strCache>
            </c:strRef>
          </c:tx>
          <c:spPr>
            <a:ln w="25400" cap="flat" cmpd="dbl" algn="ctr">
              <a:solidFill>
                <a:schemeClr val="accent3">
                  <a:alpha val="50000"/>
                </a:schemeClr>
              </a:solidFill>
              <a:round/>
            </a:ln>
            <a:effectLst/>
          </c:spPr>
          <c:marker>
            <c:symbol val="circle"/>
            <c:size val="10"/>
            <c:spPr>
              <a:solidFill>
                <a:srgbClr val="7030A0"/>
              </a:solidFill>
              <a:ln w="9525" cap="flat" cmpd="dbl" algn="ctr">
                <a:solidFill>
                  <a:srgbClr val="7030A0">
                    <a:alpha val="70000"/>
                  </a:srgbClr>
                </a:solidFill>
                <a:round/>
              </a:ln>
              <a:effectLst/>
            </c:spPr>
          </c:marker>
          <c:dLbls>
            <c:spPr>
              <a:noFill/>
              <a:ln>
                <a:noFill/>
              </a:ln>
              <a:effectLst/>
            </c:spPr>
            <c:txPr>
              <a:bodyPr rot="0" vert="horz"/>
              <a:lstStyle/>
              <a:p>
                <a:pPr>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'3Y_OUTPUT'!$E$139</c:f>
              <c:numCache>
                <c:formatCode>0.0</c:formatCode>
                <c:ptCount val="1"/>
                <c:pt idx="0">
                  <c:v>0.58955518237069859</c:v>
                </c:pt>
              </c:numCache>
            </c:numRef>
          </c:xVal>
          <c:yVal>
            <c:numRef>
              <c:f>'3Y_OUTPUT'!$E$134</c:f>
              <c:numCache>
                <c:formatCode>0.0</c:formatCode>
                <c:ptCount val="1"/>
                <c:pt idx="0">
                  <c:v>1.4380324948095498</c:v>
                </c:pt>
              </c:numCache>
            </c:numRef>
          </c:yVal>
          <c:smooth val="0"/>
          <c:extLst>
            <c:ext xmlns:c16="http://schemas.microsoft.com/office/drawing/2014/chart" uri="{C3380CC4-5D6E-409C-BE32-E72D297353CC}">
              <c16:uniqueId val="{00000002-E605-40F3-9741-9C67CCA8CFEF}"/>
            </c:ext>
          </c:extLst>
        </c:ser>
        <c:ser>
          <c:idx val="3"/>
          <c:order val="3"/>
          <c:tx>
            <c:strRef>
              <c:f>'3Y_OUTPUT'!$F$133</c:f>
              <c:strCache>
                <c:ptCount val="1"/>
                <c:pt idx="0">
                  <c:v>C4</c:v>
                </c:pt>
              </c:strCache>
            </c:strRef>
          </c:tx>
          <c:spPr>
            <a:ln w="25400" cap="flat" cmpd="dbl" algn="ctr">
              <a:solidFill>
                <a:schemeClr val="accent4">
                  <a:alpha val="50000"/>
                </a:schemeClr>
              </a:solidFill>
              <a:round/>
            </a:ln>
            <a:effectLst/>
          </c:spPr>
          <c:marker>
            <c:symbol val="circle"/>
            <c:size val="10"/>
            <c:spPr>
              <a:solidFill>
                <a:srgbClr val="0070C0"/>
              </a:solidFill>
              <a:ln w="9525" cap="flat" cmpd="dbl" algn="ctr">
                <a:solidFill>
                  <a:srgbClr val="0070C0">
                    <a:alpha val="70000"/>
                  </a:srgbClr>
                </a:solidFill>
                <a:round/>
              </a:ln>
              <a:effectLst/>
            </c:spPr>
          </c:marker>
          <c:dLbls>
            <c:spPr>
              <a:noFill/>
              <a:ln>
                <a:noFill/>
              </a:ln>
              <a:effectLst/>
            </c:spPr>
            <c:txPr>
              <a:bodyPr rot="0" vert="horz"/>
              <a:lstStyle/>
              <a:p>
                <a:pPr>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'3Y_OUTPUT'!$F$139</c:f>
              <c:numCache>
                <c:formatCode>0.0</c:formatCode>
                <c:ptCount val="1"/>
                <c:pt idx="0">
                  <c:v>0.7522922826671572</c:v>
                </c:pt>
              </c:numCache>
            </c:numRef>
          </c:xVal>
          <c:yVal>
            <c:numRef>
              <c:f>'3Y_OUTPUT'!$F$134</c:f>
              <c:numCache>
                <c:formatCode>0.0</c:formatCode>
                <c:ptCount val="1"/>
                <c:pt idx="0">
                  <c:v>1.7701597695572941</c:v>
                </c:pt>
              </c:numCache>
            </c:numRef>
          </c:yVal>
          <c:smooth val="0"/>
          <c:extLst>
            <c:ext xmlns:c16="http://schemas.microsoft.com/office/drawing/2014/chart" uri="{C3380CC4-5D6E-409C-BE32-E72D297353CC}">
              <c16:uniqueId val="{00000003-E605-40F3-9741-9C67CCA8CFEF}"/>
            </c:ext>
          </c:extLst>
        </c:ser>
        <c:dLbls>
          <c:showLegendKey val="0"/>
          <c:showVal val="0"/>
          <c:showCatName val="0"/>
          <c:showSerName val="0"/>
          <c:showPercent val="0"/>
          <c:showBubbleSize val="0"/>
        </c:dLbls>
        <c:axId val="253612416"/>
        <c:axId val="253614336"/>
      </c:scatterChart>
      <c:valAx>
        <c:axId val="253612416"/>
        <c:scaling>
          <c:orientation val="minMax"/>
          <c:max val="0.8"/>
          <c:min val="0.55000000000000004"/>
        </c:scaling>
        <c:delete val="0"/>
        <c:axPos val="b"/>
        <c:majorGridlines>
          <c:spPr>
            <a:ln w="9525" cap="flat" cmpd="sng" algn="ctr">
              <a:noFill/>
              <a:prstDash val="dash"/>
              <a:round/>
            </a:ln>
            <a:effectLst/>
          </c:spPr>
        </c:majorGridlines>
        <c:minorGridlines>
          <c:spPr>
            <a:ln w="9525" cap="flat" cmpd="sng" algn="ctr">
              <a:solidFill>
                <a:sysClr val="window" lastClr="FFFFFF"/>
              </a:solidFill>
              <a:round/>
            </a:ln>
            <a:effectLst/>
          </c:spPr>
        </c:minorGridlines>
        <c:title>
          <c:tx>
            <c:rich>
              <a:bodyPr rot="0" vert="horz"/>
              <a:lstStyle/>
              <a:p>
                <a:pPr>
                  <a:defRPr>
                    <a:solidFill>
                      <a:schemeClr val="accent1">
                        <a:lumMod val="75000"/>
                      </a:schemeClr>
                    </a:solidFill>
                  </a:defRPr>
                </a:pPr>
                <a:r>
                  <a:rPr lang="sr-Cyrl-RS">
                    <a:solidFill>
                      <a:schemeClr val="accent1">
                        <a:lumMod val="75000"/>
                      </a:schemeClr>
                    </a:solidFill>
                  </a:rPr>
                  <a:t>Ризик</a:t>
                </a:r>
              </a:p>
            </c:rich>
          </c:tx>
          <c:layout>
            <c:manualLayout>
              <c:xMode val="edge"/>
              <c:yMode val="edge"/>
              <c:x val="0.47124973398595482"/>
              <c:y val="0.92970168612191961"/>
            </c:manualLayout>
          </c:layout>
          <c:overlay val="0"/>
          <c:spPr>
            <a:noFill/>
            <a:ln>
              <a:noFill/>
            </a:ln>
            <a:effectLst/>
          </c:spPr>
        </c:title>
        <c:numFmt formatCode="0.00" sourceLinked="0"/>
        <c:majorTickMark val="none"/>
        <c:minorTickMark val="none"/>
        <c:tickLblPos val="nextTo"/>
        <c:spPr>
          <a:noFill/>
          <a:ln>
            <a:noFill/>
          </a:ln>
          <a:effectLst/>
        </c:spPr>
        <c:txPr>
          <a:bodyPr rot="0"/>
          <a:lstStyle/>
          <a:p>
            <a:pPr>
              <a:defRPr sz="800">
                <a:solidFill>
                  <a:schemeClr val="accent1">
                    <a:lumMod val="75000"/>
                  </a:schemeClr>
                </a:solidFill>
              </a:defRPr>
            </a:pPr>
            <a:endParaRPr lang="sr-Latn-RS"/>
          </a:p>
        </c:txPr>
        <c:crossAx val="253614336"/>
        <c:crosses val="autoZero"/>
        <c:crossBetween val="midCat"/>
      </c:valAx>
      <c:valAx>
        <c:axId val="253614336"/>
        <c:scaling>
          <c:orientation val="minMax"/>
          <c:max val="1.8"/>
          <c:min val="1.2"/>
        </c:scaling>
        <c:delete val="0"/>
        <c:axPos val="l"/>
        <c:majorGridlines>
          <c:spPr>
            <a:ln w="9525" cap="flat" cmpd="sng" algn="ctr">
              <a:noFill/>
              <a:prstDash val="dash"/>
              <a:round/>
            </a:ln>
            <a:effectLst/>
          </c:spPr>
        </c:majorGridlines>
        <c:minorGridlines>
          <c:spPr>
            <a:ln w="9525" cap="flat" cmpd="sng" algn="ctr">
              <a:noFill/>
              <a:round/>
            </a:ln>
            <a:effectLst/>
          </c:spPr>
        </c:minorGridlines>
        <c:title>
          <c:tx>
            <c:rich>
              <a:bodyPr rot="-5400000" vert="horz"/>
              <a:lstStyle/>
              <a:p>
                <a:pPr>
                  <a:defRPr>
                    <a:solidFill>
                      <a:schemeClr val="accent5">
                        <a:lumMod val="50000"/>
                      </a:schemeClr>
                    </a:solidFill>
                  </a:defRPr>
                </a:pPr>
                <a:r>
                  <a:rPr lang="sr-Cyrl-CS">
                    <a:solidFill>
                      <a:schemeClr val="accent5">
                        <a:lumMod val="50000"/>
                      </a:schemeClr>
                    </a:solidFill>
                  </a:rPr>
                  <a:t>Трошкови (%)</a:t>
                </a:r>
              </a:p>
            </c:rich>
          </c:tx>
          <c:layout>
            <c:manualLayout>
              <c:xMode val="edge"/>
              <c:yMode val="edge"/>
              <c:x val="5.5101280905570449E-3"/>
              <c:y val="0.26999821173104432"/>
            </c:manualLayout>
          </c:layout>
          <c:overlay val="0"/>
          <c:spPr>
            <a:noFill/>
            <a:ln>
              <a:noFill/>
            </a:ln>
            <a:effectLst/>
          </c:spPr>
        </c:title>
        <c:numFmt formatCode="0.00" sourceLinked="0"/>
        <c:majorTickMark val="none"/>
        <c:minorTickMark val="none"/>
        <c:tickLblPos val="nextTo"/>
        <c:spPr>
          <a:noFill/>
          <a:ln>
            <a:noFill/>
          </a:ln>
          <a:effectLst/>
        </c:spPr>
        <c:txPr>
          <a:bodyPr rot="0"/>
          <a:lstStyle/>
          <a:p>
            <a:pPr>
              <a:defRPr sz="800">
                <a:solidFill>
                  <a:schemeClr val="accent1">
                    <a:lumMod val="75000"/>
                  </a:schemeClr>
                </a:solidFill>
              </a:defRPr>
            </a:pPr>
            <a:endParaRPr lang="sr-Latn-RS"/>
          </a:p>
        </c:txPr>
        <c:crossAx val="253612416"/>
        <c:crosses val="autoZero"/>
        <c:crossBetween val="midCat"/>
        <c:majorUnit val="0.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sr-Latn-RS"/>
    </a:p>
  </c:txPr>
  <c:externalData r:id="rId1">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6.7368051268925991E-2"/>
          <c:y val="2.4498269896193772E-2"/>
          <c:w val="0.9372012977727866"/>
          <c:h val="0.90122138542350005"/>
        </c:manualLayout>
      </c:layout>
      <c:lineChart>
        <c:grouping val="standard"/>
        <c:varyColors val="0"/>
        <c:ser>
          <c:idx val="0"/>
          <c:order val="0"/>
          <c:spPr>
            <a:ln w="28575" cap="rnd" cmpd="sng" algn="ctr">
              <a:solidFill>
                <a:schemeClr val="accent1">
                  <a:shade val="40000"/>
                  <a:shade val="95000"/>
                  <a:satMod val="105000"/>
                </a:schemeClr>
              </a:solidFill>
              <a:prstDash val="solid"/>
              <a:round/>
            </a:ln>
            <a:effectLst/>
          </c:spPr>
          <c:marker>
            <c:spPr>
              <a:solidFill>
                <a:schemeClr val="accent1">
                  <a:shade val="38000"/>
                </a:schemeClr>
              </a:solidFill>
              <a:ln w="9525" cap="flat" cmpd="sng" algn="ctr">
                <a:solidFill>
                  <a:schemeClr val="accent1">
                    <a:shade val="38000"/>
                    <a:shade val="95000"/>
                    <a:satMod val="105000"/>
                  </a:schemeClr>
                </a:solidFill>
                <a:prstDash val="solid"/>
                <a:round/>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mn-lt"/>
                    <a:ea typeface="+mn-ea"/>
                    <a:cs typeface="+mn-cs"/>
                  </a:defRPr>
                </a:pPr>
                <a:endParaRPr lang="sr-Latn-R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'uticaj promene kursa'!$H$56:$Q$56</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kursa'!$H$56:$Q$56</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val>
          <c:smooth val="0"/>
          <c:extLst>
            <c:ext xmlns:c16="http://schemas.microsoft.com/office/drawing/2014/chart" uri="{C3380CC4-5D6E-409C-BE32-E72D297353CC}">
              <c16:uniqueId val="{00000000-DCE3-4A28-9C03-FA4C279F8AEA}"/>
            </c:ext>
          </c:extLst>
        </c:ser>
        <c:ser>
          <c:idx val="1"/>
          <c:order val="1"/>
          <c:spPr>
            <a:ln w="28575" cap="rnd" cmpd="sng" algn="ctr">
              <a:solidFill>
                <a:schemeClr val="accent1">
                  <a:shade val="51000"/>
                  <a:shade val="95000"/>
                  <a:satMod val="105000"/>
                </a:schemeClr>
              </a:solidFill>
              <a:prstDash val="solid"/>
              <a:round/>
            </a:ln>
            <a:effectLst/>
          </c:spPr>
          <c:marker>
            <c:symbol val="diamond"/>
            <c:size val="10"/>
            <c:spPr>
              <a:solidFill>
                <a:schemeClr val="accent1">
                  <a:shade val="45000"/>
                </a:schemeClr>
              </a:solidFill>
              <a:ln w="9525" cap="flat" cmpd="sng" algn="ctr">
                <a:solidFill>
                  <a:schemeClr val="accent1">
                    <a:shade val="45000"/>
                    <a:shade val="95000"/>
                    <a:satMod val="105000"/>
                  </a:schemeClr>
                </a:solidFill>
                <a:prstDash val="solid"/>
                <a:round/>
              </a:ln>
              <a:effectLst/>
            </c:spPr>
          </c:marker>
          <c:dLbls>
            <c:dLbl>
              <c:idx val="9"/>
              <c:layout>
                <c:manualLayout>
                  <c:x val="-4.1219801463094402E-3"/>
                  <c:y val="3.67629046369203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DCE3-4A28-9C03-FA4C279F8AEA}"/>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sr-Latn-R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'uticaj promene kursa'!$H$56:$Q$56</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kursa'!$H$57:$Q$57</c:f>
              <c:numCache>
                <c:formatCode>#,##0.0</c:formatCode>
                <c:ptCount val="10"/>
                <c:pt idx="0">
                  <c:v>67.678479463063553</c:v>
                </c:pt>
                <c:pt idx="1">
                  <c:v>57.788223811969416</c:v>
                </c:pt>
                <c:pt idx="2">
                  <c:v>53.621882530067857</c:v>
                </c:pt>
                <c:pt idx="3">
                  <c:v>51.9</c:v>
                </c:pt>
                <c:pt idx="4">
                  <c:v>57</c:v>
                </c:pt>
                <c:pt idx="5">
                  <c:v>56.5</c:v>
                </c:pt>
                <c:pt idx="6">
                  <c:v>53.6</c:v>
                </c:pt>
                <c:pt idx="7">
                  <c:v>52.1</c:v>
                </c:pt>
                <c:pt idx="8">
                  <c:v>51</c:v>
                </c:pt>
                <c:pt idx="9">
                  <c:v>49.7</c:v>
                </c:pt>
              </c:numCache>
            </c:numRef>
          </c:val>
          <c:smooth val="0"/>
          <c:extLst>
            <c:ext xmlns:c16="http://schemas.microsoft.com/office/drawing/2014/chart" uri="{C3380CC4-5D6E-409C-BE32-E72D297353CC}">
              <c16:uniqueId val="{00000001-DCE3-4A28-9C03-FA4C279F8AEA}"/>
            </c:ext>
          </c:extLst>
        </c:ser>
        <c:ser>
          <c:idx val="2"/>
          <c:order val="2"/>
          <c:spPr>
            <a:ln w="28575" cap="rnd" cmpd="sng" algn="ctr">
              <a:solidFill>
                <a:schemeClr val="accent1">
                  <a:shade val="62000"/>
                  <a:shade val="95000"/>
                  <a:satMod val="105000"/>
                </a:schemeClr>
              </a:solidFill>
              <a:prstDash val="solid"/>
              <a:round/>
            </a:ln>
            <a:effectLst/>
          </c:spPr>
          <c:marker>
            <c:symbol val="none"/>
          </c:marker>
          <c:cat>
            <c:numRef>
              <c:f>'uticaj promene kursa'!$H$56:$Q$56</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kursa'!$H$58:$Q$58</c:f>
              <c:numCache>
                <c:formatCode>#,##0.0</c:formatCode>
                <c:ptCount val="10"/>
                <c:pt idx="0">
                  <c:v>67.678479463063553</c:v>
                </c:pt>
                <c:pt idx="1">
                  <c:v>57.788223811969416</c:v>
                </c:pt>
                <c:pt idx="2">
                  <c:v>53.621882530067857</c:v>
                </c:pt>
                <c:pt idx="3">
                  <c:v>51.9</c:v>
                </c:pt>
                <c:pt idx="4">
                  <c:v>57</c:v>
                </c:pt>
                <c:pt idx="5">
                  <c:v>56.5</c:v>
                </c:pt>
                <c:pt idx="6">
                  <c:v>54.381006671773427</c:v>
                </c:pt>
                <c:pt idx="7">
                  <c:v>52.91213494611349</c:v>
                </c:pt>
                <c:pt idx="8">
                  <c:v>51.753006841595948</c:v>
                </c:pt>
                <c:pt idx="9">
                  <c:v>50.450940304501415</c:v>
                </c:pt>
              </c:numCache>
            </c:numRef>
          </c:val>
          <c:smooth val="0"/>
          <c:extLst>
            <c:ext xmlns:c16="http://schemas.microsoft.com/office/drawing/2014/chart" uri="{C3380CC4-5D6E-409C-BE32-E72D297353CC}">
              <c16:uniqueId val="{00000002-DCE3-4A28-9C03-FA4C279F8AEA}"/>
            </c:ext>
          </c:extLst>
        </c:ser>
        <c:ser>
          <c:idx val="3"/>
          <c:order val="3"/>
          <c:spPr>
            <a:ln w="28575" cap="rnd" cmpd="sng" algn="ctr">
              <a:solidFill>
                <a:schemeClr val="accent1">
                  <a:shade val="73000"/>
                  <a:shade val="95000"/>
                  <a:satMod val="105000"/>
                </a:schemeClr>
              </a:solidFill>
              <a:prstDash val="solid"/>
              <a:round/>
            </a:ln>
            <a:effectLst/>
          </c:spPr>
          <c:marker>
            <c:symbol val="none"/>
          </c:marker>
          <c:cat>
            <c:numRef>
              <c:f>'uticaj promene kursa'!$H$56:$Q$56</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kursa'!$H$59:$Q$59</c:f>
              <c:numCache>
                <c:formatCode>#,##0.0</c:formatCode>
                <c:ptCount val="10"/>
                <c:pt idx="0">
                  <c:v>67.678479463063553</c:v>
                </c:pt>
                <c:pt idx="1">
                  <c:v>57.788223811969416</c:v>
                </c:pt>
                <c:pt idx="2">
                  <c:v>53.621882530067857</c:v>
                </c:pt>
                <c:pt idx="3">
                  <c:v>51.9</c:v>
                </c:pt>
                <c:pt idx="4">
                  <c:v>57</c:v>
                </c:pt>
                <c:pt idx="5">
                  <c:v>56.5</c:v>
                </c:pt>
                <c:pt idx="6">
                  <c:v>55.174107675658178</c:v>
                </c:pt>
                <c:pt idx="7">
                  <c:v>53.683813697791138</c:v>
                </c:pt>
                <c:pt idx="8">
                  <c:v>52.497727815267638</c:v>
                </c:pt>
                <c:pt idx="9">
                  <c:v>51.167120845101579</c:v>
                </c:pt>
              </c:numCache>
            </c:numRef>
          </c:val>
          <c:smooth val="0"/>
          <c:extLst>
            <c:ext xmlns:c16="http://schemas.microsoft.com/office/drawing/2014/chart" uri="{C3380CC4-5D6E-409C-BE32-E72D297353CC}">
              <c16:uniqueId val="{00000003-DCE3-4A28-9C03-FA4C279F8AEA}"/>
            </c:ext>
          </c:extLst>
        </c:ser>
        <c:ser>
          <c:idx val="4"/>
          <c:order val="4"/>
          <c:spPr>
            <a:ln w="28575" cap="rnd" cmpd="sng" algn="ctr">
              <a:solidFill>
                <a:schemeClr val="accent1">
                  <a:shade val="83000"/>
                  <a:shade val="95000"/>
                  <a:satMod val="105000"/>
                </a:schemeClr>
              </a:solidFill>
              <a:prstDash val="solid"/>
              <a:round/>
            </a:ln>
            <a:effectLst/>
          </c:spPr>
          <c:marker>
            <c:symbol val="none"/>
          </c:marker>
          <c:cat>
            <c:numRef>
              <c:f>'uticaj promene kursa'!$H$56:$Q$56</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kursa'!$H$60:$Q$60</c:f>
              <c:numCache>
                <c:formatCode>#,##0.0</c:formatCode>
                <c:ptCount val="10"/>
                <c:pt idx="0">
                  <c:v>67.678479463063553</c:v>
                </c:pt>
                <c:pt idx="1">
                  <c:v>57.788223811969416</c:v>
                </c:pt>
                <c:pt idx="2">
                  <c:v>53.621882530067857</c:v>
                </c:pt>
                <c:pt idx="3">
                  <c:v>51.9</c:v>
                </c:pt>
                <c:pt idx="4">
                  <c:v>57</c:v>
                </c:pt>
                <c:pt idx="5">
                  <c:v>56.5</c:v>
                </c:pt>
                <c:pt idx="6">
                  <c:v>55.967208679542935</c:v>
                </c:pt>
                <c:pt idx="7">
                  <c:v>54.455492449468792</c:v>
                </c:pt>
                <c:pt idx="8">
                  <c:v>53.242448788939335</c:v>
                </c:pt>
                <c:pt idx="9">
                  <c:v>51.883301385701763</c:v>
                </c:pt>
              </c:numCache>
            </c:numRef>
          </c:val>
          <c:smooth val="0"/>
          <c:extLst>
            <c:ext xmlns:c16="http://schemas.microsoft.com/office/drawing/2014/chart" uri="{C3380CC4-5D6E-409C-BE32-E72D297353CC}">
              <c16:uniqueId val="{00000004-DCE3-4A28-9C03-FA4C279F8AEA}"/>
            </c:ext>
          </c:extLst>
        </c:ser>
        <c:ser>
          <c:idx val="5"/>
          <c:order val="5"/>
          <c:spPr>
            <a:ln w="28575" cap="rnd" cmpd="sng" algn="ctr">
              <a:solidFill>
                <a:schemeClr val="accent1">
                  <a:shade val="94000"/>
                  <a:shade val="95000"/>
                  <a:satMod val="105000"/>
                </a:schemeClr>
              </a:solidFill>
              <a:prstDash val="solid"/>
              <a:round/>
            </a:ln>
            <a:effectLst/>
          </c:spPr>
          <c:marker>
            <c:symbol val="none"/>
          </c:marker>
          <c:cat>
            <c:numRef>
              <c:f>'uticaj promene kursa'!$H$56:$Q$56</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kursa'!$H$61:$Q$61</c:f>
              <c:numCache>
                <c:formatCode>#,##0.0</c:formatCode>
                <c:ptCount val="10"/>
                <c:pt idx="0">
                  <c:v>67.678479463063553</c:v>
                </c:pt>
                <c:pt idx="1">
                  <c:v>57.788223811969416</c:v>
                </c:pt>
                <c:pt idx="2">
                  <c:v>53.621882530067857</c:v>
                </c:pt>
                <c:pt idx="3">
                  <c:v>51.9</c:v>
                </c:pt>
                <c:pt idx="4">
                  <c:v>57</c:v>
                </c:pt>
                <c:pt idx="5">
                  <c:v>56.5</c:v>
                </c:pt>
                <c:pt idx="6">
                  <c:v>56.760309683427693</c:v>
                </c:pt>
                <c:pt idx="7">
                  <c:v>55.22717120114644</c:v>
                </c:pt>
                <c:pt idx="8">
                  <c:v>53.987169762611032</c:v>
                </c:pt>
                <c:pt idx="9">
                  <c:v>52.599481926301948</c:v>
                </c:pt>
              </c:numCache>
            </c:numRef>
          </c:val>
          <c:smooth val="0"/>
          <c:extLst>
            <c:ext xmlns:c16="http://schemas.microsoft.com/office/drawing/2014/chart" uri="{C3380CC4-5D6E-409C-BE32-E72D297353CC}">
              <c16:uniqueId val="{00000005-DCE3-4A28-9C03-FA4C279F8AEA}"/>
            </c:ext>
          </c:extLst>
        </c:ser>
        <c:ser>
          <c:idx val="6"/>
          <c:order val="6"/>
          <c:spPr>
            <a:ln w="28575" cap="rnd" cmpd="sng" algn="ctr">
              <a:solidFill>
                <a:schemeClr val="accent1">
                  <a:tint val="95000"/>
                  <a:shade val="95000"/>
                  <a:satMod val="105000"/>
                </a:schemeClr>
              </a:solidFill>
              <a:prstDash val="solid"/>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6-DCE3-4A28-9C03-FA4C279F8AEA}"/>
                </c:ext>
              </c:extLst>
            </c:dLbl>
            <c:dLbl>
              <c:idx val="1"/>
              <c:delete val="1"/>
              <c:extLst>
                <c:ext xmlns:c15="http://schemas.microsoft.com/office/drawing/2012/chart" uri="{CE6537A1-D6FC-4f65-9D91-7224C49458BB}"/>
                <c:ext xmlns:c16="http://schemas.microsoft.com/office/drawing/2014/chart" uri="{C3380CC4-5D6E-409C-BE32-E72D297353CC}">
                  <c16:uniqueId val="{00000007-DCE3-4A28-9C03-FA4C279F8AEA}"/>
                </c:ext>
              </c:extLst>
            </c:dLbl>
            <c:dLbl>
              <c:idx val="2"/>
              <c:delete val="1"/>
              <c:extLst>
                <c:ext xmlns:c15="http://schemas.microsoft.com/office/drawing/2012/chart" uri="{CE6537A1-D6FC-4f65-9D91-7224C49458BB}"/>
                <c:ext xmlns:c16="http://schemas.microsoft.com/office/drawing/2014/chart" uri="{C3380CC4-5D6E-409C-BE32-E72D297353CC}">
                  <c16:uniqueId val="{00000008-DCE3-4A28-9C03-FA4C279F8AEA}"/>
                </c:ext>
              </c:extLst>
            </c:dLbl>
            <c:dLbl>
              <c:idx val="3"/>
              <c:delete val="1"/>
              <c:extLst>
                <c:ext xmlns:c15="http://schemas.microsoft.com/office/drawing/2012/chart" uri="{CE6537A1-D6FC-4f65-9D91-7224C49458BB}"/>
                <c:ext xmlns:c16="http://schemas.microsoft.com/office/drawing/2014/chart" uri="{C3380CC4-5D6E-409C-BE32-E72D297353CC}">
                  <c16:uniqueId val="{00000009-DCE3-4A28-9C03-FA4C279F8AEA}"/>
                </c:ext>
              </c:extLst>
            </c:dLbl>
            <c:dLbl>
              <c:idx val="4"/>
              <c:delete val="1"/>
              <c:extLst>
                <c:ext xmlns:c15="http://schemas.microsoft.com/office/drawing/2012/chart" uri="{CE6537A1-D6FC-4f65-9D91-7224C49458BB}"/>
                <c:ext xmlns:c16="http://schemas.microsoft.com/office/drawing/2014/chart" uri="{C3380CC4-5D6E-409C-BE32-E72D297353CC}">
                  <c16:uniqueId val="{0000000A-DCE3-4A28-9C03-FA4C279F8AEA}"/>
                </c:ext>
              </c:extLst>
            </c:dLbl>
            <c:dLbl>
              <c:idx val="5"/>
              <c:delete val="1"/>
              <c:extLst>
                <c:ext xmlns:c15="http://schemas.microsoft.com/office/drawing/2012/chart" uri="{CE6537A1-D6FC-4f65-9D91-7224C49458BB}"/>
                <c:ext xmlns:c16="http://schemas.microsoft.com/office/drawing/2014/chart" uri="{C3380CC4-5D6E-409C-BE32-E72D297353CC}">
                  <c16:uniqueId val="{0000000B-DCE3-4A28-9C03-FA4C279F8AEA}"/>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'uticaj promene kursa'!$H$56:$Q$56</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kursa'!$H$62:$Q$62</c:f>
              <c:numCache>
                <c:formatCode>#,##0.0</c:formatCode>
                <c:ptCount val="10"/>
                <c:pt idx="0">
                  <c:v>67.678479463063553</c:v>
                </c:pt>
                <c:pt idx="1">
                  <c:v>57.788223811969416</c:v>
                </c:pt>
                <c:pt idx="2">
                  <c:v>53.621882530067857</c:v>
                </c:pt>
                <c:pt idx="3">
                  <c:v>51.9</c:v>
                </c:pt>
                <c:pt idx="4">
                  <c:v>57</c:v>
                </c:pt>
                <c:pt idx="5">
                  <c:v>56.5</c:v>
                </c:pt>
                <c:pt idx="6">
                  <c:v>57.553410687312443</c:v>
                </c:pt>
                <c:pt idx="7">
                  <c:v>55.998849952824095</c:v>
                </c:pt>
                <c:pt idx="8">
                  <c:v>54.731890736282715</c:v>
                </c:pt>
                <c:pt idx="9">
                  <c:v>53.315662466902126</c:v>
                </c:pt>
              </c:numCache>
            </c:numRef>
          </c:val>
          <c:smooth val="0"/>
          <c:extLst>
            <c:ext xmlns:c16="http://schemas.microsoft.com/office/drawing/2014/chart" uri="{C3380CC4-5D6E-409C-BE32-E72D297353CC}">
              <c16:uniqueId val="{0000000C-DCE3-4A28-9C03-FA4C279F8AEA}"/>
            </c:ext>
          </c:extLst>
        </c:ser>
        <c:ser>
          <c:idx val="7"/>
          <c:order val="7"/>
          <c:spPr>
            <a:ln w="28575" cap="rnd" cmpd="sng" algn="ctr">
              <a:solidFill>
                <a:schemeClr val="accent1">
                  <a:tint val="84000"/>
                  <a:shade val="95000"/>
                  <a:satMod val="105000"/>
                </a:schemeClr>
              </a:solidFill>
              <a:prstDash val="solid"/>
              <a:round/>
            </a:ln>
            <a:effectLst/>
          </c:spPr>
          <c:marker>
            <c:symbol val="none"/>
          </c:marker>
          <c:cat>
            <c:numRef>
              <c:f>'uticaj promene kursa'!$H$56:$Q$56</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kursa'!$H$63:$Q$63</c:f>
              <c:numCache>
                <c:formatCode>#,##0.0</c:formatCode>
                <c:ptCount val="10"/>
                <c:pt idx="0">
                  <c:v>67.678479463063553</c:v>
                </c:pt>
                <c:pt idx="1">
                  <c:v>57.788223811969416</c:v>
                </c:pt>
                <c:pt idx="2">
                  <c:v>53.621882530067857</c:v>
                </c:pt>
                <c:pt idx="3">
                  <c:v>51.9</c:v>
                </c:pt>
                <c:pt idx="4">
                  <c:v>57</c:v>
                </c:pt>
                <c:pt idx="5">
                  <c:v>56.5</c:v>
                </c:pt>
                <c:pt idx="6">
                  <c:v>52.794804664003927</c:v>
                </c:pt>
                <c:pt idx="7">
                  <c:v>51.368777442758187</c:v>
                </c:pt>
                <c:pt idx="8">
                  <c:v>50.263564894252553</c:v>
                </c:pt>
                <c:pt idx="9">
                  <c:v>49.018579223301053</c:v>
                </c:pt>
              </c:numCache>
            </c:numRef>
          </c:val>
          <c:smooth val="0"/>
          <c:extLst>
            <c:ext xmlns:c16="http://schemas.microsoft.com/office/drawing/2014/chart" uri="{C3380CC4-5D6E-409C-BE32-E72D297353CC}">
              <c16:uniqueId val="{0000000D-DCE3-4A28-9C03-FA4C279F8AEA}"/>
            </c:ext>
          </c:extLst>
        </c:ser>
        <c:ser>
          <c:idx val="8"/>
          <c:order val="8"/>
          <c:spPr>
            <a:ln w="28575" cap="rnd" cmpd="sng" algn="ctr">
              <a:solidFill>
                <a:schemeClr val="accent1">
                  <a:tint val="74000"/>
                  <a:shade val="95000"/>
                  <a:satMod val="105000"/>
                </a:schemeClr>
              </a:solidFill>
              <a:prstDash val="solid"/>
              <a:round/>
            </a:ln>
            <a:effectLst/>
          </c:spPr>
          <c:marker>
            <c:symbol val="none"/>
          </c:marker>
          <c:cat>
            <c:numRef>
              <c:f>'uticaj promene kursa'!$H$56:$Q$56</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kursa'!$H$64:$Q$64</c:f>
              <c:numCache>
                <c:formatCode>#,##0.0</c:formatCode>
                <c:ptCount val="10"/>
                <c:pt idx="0">
                  <c:v>67.678479463063553</c:v>
                </c:pt>
                <c:pt idx="1">
                  <c:v>57.788223811969416</c:v>
                </c:pt>
                <c:pt idx="2">
                  <c:v>53.621882530067857</c:v>
                </c:pt>
                <c:pt idx="3">
                  <c:v>51.9</c:v>
                </c:pt>
                <c:pt idx="4">
                  <c:v>57</c:v>
                </c:pt>
                <c:pt idx="5">
                  <c:v>56.5</c:v>
                </c:pt>
                <c:pt idx="6">
                  <c:v>52.001703660119169</c:v>
                </c:pt>
                <c:pt idx="7">
                  <c:v>50.597098691080532</c:v>
                </c:pt>
                <c:pt idx="8">
                  <c:v>49.518843920580863</c:v>
                </c:pt>
                <c:pt idx="9">
                  <c:v>48.302398682700876</c:v>
                </c:pt>
              </c:numCache>
            </c:numRef>
          </c:val>
          <c:smooth val="0"/>
          <c:extLst>
            <c:ext xmlns:c16="http://schemas.microsoft.com/office/drawing/2014/chart" uri="{C3380CC4-5D6E-409C-BE32-E72D297353CC}">
              <c16:uniqueId val="{0000000E-DCE3-4A28-9C03-FA4C279F8AEA}"/>
            </c:ext>
          </c:extLst>
        </c:ser>
        <c:ser>
          <c:idx val="9"/>
          <c:order val="9"/>
          <c:spPr>
            <a:ln w="28575" cap="rnd" cmpd="sng" algn="ctr">
              <a:solidFill>
                <a:schemeClr val="accent1">
                  <a:tint val="63000"/>
                  <a:shade val="95000"/>
                  <a:satMod val="105000"/>
                </a:schemeClr>
              </a:solidFill>
              <a:prstDash val="solid"/>
              <a:round/>
            </a:ln>
            <a:effectLst/>
          </c:spPr>
          <c:marker>
            <c:symbol val="none"/>
          </c:marker>
          <c:cat>
            <c:numRef>
              <c:f>'uticaj promene kursa'!$H$56:$Q$56</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kursa'!$H$65:$Q$65</c:f>
              <c:numCache>
                <c:formatCode>#,##0.0</c:formatCode>
                <c:ptCount val="10"/>
                <c:pt idx="0">
                  <c:v>67.678479463063553</c:v>
                </c:pt>
                <c:pt idx="1">
                  <c:v>57.788223811969416</c:v>
                </c:pt>
                <c:pt idx="2">
                  <c:v>53.621882530067857</c:v>
                </c:pt>
                <c:pt idx="3">
                  <c:v>51.9</c:v>
                </c:pt>
                <c:pt idx="4">
                  <c:v>57</c:v>
                </c:pt>
                <c:pt idx="5">
                  <c:v>56.5</c:v>
                </c:pt>
                <c:pt idx="6">
                  <c:v>51.208602656234412</c:v>
                </c:pt>
                <c:pt idx="7">
                  <c:v>49.825419939402884</c:v>
                </c:pt>
                <c:pt idx="8">
                  <c:v>48.774122946909166</c:v>
                </c:pt>
                <c:pt idx="9">
                  <c:v>47.586218142100698</c:v>
                </c:pt>
              </c:numCache>
            </c:numRef>
          </c:val>
          <c:smooth val="0"/>
          <c:extLst>
            <c:ext xmlns:c16="http://schemas.microsoft.com/office/drawing/2014/chart" uri="{C3380CC4-5D6E-409C-BE32-E72D297353CC}">
              <c16:uniqueId val="{0000000F-DCE3-4A28-9C03-FA4C279F8AEA}"/>
            </c:ext>
          </c:extLst>
        </c:ser>
        <c:ser>
          <c:idx val="10"/>
          <c:order val="10"/>
          <c:spPr>
            <a:ln w="28575" cap="rnd" cmpd="sng" algn="ctr">
              <a:solidFill>
                <a:schemeClr val="accent1">
                  <a:tint val="52000"/>
                  <a:shade val="95000"/>
                  <a:satMod val="105000"/>
                </a:schemeClr>
              </a:solidFill>
              <a:prstDash val="solid"/>
              <a:round/>
            </a:ln>
            <a:effectLst/>
          </c:spPr>
          <c:marker>
            <c:symbol val="none"/>
          </c:marker>
          <c:cat>
            <c:numRef>
              <c:f>'uticaj promene kursa'!$H$56:$Q$56</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kursa'!$H$66:$Q$66</c:f>
              <c:numCache>
                <c:formatCode>#,##0.0</c:formatCode>
                <c:ptCount val="10"/>
                <c:pt idx="0">
                  <c:v>67.678479463063553</c:v>
                </c:pt>
                <c:pt idx="1">
                  <c:v>57.788223811969416</c:v>
                </c:pt>
                <c:pt idx="2">
                  <c:v>53.621882530067857</c:v>
                </c:pt>
                <c:pt idx="3">
                  <c:v>51.9</c:v>
                </c:pt>
                <c:pt idx="4">
                  <c:v>57</c:v>
                </c:pt>
                <c:pt idx="5">
                  <c:v>56.5</c:v>
                </c:pt>
                <c:pt idx="6">
                  <c:v>50.415501652349668</c:v>
                </c:pt>
                <c:pt idx="7">
                  <c:v>49.053741187725237</c:v>
                </c:pt>
                <c:pt idx="8">
                  <c:v>48.029401973237476</c:v>
                </c:pt>
                <c:pt idx="9">
                  <c:v>46.870037601500528</c:v>
                </c:pt>
              </c:numCache>
            </c:numRef>
          </c:val>
          <c:smooth val="0"/>
          <c:extLst>
            <c:ext xmlns:c16="http://schemas.microsoft.com/office/drawing/2014/chart" uri="{C3380CC4-5D6E-409C-BE32-E72D297353CC}">
              <c16:uniqueId val="{00000010-DCE3-4A28-9C03-FA4C279F8AEA}"/>
            </c:ext>
          </c:extLst>
        </c:ser>
        <c:ser>
          <c:idx val="11"/>
          <c:order val="11"/>
          <c:spPr>
            <a:ln w="28575" cap="rnd" cmpd="sng" algn="ctr">
              <a:solidFill>
                <a:schemeClr val="accent1">
                  <a:tint val="41000"/>
                  <a:shade val="95000"/>
                  <a:satMod val="105000"/>
                </a:schemeClr>
              </a:solidFill>
              <a:prstDash val="solid"/>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11-DCE3-4A28-9C03-FA4C279F8AEA}"/>
                </c:ext>
              </c:extLst>
            </c:dLbl>
            <c:dLbl>
              <c:idx val="1"/>
              <c:delete val="1"/>
              <c:extLst>
                <c:ext xmlns:c15="http://schemas.microsoft.com/office/drawing/2012/chart" uri="{CE6537A1-D6FC-4f65-9D91-7224C49458BB}"/>
                <c:ext xmlns:c16="http://schemas.microsoft.com/office/drawing/2014/chart" uri="{C3380CC4-5D6E-409C-BE32-E72D297353CC}">
                  <c16:uniqueId val="{00000012-DCE3-4A28-9C03-FA4C279F8AEA}"/>
                </c:ext>
              </c:extLst>
            </c:dLbl>
            <c:dLbl>
              <c:idx val="2"/>
              <c:delete val="1"/>
              <c:extLst>
                <c:ext xmlns:c15="http://schemas.microsoft.com/office/drawing/2012/chart" uri="{CE6537A1-D6FC-4f65-9D91-7224C49458BB}"/>
                <c:ext xmlns:c16="http://schemas.microsoft.com/office/drawing/2014/chart" uri="{C3380CC4-5D6E-409C-BE32-E72D297353CC}">
                  <c16:uniqueId val="{00000013-DCE3-4A28-9C03-FA4C279F8AEA}"/>
                </c:ext>
              </c:extLst>
            </c:dLbl>
            <c:dLbl>
              <c:idx val="3"/>
              <c:delete val="1"/>
              <c:extLst>
                <c:ext xmlns:c15="http://schemas.microsoft.com/office/drawing/2012/chart" uri="{CE6537A1-D6FC-4f65-9D91-7224C49458BB}"/>
                <c:ext xmlns:c16="http://schemas.microsoft.com/office/drawing/2014/chart" uri="{C3380CC4-5D6E-409C-BE32-E72D297353CC}">
                  <c16:uniqueId val="{00000014-DCE3-4A28-9C03-FA4C279F8AEA}"/>
                </c:ext>
              </c:extLst>
            </c:dLbl>
            <c:dLbl>
              <c:idx val="4"/>
              <c:delete val="1"/>
              <c:extLst>
                <c:ext xmlns:c15="http://schemas.microsoft.com/office/drawing/2012/chart" uri="{CE6537A1-D6FC-4f65-9D91-7224C49458BB}"/>
                <c:ext xmlns:c16="http://schemas.microsoft.com/office/drawing/2014/chart" uri="{C3380CC4-5D6E-409C-BE32-E72D297353CC}">
                  <c16:uniqueId val="{00000015-DCE3-4A28-9C03-FA4C279F8AEA}"/>
                </c:ext>
              </c:extLst>
            </c:dLbl>
            <c:dLbl>
              <c:idx val="5"/>
              <c:delete val="1"/>
              <c:extLst>
                <c:ext xmlns:c15="http://schemas.microsoft.com/office/drawing/2012/chart" uri="{CE6537A1-D6FC-4f65-9D91-7224C49458BB}"/>
                <c:ext xmlns:c16="http://schemas.microsoft.com/office/drawing/2014/chart" uri="{C3380CC4-5D6E-409C-BE32-E72D297353CC}">
                  <c16:uniqueId val="{00000016-DCE3-4A28-9C03-FA4C279F8AEA}"/>
                </c:ext>
              </c:extLst>
            </c:dLbl>
            <c:dLbl>
              <c:idx val="8"/>
              <c:layout>
                <c:manualLayout>
                  <c:x val="-6.6969392529296345E-2"/>
                  <c:y val="3.221448280503398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DCE3-4A28-9C03-FA4C279F8AEA}"/>
                </c:ext>
              </c:extLst>
            </c:dLbl>
            <c:dLbl>
              <c:idx val="9"/>
              <c:layout>
                <c:manualLayout>
                  <c:x val="-5.4612185148249165E-3"/>
                  <c:y val="1.80015288129680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DCE3-4A28-9C03-FA4C279F8AEA}"/>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mn-lt"/>
                    <a:ea typeface="+mn-ea"/>
                    <a:cs typeface="+mn-cs"/>
                  </a:defRPr>
                </a:pPr>
                <a:endParaRPr lang="sr-Latn-R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'uticaj promene kursa'!$H$56:$Q$56</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kursa'!$H$67:$Q$67</c:f>
              <c:numCache>
                <c:formatCode>#,##0.0</c:formatCode>
                <c:ptCount val="10"/>
                <c:pt idx="0">
                  <c:v>67.678479463063553</c:v>
                </c:pt>
                <c:pt idx="1">
                  <c:v>57.788223811969416</c:v>
                </c:pt>
                <c:pt idx="2">
                  <c:v>53.621882530067857</c:v>
                </c:pt>
                <c:pt idx="3">
                  <c:v>51.9</c:v>
                </c:pt>
                <c:pt idx="4">
                  <c:v>57</c:v>
                </c:pt>
                <c:pt idx="5">
                  <c:v>56.5</c:v>
                </c:pt>
                <c:pt idx="6">
                  <c:v>49.622400648464918</c:v>
                </c:pt>
                <c:pt idx="7">
                  <c:v>48.282062436047582</c:v>
                </c:pt>
                <c:pt idx="8">
                  <c:v>47.284680999565779</c:v>
                </c:pt>
                <c:pt idx="9">
                  <c:v>46.153857060900343</c:v>
                </c:pt>
              </c:numCache>
            </c:numRef>
          </c:val>
          <c:smooth val="0"/>
          <c:extLst>
            <c:ext xmlns:c16="http://schemas.microsoft.com/office/drawing/2014/chart" uri="{C3380CC4-5D6E-409C-BE32-E72D297353CC}">
              <c16:uniqueId val="{00000019-DCE3-4A28-9C03-FA4C279F8AEA}"/>
            </c:ext>
          </c:extLst>
        </c:ser>
        <c:dLbls>
          <c:showLegendKey val="0"/>
          <c:showVal val="0"/>
          <c:showCatName val="0"/>
          <c:showSerName val="0"/>
          <c:showPercent val="0"/>
          <c:showBubbleSize val="0"/>
        </c:dLbls>
        <c:marker val="1"/>
        <c:smooth val="0"/>
        <c:axId val="75069312"/>
        <c:axId val="75070848"/>
      </c:lineChart>
      <c:catAx>
        <c:axId val="75069312"/>
        <c:scaling>
          <c:orientation val="minMax"/>
        </c:scaling>
        <c:delete val="0"/>
        <c:axPos val="b"/>
        <c:majorGridlines>
          <c:spPr>
            <a:ln w="9525" cap="flat" cmpd="sng" algn="ctr">
              <a:noFill/>
              <a:prstDash val="solid"/>
              <a:round/>
            </a:ln>
            <a:effectLst/>
          </c:spPr>
        </c:majorGridlines>
        <c:minorGridlines>
          <c:spPr>
            <a:ln w="9525" cap="flat" cmpd="sng" algn="ctr">
              <a:noFill/>
              <a:prstDash val="solid"/>
              <a:round/>
            </a:ln>
            <a:effectLst/>
          </c:spPr>
        </c:minorGridlines>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1" i="0" u="none" strike="noStrike" kern="1200" baseline="0">
                <a:solidFill>
                  <a:schemeClr val="tx1"/>
                </a:solidFill>
                <a:latin typeface="+mn-lt"/>
                <a:ea typeface="+mn-ea"/>
                <a:cs typeface="+mn-cs"/>
              </a:defRPr>
            </a:pPr>
            <a:endParaRPr lang="sr-Latn-RS"/>
          </a:p>
        </c:txPr>
        <c:crossAx val="75070848"/>
        <c:crosses val="autoZero"/>
        <c:auto val="0"/>
        <c:lblAlgn val="ctr"/>
        <c:lblOffset val="100"/>
        <c:noMultiLvlLbl val="0"/>
      </c:catAx>
      <c:valAx>
        <c:axId val="75070848"/>
        <c:scaling>
          <c:orientation val="minMax"/>
          <c:max val="70"/>
          <c:min val="45"/>
        </c:scaling>
        <c:delete val="0"/>
        <c:axPos val="l"/>
        <c:majorGridlines>
          <c:spPr>
            <a:ln w="9525" cap="flat" cmpd="sng" algn="ctr">
              <a:noFill/>
              <a:prstDash val="solid"/>
              <a:round/>
            </a:ln>
            <a:effectLst/>
          </c:spPr>
        </c:majorGridlines>
        <c:numFmt formatCode="#,##0.0"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800" b="1" i="0" u="none" strike="noStrike" kern="1200" baseline="0">
                <a:solidFill>
                  <a:schemeClr val="tx1"/>
                </a:solidFill>
                <a:latin typeface="+mn-lt"/>
                <a:ea typeface="+mn-ea"/>
                <a:cs typeface="+mn-cs"/>
              </a:defRPr>
            </a:pPr>
            <a:endParaRPr lang="sr-Latn-RS"/>
          </a:p>
        </c:txPr>
        <c:crossAx val="75069312"/>
        <c:crosses val="autoZero"/>
        <c:crossBetween val="between"/>
        <c:majorUnit val="10"/>
        <c:minorUnit val="2"/>
      </c:valAx>
      <c:spPr>
        <a:no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a:pPr>
      <a:endParaRPr lang="sr-Latn-RS"/>
    </a:p>
  </c:txPr>
  <c:externalData r:id="rId3">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226683248905174"/>
          <c:y val="2.5495286851048279E-2"/>
          <c:w val="0.88712953744844747"/>
          <c:h val="0.57572566472669173"/>
        </c:manualLayout>
      </c:layout>
      <c:lineChart>
        <c:grouping val="standard"/>
        <c:varyColors val="0"/>
        <c:ser>
          <c:idx val="2"/>
          <c:order val="2"/>
          <c:tx>
            <c:strRef>
              <c:f>'[Chart in Microsoft Word]Benchmark stope na sekundarnom'!$D$2</c:f>
              <c:strCache>
                <c:ptCount val="1"/>
                <c:pt idx="0">
                  <c:v>7Г 2019  RSMFRSD89592</c:v>
                </c:pt>
              </c:strCache>
            </c:strRef>
          </c:tx>
          <c:marker>
            <c:symbol val="none"/>
          </c:marker>
          <c:cat>
            <c:strRef>
              <c:f>'[Chart in Microsoft Word]Benchmark stope na sekundarnom'!$A$3:$A$51</c:f>
              <c:strCache>
                <c:ptCount val="39"/>
                <c:pt idx="0">
                  <c:v>јануар 2019</c:v>
                </c:pt>
                <c:pt idx="1">
                  <c:v>фебруар 2019</c:v>
                </c:pt>
                <c:pt idx="2">
                  <c:v>март 2019</c:v>
                </c:pt>
                <c:pt idx="3">
                  <c:v>април 2019</c:v>
                </c:pt>
                <c:pt idx="4">
                  <c:v>мај 2019</c:v>
                </c:pt>
                <c:pt idx="5">
                  <c:v>јун 2019</c:v>
                </c:pt>
                <c:pt idx="6">
                  <c:v>јул 2019</c:v>
                </c:pt>
                <c:pt idx="7">
                  <c:v>август 2019</c:v>
                </c:pt>
                <c:pt idx="8">
                  <c:v>септембар 2019</c:v>
                </c:pt>
                <c:pt idx="9">
                  <c:v>октобар 2019</c:v>
                </c:pt>
                <c:pt idx="10">
                  <c:v>новембар 2019</c:v>
                </c:pt>
                <c:pt idx="11">
                  <c:v>децембар 2019</c:v>
                </c:pt>
                <c:pt idx="12">
                  <c:v>јануар 2020</c:v>
                </c:pt>
                <c:pt idx="13">
                  <c:v>фебруар 2020</c:v>
                </c:pt>
                <c:pt idx="14">
                  <c:v>март 2020</c:v>
                </c:pt>
                <c:pt idx="15">
                  <c:v>април 2020</c:v>
                </c:pt>
                <c:pt idx="16">
                  <c:v>мај 2020</c:v>
                </c:pt>
                <c:pt idx="17">
                  <c:v>јун 2020</c:v>
                </c:pt>
                <c:pt idx="18">
                  <c:v>јул 2020</c:v>
                </c:pt>
                <c:pt idx="19">
                  <c:v>август 2020</c:v>
                </c:pt>
                <c:pt idx="20">
                  <c:v>септембар 2020</c:v>
                </c:pt>
                <c:pt idx="21">
                  <c:v>октобар 2020</c:v>
                </c:pt>
                <c:pt idx="22">
                  <c:v>новембар 2020</c:v>
                </c:pt>
                <c:pt idx="23">
                  <c:v>децембар 2020</c:v>
                </c:pt>
                <c:pt idx="24">
                  <c:v>јануар 2021</c:v>
                </c:pt>
                <c:pt idx="25">
                  <c:v>фебруар 2021</c:v>
                </c:pt>
                <c:pt idx="26">
                  <c:v>март 2021</c:v>
                </c:pt>
                <c:pt idx="27">
                  <c:v>април 2021</c:v>
                </c:pt>
                <c:pt idx="28">
                  <c:v>мај 2021</c:v>
                </c:pt>
                <c:pt idx="29">
                  <c:v>јун 2021</c:v>
                </c:pt>
                <c:pt idx="30">
                  <c:v>јул 2021</c:v>
                </c:pt>
                <c:pt idx="31">
                  <c:v>август 2021</c:v>
                </c:pt>
                <c:pt idx="32">
                  <c:v>септембар 2021</c:v>
                </c:pt>
                <c:pt idx="33">
                  <c:v>октобар 2021</c:v>
                </c:pt>
                <c:pt idx="34">
                  <c:v>новембар 2021</c:v>
                </c:pt>
                <c:pt idx="35">
                  <c:v>децембар 2021</c:v>
                </c:pt>
                <c:pt idx="36">
                  <c:v>јануар 2022</c:v>
                </c:pt>
                <c:pt idx="37">
                  <c:v>фебруар 2022</c:v>
                </c:pt>
                <c:pt idx="38">
                  <c:v>март 2022</c:v>
                </c:pt>
              </c:strCache>
            </c:strRef>
          </c:cat>
          <c:val>
            <c:numRef>
              <c:f>'[Chart in Microsoft Word]Benchmark stope na sekundarnom'!$D$3:$D$51</c:f>
              <c:numCache>
                <c:formatCode>0.00%</c:formatCode>
                <c:ptCount val="39"/>
                <c:pt idx="0">
                  <c:v>4.5400000000000003E-2</c:v>
                </c:pt>
                <c:pt idx="1">
                  <c:v>4.4999999999999998E-2</c:v>
                </c:pt>
                <c:pt idx="2">
                  <c:v>4.5400000000000003E-2</c:v>
                </c:pt>
                <c:pt idx="3">
                  <c:v>4.4900000000000002E-2</c:v>
                </c:pt>
                <c:pt idx="4">
                  <c:v>4.2000000000000003E-2</c:v>
                </c:pt>
                <c:pt idx="5">
                  <c:v>0.04</c:v>
                </c:pt>
                <c:pt idx="6">
                  <c:v>3.5999999999999997E-2</c:v>
                </c:pt>
                <c:pt idx="7">
                  <c:v>3.5000000000000003E-2</c:v>
                </c:pt>
                <c:pt idx="8">
                  <c:v>3.4000000000000002E-2</c:v>
                </c:pt>
                <c:pt idx="9">
                  <c:v>3.2000000000000001E-2</c:v>
                </c:pt>
                <c:pt idx="10">
                  <c:v>2.8500000000000001E-2</c:v>
                </c:pt>
                <c:pt idx="11">
                  <c:v>2.8299999999999999E-2</c:v>
                </c:pt>
                <c:pt idx="12">
                  <c:v>2.9000000000000001E-2</c:v>
                </c:pt>
                <c:pt idx="13">
                  <c:v>2.81E-2</c:v>
                </c:pt>
                <c:pt idx="14">
                  <c:v>2.6800000000000001E-2</c:v>
                </c:pt>
                <c:pt idx="15">
                  <c:v>3.2800000000000003E-2</c:v>
                </c:pt>
                <c:pt idx="16">
                  <c:v>3.2099999999999997E-2</c:v>
                </c:pt>
                <c:pt idx="17">
                  <c:v>2.8400000000000002E-2</c:v>
                </c:pt>
                <c:pt idx="18">
                  <c:v>2.8000000000000001E-2</c:v>
                </c:pt>
                <c:pt idx="19">
                  <c:v>2.8000000000000001E-2</c:v>
                </c:pt>
                <c:pt idx="20">
                  <c:v>2.7199999999999998E-2</c:v>
                </c:pt>
                <c:pt idx="21">
                  <c:v>2.8500000000000001E-2</c:v>
                </c:pt>
                <c:pt idx="22">
                  <c:v>2.8400000000000002E-2</c:v>
                </c:pt>
                <c:pt idx="23">
                  <c:v>2.63E-2</c:v>
                </c:pt>
                <c:pt idx="24">
                  <c:v>2.7300000000000001E-2</c:v>
                </c:pt>
                <c:pt idx="25">
                  <c:v>2.1999999999999999E-2</c:v>
                </c:pt>
                <c:pt idx="26">
                  <c:v>2.29E-2</c:v>
                </c:pt>
                <c:pt idx="27">
                  <c:v>2.3300000000000001E-2</c:v>
                </c:pt>
                <c:pt idx="28">
                  <c:v>2.4799999999999999E-2</c:v>
                </c:pt>
                <c:pt idx="29">
                  <c:v>2.4E-2</c:v>
                </c:pt>
                <c:pt idx="30">
                  <c:v>2.1700000000000001E-2</c:v>
                </c:pt>
                <c:pt idx="31">
                  <c:v>2.2224666666666667E-2</c:v>
                </c:pt>
                <c:pt idx="32">
                  <c:v>2.329545454545455E-2</c:v>
                </c:pt>
                <c:pt idx="33">
                  <c:v>2.8420000000000001E-2</c:v>
                </c:pt>
                <c:pt idx="34">
                  <c:v>3.3058333333333328E-2</c:v>
                </c:pt>
                <c:pt idx="35">
                  <c:v>3.4550000000000004E-2</c:v>
                </c:pt>
                <c:pt idx="36">
                  <c:v>3.2056774193548396E-2</c:v>
                </c:pt>
                <c:pt idx="37">
                  <c:v>3.1131527777777786E-2</c:v>
                </c:pt>
                <c:pt idx="38">
                  <c:v>4.1449999999999994E-2</c:v>
                </c:pt>
              </c:numCache>
            </c:numRef>
          </c:val>
          <c:smooth val="0"/>
          <c:extLst>
            <c:ext xmlns:c16="http://schemas.microsoft.com/office/drawing/2014/chart" uri="{C3380CC4-5D6E-409C-BE32-E72D297353CC}">
              <c16:uniqueId val="{00000000-6314-4388-A56E-F7B55E90548A}"/>
            </c:ext>
          </c:extLst>
        </c:ser>
        <c:ser>
          <c:idx val="4"/>
          <c:order val="3"/>
          <c:tx>
            <c:strRef>
              <c:f>'[Chart in Microsoft Word]Benchmark stope na sekundarnom'!$E$2</c:f>
              <c:strCache>
                <c:ptCount val="1"/>
                <c:pt idx="0">
                  <c:v>10Г 2018 RSMFRSD55940</c:v>
                </c:pt>
              </c:strCache>
            </c:strRef>
          </c:tx>
          <c:marker>
            <c:symbol val="none"/>
          </c:marker>
          <c:cat>
            <c:strRef>
              <c:f>'[Chart in Microsoft Word]Benchmark stope na sekundarnom'!$A$3:$A$51</c:f>
              <c:strCache>
                <c:ptCount val="39"/>
                <c:pt idx="0">
                  <c:v>јануар 2019</c:v>
                </c:pt>
                <c:pt idx="1">
                  <c:v>фебруар 2019</c:v>
                </c:pt>
                <c:pt idx="2">
                  <c:v>март 2019</c:v>
                </c:pt>
                <c:pt idx="3">
                  <c:v>април 2019</c:v>
                </c:pt>
                <c:pt idx="4">
                  <c:v>мај 2019</c:v>
                </c:pt>
                <c:pt idx="5">
                  <c:v>јун 2019</c:v>
                </c:pt>
                <c:pt idx="6">
                  <c:v>јул 2019</c:v>
                </c:pt>
                <c:pt idx="7">
                  <c:v>август 2019</c:v>
                </c:pt>
                <c:pt idx="8">
                  <c:v>септембар 2019</c:v>
                </c:pt>
                <c:pt idx="9">
                  <c:v>октобар 2019</c:v>
                </c:pt>
                <c:pt idx="10">
                  <c:v>новембар 2019</c:v>
                </c:pt>
                <c:pt idx="11">
                  <c:v>децембар 2019</c:v>
                </c:pt>
                <c:pt idx="12">
                  <c:v>јануар 2020</c:v>
                </c:pt>
                <c:pt idx="13">
                  <c:v>фебруар 2020</c:v>
                </c:pt>
                <c:pt idx="14">
                  <c:v>март 2020</c:v>
                </c:pt>
                <c:pt idx="15">
                  <c:v>април 2020</c:v>
                </c:pt>
                <c:pt idx="16">
                  <c:v>мај 2020</c:v>
                </c:pt>
                <c:pt idx="17">
                  <c:v>јун 2020</c:v>
                </c:pt>
                <c:pt idx="18">
                  <c:v>јул 2020</c:v>
                </c:pt>
                <c:pt idx="19">
                  <c:v>август 2020</c:v>
                </c:pt>
                <c:pt idx="20">
                  <c:v>септембар 2020</c:v>
                </c:pt>
                <c:pt idx="21">
                  <c:v>октобар 2020</c:v>
                </c:pt>
                <c:pt idx="22">
                  <c:v>новембар 2020</c:v>
                </c:pt>
                <c:pt idx="23">
                  <c:v>децембар 2020</c:v>
                </c:pt>
                <c:pt idx="24">
                  <c:v>јануар 2021</c:v>
                </c:pt>
                <c:pt idx="25">
                  <c:v>фебруар 2021</c:v>
                </c:pt>
                <c:pt idx="26">
                  <c:v>март 2021</c:v>
                </c:pt>
                <c:pt idx="27">
                  <c:v>април 2021</c:v>
                </c:pt>
                <c:pt idx="28">
                  <c:v>мај 2021</c:v>
                </c:pt>
                <c:pt idx="29">
                  <c:v>јун 2021</c:v>
                </c:pt>
                <c:pt idx="30">
                  <c:v>јул 2021</c:v>
                </c:pt>
                <c:pt idx="31">
                  <c:v>август 2021</c:v>
                </c:pt>
                <c:pt idx="32">
                  <c:v>септембар 2021</c:v>
                </c:pt>
                <c:pt idx="33">
                  <c:v>октобар 2021</c:v>
                </c:pt>
                <c:pt idx="34">
                  <c:v>новембар 2021</c:v>
                </c:pt>
                <c:pt idx="35">
                  <c:v>децембар 2021</c:v>
                </c:pt>
                <c:pt idx="36">
                  <c:v>јануар 2022</c:v>
                </c:pt>
                <c:pt idx="37">
                  <c:v>фебруар 2022</c:v>
                </c:pt>
                <c:pt idx="38">
                  <c:v>март 2022</c:v>
                </c:pt>
              </c:strCache>
            </c:strRef>
          </c:cat>
          <c:val>
            <c:numRef>
              <c:f>'[Chart in Microsoft Word]Benchmark stope na sekundarnom'!$E$3:$E$51</c:f>
              <c:numCache>
                <c:formatCode>0.00%</c:formatCode>
                <c:ptCount val="39"/>
                <c:pt idx="0">
                  <c:v>4.87E-2</c:v>
                </c:pt>
                <c:pt idx="1">
                  <c:v>4.87E-2</c:v>
                </c:pt>
                <c:pt idx="2">
                  <c:v>4.8300000000000003E-2</c:v>
                </c:pt>
                <c:pt idx="3">
                  <c:v>4.8000000000000001E-2</c:v>
                </c:pt>
                <c:pt idx="4">
                  <c:v>4.8000000000000001E-2</c:v>
                </c:pt>
                <c:pt idx="5">
                  <c:v>4.5999999999999999E-2</c:v>
                </c:pt>
                <c:pt idx="6">
                  <c:v>3.7499999999999999E-2</c:v>
                </c:pt>
                <c:pt idx="7">
                  <c:v>3.3500000000000002E-2</c:v>
                </c:pt>
                <c:pt idx="8">
                  <c:v>3.4000000000000002E-2</c:v>
                </c:pt>
                <c:pt idx="9">
                  <c:v>3.3000000000000002E-2</c:v>
                </c:pt>
                <c:pt idx="10">
                  <c:v>2.9000000000000001E-2</c:v>
                </c:pt>
                <c:pt idx="11">
                  <c:v>2.9600000000000001E-2</c:v>
                </c:pt>
                <c:pt idx="12">
                  <c:v>3.0200000000000001E-2</c:v>
                </c:pt>
                <c:pt idx="13">
                  <c:v>0.03</c:v>
                </c:pt>
                <c:pt idx="14">
                  <c:v>2.9000000000000001E-2</c:v>
                </c:pt>
                <c:pt idx="15">
                  <c:v>0.03</c:v>
                </c:pt>
                <c:pt idx="16">
                  <c:v>3.4000000000000002E-2</c:v>
                </c:pt>
                <c:pt idx="17">
                  <c:v>3.2800000000000003E-2</c:v>
                </c:pt>
                <c:pt idx="18">
                  <c:v>3.2500000000000001E-2</c:v>
                </c:pt>
                <c:pt idx="19">
                  <c:v>3.3000000000000002E-2</c:v>
                </c:pt>
                <c:pt idx="20">
                  <c:v>3.3000000000000002E-2</c:v>
                </c:pt>
                <c:pt idx="21">
                  <c:v>3.3500000000000002E-2</c:v>
                </c:pt>
                <c:pt idx="22">
                  <c:v>3.2300000000000002E-2</c:v>
                </c:pt>
                <c:pt idx="23">
                  <c:v>2.9700000000000001E-2</c:v>
                </c:pt>
                <c:pt idx="24">
                  <c:v>2.76E-2</c:v>
                </c:pt>
                <c:pt idx="25">
                  <c:v>2.4400000000000002E-2</c:v>
                </c:pt>
                <c:pt idx="26">
                  <c:v>2.4799999999999999E-2</c:v>
                </c:pt>
                <c:pt idx="27">
                  <c:v>2.5256333333333332E-2</c:v>
                </c:pt>
                <c:pt idx="28">
                  <c:v>2.7000263157894732E-2</c:v>
                </c:pt>
                <c:pt idx="29">
                  <c:v>2.6588397435897464E-2</c:v>
                </c:pt>
                <c:pt idx="30">
                  <c:v>2.3875935828876992E-2</c:v>
                </c:pt>
                <c:pt idx="31">
                  <c:v>2.404166666666667E-2</c:v>
                </c:pt>
                <c:pt idx="32">
                  <c:v>2.5280769230769225E-2</c:v>
                </c:pt>
                <c:pt idx="33">
                  <c:v>3.1092307692307693E-2</c:v>
                </c:pt>
                <c:pt idx="34">
                  <c:v>3.5866666666666665E-2</c:v>
                </c:pt>
                <c:pt idx="35">
                  <c:v>3.766923076923076E-2</c:v>
                </c:pt>
                <c:pt idx="36">
                  <c:v>3.6728571428571423E-2</c:v>
                </c:pt>
                <c:pt idx="37">
                  <c:v>3.356E-2</c:v>
                </c:pt>
                <c:pt idx="38">
                  <c:v>4.6692307692307693E-2</c:v>
                </c:pt>
              </c:numCache>
            </c:numRef>
          </c:val>
          <c:smooth val="0"/>
          <c:extLst>
            <c:ext xmlns:c16="http://schemas.microsoft.com/office/drawing/2014/chart" uri="{C3380CC4-5D6E-409C-BE32-E72D297353CC}">
              <c16:uniqueId val="{00000001-6314-4388-A56E-F7B55E90548A}"/>
            </c:ext>
          </c:extLst>
        </c:ser>
        <c:ser>
          <c:idx val="3"/>
          <c:order val="4"/>
          <c:tx>
            <c:strRef>
              <c:f>'[Chart in Microsoft Word]Benchmark stope na sekundarnom'!$F$2</c:f>
              <c:strCache>
                <c:ptCount val="1"/>
                <c:pt idx="0">
                  <c:v>12,5Г 2020 RSMFRSD86176</c:v>
                </c:pt>
              </c:strCache>
            </c:strRef>
          </c:tx>
          <c:marker>
            <c:symbol val="none"/>
          </c:marker>
          <c:cat>
            <c:strRef>
              <c:f>'[Chart in Microsoft Word]Benchmark stope na sekundarnom'!$A$3:$A$51</c:f>
              <c:strCache>
                <c:ptCount val="39"/>
                <c:pt idx="0">
                  <c:v>јануар 2019</c:v>
                </c:pt>
                <c:pt idx="1">
                  <c:v>фебруар 2019</c:v>
                </c:pt>
                <c:pt idx="2">
                  <c:v>март 2019</c:v>
                </c:pt>
                <c:pt idx="3">
                  <c:v>април 2019</c:v>
                </c:pt>
                <c:pt idx="4">
                  <c:v>мај 2019</c:v>
                </c:pt>
                <c:pt idx="5">
                  <c:v>јун 2019</c:v>
                </c:pt>
                <c:pt idx="6">
                  <c:v>јул 2019</c:v>
                </c:pt>
                <c:pt idx="7">
                  <c:v>август 2019</c:v>
                </c:pt>
                <c:pt idx="8">
                  <c:v>септембар 2019</c:v>
                </c:pt>
                <c:pt idx="9">
                  <c:v>октобар 2019</c:v>
                </c:pt>
                <c:pt idx="10">
                  <c:v>новембар 2019</c:v>
                </c:pt>
                <c:pt idx="11">
                  <c:v>децембар 2019</c:v>
                </c:pt>
                <c:pt idx="12">
                  <c:v>јануар 2020</c:v>
                </c:pt>
                <c:pt idx="13">
                  <c:v>фебруар 2020</c:v>
                </c:pt>
                <c:pt idx="14">
                  <c:v>март 2020</c:v>
                </c:pt>
                <c:pt idx="15">
                  <c:v>април 2020</c:v>
                </c:pt>
                <c:pt idx="16">
                  <c:v>мај 2020</c:v>
                </c:pt>
                <c:pt idx="17">
                  <c:v>јун 2020</c:v>
                </c:pt>
                <c:pt idx="18">
                  <c:v>јул 2020</c:v>
                </c:pt>
                <c:pt idx="19">
                  <c:v>август 2020</c:v>
                </c:pt>
                <c:pt idx="20">
                  <c:v>септембар 2020</c:v>
                </c:pt>
                <c:pt idx="21">
                  <c:v>октобар 2020</c:v>
                </c:pt>
                <c:pt idx="22">
                  <c:v>новембар 2020</c:v>
                </c:pt>
                <c:pt idx="23">
                  <c:v>децембар 2020</c:v>
                </c:pt>
                <c:pt idx="24">
                  <c:v>јануар 2021</c:v>
                </c:pt>
                <c:pt idx="25">
                  <c:v>фебруар 2021</c:v>
                </c:pt>
                <c:pt idx="26">
                  <c:v>март 2021</c:v>
                </c:pt>
                <c:pt idx="27">
                  <c:v>април 2021</c:v>
                </c:pt>
                <c:pt idx="28">
                  <c:v>мај 2021</c:v>
                </c:pt>
                <c:pt idx="29">
                  <c:v>јун 2021</c:v>
                </c:pt>
                <c:pt idx="30">
                  <c:v>јул 2021</c:v>
                </c:pt>
                <c:pt idx="31">
                  <c:v>август 2021</c:v>
                </c:pt>
                <c:pt idx="32">
                  <c:v>септембар 2021</c:v>
                </c:pt>
                <c:pt idx="33">
                  <c:v>октобар 2021</c:v>
                </c:pt>
                <c:pt idx="34">
                  <c:v>новембар 2021</c:v>
                </c:pt>
                <c:pt idx="35">
                  <c:v>децембар 2021</c:v>
                </c:pt>
                <c:pt idx="36">
                  <c:v>јануар 2022</c:v>
                </c:pt>
                <c:pt idx="37">
                  <c:v>фебруар 2022</c:v>
                </c:pt>
                <c:pt idx="38">
                  <c:v>март 2022</c:v>
                </c:pt>
              </c:strCache>
            </c:strRef>
          </c:cat>
          <c:val>
            <c:numRef>
              <c:f>'[Chart in Microsoft Word]Benchmark stope na sekundarnom'!$F$3:$F$51</c:f>
              <c:numCache>
                <c:formatCode>General</c:formatCode>
                <c:ptCount val="39"/>
                <c:pt idx="13" formatCode="0.00%">
                  <c:v>3.3399999999999999E-2</c:v>
                </c:pt>
                <c:pt idx="14" formatCode="0.00%">
                  <c:v>3.3300000000000003E-2</c:v>
                </c:pt>
                <c:pt idx="15" formatCode="0.00%">
                  <c:v>3.5400000000000001E-2</c:v>
                </c:pt>
                <c:pt idx="16" formatCode="0.00%">
                  <c:v>3.6700000000000003E-2</c:v>
                </c:pt>
                <c:pt idx="17" formatCode="0.00%">
                  <c:v>3.73E-2</c:v>
                </c:pt>
                <c:pt idx="18" formatCode="0.00%">
                  <c:v>3.8899999999999997E-2</c:v>
                </c:pt>
                <c:pt idx="19" formatCode="0.00%">
                  <c:v>3.8800000000000001E-2</c:v>
                </c:pt>
                <c:pt idx="20" formatCode="0.00%">
                  <c:v>3.9199999999999999E-2</c:v>
                </c:pt>
                <c:pt idx="21" formatCode="0.00%">
                  <c:v>4.2500000000000003E-2</c:v>
                </c:pt>
                <c:pt idx="22" formatCode="0.00%">
                  <c:v>4.07E-2</c:v>
                </c:pt>
                <c:pt idx="23" formatCode="0.00%">
                  <c:v>3.7100000000000001E-2</c:v>
                </c:pt>
                <c:pt idx="24" formatCode="0.00%">
                  <c:v>3.44E-2</c:v>
                </c:pt>
                <c:pt idx="25" formatCode="0.00%">
                  <c:v>3.3000000000000002E-2</c:v>
                </c:pt>
                <c:pt idx="26" formatCode="0.00%">
                  <c:v>3.44E-2</c:v>
                </c:pt>
                <c:pt idx="27" formatCode="0.00%">
                  <c:v>3.3971854838709702E-2</c:v>
                </c:pt>
                <c:pt idx="28" formatCode="0.00%">
                  <c:v>3.5000000000000003E-2</c:v>
                </c:pt>
                <c:pt idx="29" formatCode="0.00%">
                  <c:v>3.5099999999999999E-2</c:v>
                </c:pt>
                <c:pt idx="30" formatCode="0.00%">
                  <c:v>3.32E-2</c:v>
                </c:pt>
                <c:pt idx="31" formatCode="0.00%">
                  <c:v>3.3500000000000002E-2</c:v>
                </c:pt>
                <c:pt idx="32" formatCode="0.00%">
                  <c:v>3.4349999999999992E-2</c:v>
                </c:pt>
                <c:pt idx="33" formatCode="0.00%">
                  <c:v>3.7684615384615386E-2</c:v>
                </c:pt>
                <c:pt idx="34" formatCode="0.00%">
                  <c:v>4.1300000000000003E-2</c:v>
                </c:pt>
                <c:pt idx="35" formatCode="0.00%">
                  <c:v>4.2173333333333327E-2</c:v>
                </c:pt>
                <c:pt idx="36" formatCode="0.00%">
                  <c:v>4.0392857142857133E-2</c:v>
                </c:pt>
                <c:pt idx="37" formatCode="0.00%">
                  <c:v>3.7976470588235292E-2</c:v>
                </c:pt>
                <c:pt idx="38" formatCode="0.00%">
                  <c:v>4.4943333333333335E-2</c:v>
                </c:pt>
              </c:numCache>
            </c:numRef>
          </c:val>
          <c:smooth val="0"/>
          <c:extLst>
            <c:ext xmlns:c16="http://schemas.microsoft.com/office/drawing/2014/chart" uri="{C3380CC4-5D6E-409C-BE32-E72D297353CC}">
              <c16:uniqueId val="{00000002-6314-4388-A56E-F7B55E90548A}"/>
            </c:ext>
          </c:extLst>
        </c:ser>
        <c:ser>
          <c:idx val="5"/>
          <c:order val="5"/>
          <c:tx>
            <c:strRef>
              <c:f>'[Chart in Microsoft Word]Benchmark stope na sekundarnom'!$G$2</c:f>
              <c:strCache>
                <c:ptCount val="1"/>
                <c:pt idx="0">
                  <c:v>Референтна КС НБС</c:v>
                </c:pt>
              </c:strCache>
            </c:strRef>
          </c:tx>
          <c:marker>
            <c:symbol val="none"/>
          </c:marker>
          <c:cat>
            <c:strRef>
              <c:f>'[Chart in Microsoft Word]Benchmark stope na sekundarnom'!$A$3:$A$51</c:f>
              <c:strCache>
                <c:ptCount val="39"/>
                <c:pt idx="0">
                  <c:v>јануар 2019</c:v>
                </c:pt>
                <c:pt idx="1">
                  <c:v>фебруар 2019</c:v>
                </c:pt>
                <c:pt idx="2">
                  <c:v>март 2019</c:v>
                </c:pt>
                <c:pt idx="3">
                  <c:v>април 2019</c:v>
                </c:pt>
                <c:pt idx="4">
                  <c:v>мај 2019</c:v>
                </c:pt>
                <c:pt idx="5">
                  <c:v>јун 2019</c:v>
                </c:pt>
                <c:pt idx="6">
                  <c:v>јул 2019</c:v>
                </c:pt>
                <c:pt idx="7">
                  <c:v>август 2019</c:v>
                </c:pt>
                <c:pt idx="8">
                  <c:v>септембар 2019</c:v>
                </c:pt>
                <c:pt idx="9">
                  <c:v>октобар 2019</c:v>
                </c:pt>
                <c:pt idx="10">
                  <c:v>новембар 2019</c:v>
                </c:pt>
                <c:pt idx="11">
                  <c:v>децембар 2019</c:v>
                </c:pt>
                <c:pt idx="12">
                  <c:v>јануар 2020</c:v>
                </c:pt>
                <c:pt idx="13">
                  <c:v>фебруар 2020</c:v>
                </c:pt>
                <c:pt idx="14">
                  <c:v>март 2020</c:v>
                </c:pt>
                <c:pt idx="15">
                  <c:v>април 2020</c:v>
                </c:pt>
                <c:pt idx="16">
                  <c:v>мај 2020</c:v>
                </c:pt>
                <c:pt idx="17">
                  <c:v>јун 2020</c:v>
                </c:pt>
                <c:pt idx="18">
                  <c:v>јул 2020</c:v>
                </c:pt>
                <c:pt idx="19">
                  <c:v>август 2020</c:v>
                </c:pt>
                <c:pt idx="20">
                  <c:v>септембар 2020</c:v>
                </c:pt>
                <c:pt idx="21">
                  <c:v>октобар 2020</c:v>
                </c:pt>
                <c:pt idx="22">
                  <c:v>новембар 2020</c:v>
                </c:pt>
                <c:pt idx="23">
                  <c:v>децембар 2020</c:v>
                </c:pt>
                <c:pt idx="24">
                  <c:v>јануар 2021</c:v>
                </c:pt>
                <c:pt idx="25">
                  <c:v>фебруар 2021</c:v>
                </c:pt>
                <c:pt idx="26">
                  <c:v>март 2021</c:v>
                </c:pt>
                <c:pt idx="27">
                  <c:v>април 2021</c:v>
                </c:pt>
                <c:pt idx="28">
                  <c:v>мај 2021</c:v>
                </c:pt>
                <c:pt idx="29">
                  <c:v>јун 2021</c:v>
                </c:pt>
                <c:pt idx="30">
                  <c:v>јул 2021</c:v>
                </c:pt>
                <c:pt idx="31">
                  <c:v>август 2021</c:v>
                </c:pt>
                <c:pt idx="32">
                  <c:v>септембар 2021</c:v>
                </c:pt>
                <c:pt idx="33">
                  <c:v>октобар 2021</c:v>
                </c:pt>
                <c:pt idx="34">
                  <c:v>новембар 2021</c:v>
                </c:pt>
                <c:pt idx="35">
                  <c:v>децембар 2021</c:v>
                </c:pt>
                <c:pt idx="36">
                  <c:v>јануар 2022</c:v>
                </c:pt>
                <c:pt idx="37">
                  <c:v>фебруар 2022</c:v>
                </c:pt>
                <c:pt idx="38">
                  <c:v>март 2022</c:v>
                </c:pt>
              </c:strCache>
            </c:strRef>
          </c:cat>
          <c:val>
            <c:numRef>
              <c:f>'[Chart in Microsoft Word]Benchmark stope na sekundarnom'!$G$3:$G$51</c:f>
              <c:numCache>
                <c:formatCode>0.00%</c:formatCode>
                <c:ptCount val="39"/>
                <c:pt idx="0">
                  <c:v>0.03</c:v>
                </c:pt>
                <c:pt idx="1">
                  <c:v>0.03</c:v>
                </c:pt>
                <c:pt idx="2">
                  <c:v>0.03</c:v>
                </c:pt>
                <c:pt idx="3">
                  <c:v>2.75E-2</c:v>
                </c:pt>
                <c:pt idx="4">
                  <c:v>2.75E-2</c:v>
                </c:pt>
                <c:pt idx="5">
                  <c:v>2.75E-2</c:v>
                </c:pt>
                <c:pt idx="6">
                  <c:v>2.75E-2</c:v>
                </c:pt>
                <c:pt idx="7">
                  <c:v>2.5000000000000001E-2</c:v>
                </c:pt>
                <c:pt idx="8">
                  <c:v>2.5000000000000001E-2</c:v>
                </c:pt>
                <c:pt idx="9">
                  <c:v>2.5000000000000001E-2</c:v>
                </c:pt>
                <c:pt idx="10">
                  <c:v>2.2499999999999999E-2</c:v>
                </c:pt>
                <c:pt idx="11">
                  <c:v>2.2499999999999999E-2</c:v>
                </c:pt>
                <c:pt idx="12">
                  <c:v>2.2499999999999999E-2</c:v>
                </c:pt>
                <c:pt idx="13">
                  <c:v>2.2499999999999999E-2</c:v>
                </c:pt>
                <c:pt idx="14">
                  <c:v>1.7500000000000002E-2</c:v>
                </c:pt>
                <c:pt idx="15">
                  <c:v>1.7500000000000002E-2</c:v>
                </c:pt>
                <c:pt idx="16">
                  <c:v>1.4999999999999999E-2</c:v>
                </c:pt>
                <c:pt idx="17">
                  <c:v>1.2500000000000001E-2</c:v>
                </c:pt>
                <c:pt idx="18">
                  <c:v>1.2500000000000001E-2</c:v>
                </c:pt>
                <c:pt idx="19">
                  <c:v>1.2500000000000001E-2</c:v>
                </c:pt>
                <c:pt idx="20">
                  <c:v>1.2500000000000001E-2</c:v>
                </c:pt>
                <c:pt idx="21">
                  <c:v>1.2500000000000001E-2</c:v>
                </c:pt>
                <c:pt idx="22">
                  <c:v>1.2500000000000001E-2</c:v>
                </c:pt>
                <c:pt idx="23">
                  <c:v>0.01</c:v>
                </c:pt>
                <c:pt idx="24">
                  <c:v>0.01</c:v>
                </c:pt>
                <c:pt idx="25">
                  <c:v>0.01</c:v>
                </c:pt>
                <c:pt idx="26">
                  <c:v>0.01</c:v>
                </c:pt>
                <c:pt idx="27">
                  <c:v>0.01</c:v>
                </c:pt>
                <c:pt idx="28">
                  <c:v>0.01</c:v>
                </c:pt>
                <c:pt idx="29">
                  <c:v>0.01</c:v>
                </c:pt>
                <c:pt idx="30">
                  <c:v>0.01</c:v>
                </c:pt>
                <c:pt idx="31">
                  <c:v>0.01</c:v>
                </c:pt>
                <c:pt idx="32">
                  <c:v>0.01</c:v>
                </c:pt>
                <c:pt idx="33">
                  <c:v>0.01</c:v>
                </c:pt>
                <c:pt idx="34">
                  <c:v>0.01</c:v>
                </c:pt>
                <c:pt idx="35">
                  <c:v>0.01</c:v>
                </c:pt>
                <c:pt idx="36">
                  <c:v>0.01</c:v>
                </c:pt>
                <c:pt idx="37">
                  <c:v>0.01</c:v>
                </c:pt>
                <c:pt idx="38">
                  <c:v>0.01</c:v>
                </c:pt>
              </c:numCache>
            </c:numRef>
          </c:val>
          <c:smooth val="0"/>
          <c:extLst>
            <c:ext xmlns:c16="http://schemas.microsoft.com/office/drawing/2014/chart" uri="{C3380CC4-5D6E-409C-BE32-E72D297353CC}">
              <c16:uniqueId val="{00000003-6314-4388-A56E-F7B55E90548A}"/>
            </c:ext>
          </c:extLst>
        </c:ser>
        <c:dLbls>
          <c:showLegendKey val="0"/>
          <c:showVal val="0"/>
          <c:showCatName val="0"/>
          <c:showSerName val="0"/>
          <c:showPercent val="0"/>
          <c:showBubbleSize val="0"/>
        </c:dLbls>
        <c:smooth val="0"/>
        <c:axId val="254869232"/>
        <c:axId val="254869624"/>
        <c:extLst>
          <c:ext xmlns:c15="http://schemas.microsoft.com/office/drawing/2012/chart" uri="{02D57815-91ED-43cb-92C2-25804820EDAC}">
            <c15:filteredLineSeries>
              <c15:ser>
                <c:idx val="0"/>
                <c:order val="0"/>
                <c:tx>
                  <c:strRef>
                    <c:extLst>
                      <c:ext uri="{02D57815-91ED-43cb-92C2-25804820EDAC}">
                        <c15:formulaRef>
                          <c15:sqref>'[Chart in Microsoft Word]Benchmark stope na sekundarnom'!$B$2</c15:sqref>
                        </c15:formulaRef>
                      </c:ext>
                    </c:extLst>
                    <c:strCache>
                      <c:ptCount val="1"/>
                      <c:pt idx="0">
                        <c:v>5Г 2018</c:v>
                      </c:pt>
                    </c:strCache>
                  </c:strRef>
                </c:tx>
                <c:marker>
                  <c:symbol val="none"/>
                </c:marker>
                <c:cat>
                  <c:strRef>
                    <c:extLst>
                      <c:ext uri="{02D57815-91ED-43cb-92C2-25804820EDAC}">
                        <c15:formulaRef>
                          <c15:sqref>'[Chart in Microsoft Word]Benchmark stope na sekundarnom'!$A$3:$A$51</c15:sqref>
                        </c15:formulaRef>
                      </c:ext>
                    </c:extLst>
                    <c:strCache>
                      <c:ptCount val="39"/>
                      <c:pt idx="0">
                        <c:v>јануар 2019</c:v>
                      </c:pt>
                      <c:pt idx="1">
                        <c:v>фебруар 2019</c:v>
                      </c:pt>
                      <c:pt idx="2">
                        <c:v>март 2019</c:v>
                      </c:pt>
                      <c:pt idx="3">
                        <c:v>април 2019</c:v>
                      </c:pt>
                      <c:pt idx="4">
                        <c:v>мај 2019</c:v>
                      </c:pt>
                      <c:pt idx="5">
                        <c:v>јун 2019</c:v>
                      </c:pt>
                      <c:pt idx="6">
                        <c:v>јул 2019</c:v>
                      </c:pt>
                      <c:pt idx="7">
                        <c:v>август 2019</c:v>
                      </c:pt>
                      <c:pt idx="8">
                        <c:v>септембар 2019</c:v>
                      </c:pt>
                      <c:pt idx="9">
                        <c:v>октобар 2019</c:v>
                      </c:pt>
                      <c:pt idx="10">
                        <c:v>новембар 2019</c:v>
                      </c:pt>
                      <c:pt idx="11">
                        <c:v>децембар 2019</c:v>
                      </c:pt>
                      <c:pt idx="12">
                        <c:v>јануар 2020</c:v>
                      </c:pt>
                      <c:pt idx="13">
                        <c:v>фебруар 2020</c:v>
                      </c:pt>
                      <c:pt idx="14">
                        <c:v>март 2020</c:v>
                      </c:pt>
                      <c:pt idx="15">
                        <c:v>април 2020</c:v>
                      </c:pt>
                      <c:pt idx="16">
                        <c:v>мај 2020</c:v>
                      </c:pt>
                      <c:pt idx="17">
                        <c:v>јун 2020</c:v>
                      </c:pt>
                      <c:pt idx="18">
                        <c:v>јул 2020</c:v>
                      </c:pt>
                      <c:pt idx="19">
                        <c:v>август 2020</c:v>
                      </c:pt>
                      <c:pt idx="20">
                        <c:v>септембар 2020</c:v>
                      </c:pt>
                      <c:pt idx="21">
                        <c:v>октобар 2020</c:v>
                      </c:pt>
                      <c:pt idx="22">
                        <c:v>новембар 2020</c:v>
                      </c:pt>
                      <c:pt idx="23">
                        <c:v>децембар 2020</c:v>
                      </c:pt>
                      <c:pt idx="24">
                        <c:v>јануар 2021</c:v>
                      </c:pt>
                      <c:pt idx="25">
                        <c:v>фебруар 2021</c:v>
                      </c:pt>
                      <c:pt idx="26">
                        <c:v>март 2021</c:v>
                      </c:pt>
                      <c:pt idx="27">
                        <c:v>април 2021</c:v>
                      </c:pt>
                      <c:pt idx="28">
                        <c:v>мај 2021</c:v>
                      </c:pt>
                      <c:pt idx="29">
                        <c:v>јун 2021</c:v>
                      </c:pt>
                      <c:pt idx="30">
                        <c:v>јул 2021</c:v>
                      </c:pt>
                      <c:pt idx="31">
                        <c:v>август 2021</c:v>
                      </c:pt>
                      <c:pt idx="32">
                        <c:v>септембар 2021</c:v>
                      </c:pt>
                      <c:pt idx="33">
                        <c:v>октобар 2021</c:v>
                      </c:pt>
                      <c:pt idx="34">
                        <c:v>новембар 2021</c:v>
                      </c:pt>
                      <c:pt idx="35">
                        <c:v>децембар 2021</c:v>
                      </c:pt>
                      <c:pt idx="36">
                        <c:v>јануар 2022</c:v>
                      </c:pt>
                      <c:pt idx="37">
                        <c:v>фебруар 2022</c:v>
                      </c:pt>
                      <c:pt idx="38">
                        <c:v>март 2022</c:v>
                      </c:pt>
                    </c:strCache>
                  </c:strRef>
                </c:cat>
                <c:val>
                  <c:numRef>
                    <c:extLst>
                      <c:ext uri="{02D57815-91ED-43cb-92C2-25804820EDAC}">
                        <c15:formulaRef>
                          <c15:sqref>'[Chart in Microsoft Word]Benchmark stope na sekundarnom'!$B$3:$B$39</c15:sqref>
                        </c15:formulaRef>
                      </c:ext>
                    </c:extLst>
                    <c:numCache>
                      <c:formatCode>0.00%</c:formatCode>
                      <c:ptCount val="27"/>
                      <c:pt idx="0">
                        <c:v>3.6200000000000003E-2</c:v>
                      </c:pt>
                      <c:pt idx="1">
                        <c:v>3.7999999999999999E-2</c:v>
                      </c:pt>
                      <c:pt idx="2">
                        <c:v>3.7999999999999999E-2</c:v>
                      </c:pt>
                      <c:pt idx="3">
                        <c:v>3.7699999999999997E-2</c:v>
                      </c:pt>
                      <c:pt idx="4">
                        <c:v>3.85E-2</c:v>
                      </c:pt>
                      <c:pt idx="5">
                        <c:v>2.8500000000000001E-2</c:v>
                      </c:pt>
                      <c:pt idx="6">
                        <c:v>2.5499999999999998E-2</c:v>
                      </c:pt>
                      <c:pt idx="7">
                        <c:v>2.4E-2</c:v>
                      </c:pt>
                      <c:pt idx="8">
                        <c:v>2.4E-2</c:v>
                      </c:pt>
                      <c:pt idx="9">
                        <c:v>2.4E-2</c:v>
                      </c:pt>
                      <c:pt idx="10">
                        <c:v>2.3E-2</c:v>
                      </c:pt>
                      <c:pt idx="11">
                        <c:v>2.3E-2</c:v>
                      </c:pt>
                      <c:pt idx="12">
                        <c:v>2.3E-2</c:v>
                      </c:pt>
                      <c:pt idx="13">
                        <c:v>2.3E-2</c:v>
                      </c:pt>
                      <c:pt idx="14">
                        <c:v>2.2700000000000001E-2</c:v>
                      </c:pt>
                      <c:pt idx="15">
                        <c:v>2.3599999999999999E-2</c:v>
                      </c:pt>
                      <c:pt idx="16">
                        <c:v>2.3E-2</c:v>
                      </c:pt>
                      <c:pt idx="17">
                        <c:v>2.23E-2</c:v>
                      </c:pt>
                      <c:pt idx="18">
                        <c:v>2.1999999999999999E-2</c:v>
                      </c:pt>
                      <c:pt idx="19">
                        <c:v>2.1499999999999998E-2</c:v>
                      </c:pt>
                      <c:pt idx="20">
                        <c:v>2.12E-2</c:v>
                      </c:pt>
                      <c:pt idx="22">
                        <c:v>2.2099999999999998E-2</c:v>
                      </c:pt>
                      <c:pt idx="23">
                        <c:v>2.0199999999999999E-2</c:v>
                      </c:pt>
                      <c:pt idx="24">
                        <c:v>1.8200000000000001E-2</c:v>
                      </c:pt>
                      <c:pt idx="25">
                        <c:v>1.7299999999999999E-2</c:v>
                      </c:pt>
                      <c:pt idx="26">
                        <c:v>1.67E-2</c:v>
                      </c:pt>
                    </c:numCache>
                  </c:numRef>
                </c:val>
                <c:smooth val="0"/>
                <c:extLst>
                  <c:ext xmlns:c16="http://schemas.microsoft.com/office/drawing/2014/chart" uri="{C3380CC4-5D6E-409C-BE32-E72D297353CC}">
                    <c16:uniqueId val="{00000004-6314-4388-A56E-F7B55E90548A}"/>
                  </c:ext>
                </c:extLst>
              </c15:ser>
            </c15:filteredLineSeries>
            <c15:filteredLineSeries>
              <c15:ser>
                <c:idx val="1"/>
                <c:order val="1"/>
                <c:tx>
                  <c:strRef>
                    <c:extLst xmlns:c15="http://schemas.microsoft.com/office/drawing/2012/chart">
                      <c:ext xmlns:c15="http://schemas.microsoft.com/office/drawing/2012/chart" uri="{02D57815-91ED-43cb-92C2-25804820EDAC}">
                        <c15:formulaRef>
                          <c15:sqref>'[Chart in Microsoft Word]Benchmark stope na sekundarnom'!$D$2</c15:sqref>
                        </c15:formulaRef>
                      </c:ext>
                    </c:extLst>
                    <c:strCache>
                      <c:ptCount val="1"/>
                      <c:pt idx="0">
                        <c:v>7Г 2019  RSMFRSD89592</c:v>
                      </c:pt>
                    </c:strCache>
                  </c:strRef>
                </c:tx>
                <c:marker>
                  <c:symbol val="none"/>
                </c:marker>
                <c:dPt>
                  <c:idx val="0"/>
                  <c:bubble3D val="0"/>
                  <c:spPr>
                    <a:ln>
                      <a:solidFill>
                        <a:srgbClr val="A4B002"/>
                      </a:solidFill>
                    </a:ln>
                  </c:spPr>
                  <c:extLst xmlns:c15="http://schemas.microsoft.com/office/drawing/2012/chart">
                    <c:ext xmlns:c16="http://schemas.microsoft.com/office/drawing/2014/chart" uri="{C3380CC4-5D6E-409C-BE32-E72D297353CC}">
                      <c16:uniqueId val="{00000006-6314-4388-A56E-F7B55E90548A}"/>
                    </c:ext>
                  </c:extLst>
                </c:dPt>
                <c:cat>
                  <c:strRef>
                    <c:extLst xmlns:c15="http://schemas.microsoft.com/office/drawing/2012/chart">
                      <c:ext xmlns:c15="http://schemas.microsoft.com/office/drawing/2012/chart" uri="{02D57815-91ED-43cb-92C2-25804820EDAC}">
                        <c15:formulaRef>
                          <c15:sqref>'[Chart in Microsoft Word]Benchmark stope na sekundarnom'!$A$3:$A$51</c15:sqref>
                        </c15:formulaRef>
                      </c:ext>
                    </c:extLst>
                    <c:strCache>
                      <c:ptCount val="39"/>
                      <c:pt idx="0">
                        <c:v>јануар 2019</c:v>
                      </c:pt>
                      <c:pt idx="1">
                        <c:v>фебруар 2019</c:v>
                      </c:pt>
                      <c:pt idx="2">
                        <c:v>март 2019</c:v>
                      </c:pt>
                      <c:pt idx="3">
                        <c:v>април 2019</c:v>
                      </c:pt>
                      <c:pt idx="4">
                        <c:v>мај 2019</c:v>
                      </c:pt>
                      <c:pt idx="5">
                        <c:v>јун 2019</c:v>
                      </c:pt>
                      <c:pt idx="6">
                        <c:v>јул 2019</c:v>
                      </c:pt>
                      <c:pt idx="7">
                        <c:v>август 2019</c:v>
                      </c:pt>
                      <c:pt idx="8">
                        <c:v>септембар 2019</c:v>
                      </c:pt>
                      <c:pt idx="9">
                        <c:v>октобар 2019</c:v>
                      </c:pt>
                      <c:pt idx="10">
                        <c:v>новембар 2019</c:v>
                      </c:pt>
                      <c:pt idx="11">
                        <c:v>децембар 2019</c:v>
                      </c:pt>
                      <c:pt idx="12">
                        <c:v>јануар 2020</c:v>
                      </c:pt>
                      <c:pt idx="13">
                        <c:v>фебруар 2020</c:v>
                      </c:pt>
                      <c:pt idx="14">
                        <c:v>март 2020</c:v>
                      </c:pt>
                      <c:pt idx="15">
                        <c:v>април 2020</c:v>
                      </c:pt>
                      <c:pt idx="16">
                        <c:v>мај 2020</c:v>
                      </c:pt>
                      <c:pt idx="17">
                        <c:v>јун 2020</c:v>
                      </c:pt>
                      <c:pt idx="18">
                        <c:v>јул 2020</c:v>
                      </c:pt>
                      <c:pt idx="19">
                        <c:v>август 2020</c:v>
                      </c:pt>
                      <c:pt idx="20">
                        <c:v>септембар 2020</c:v>
                      </c:pt>
                      <c:pt idx="21">
                        <c:v>октобар 2020</c:v>
                      </c:pt>
                      <c:pt idx="22">
                        <c:v>новембар 2020</c:v>
                      </c:pt>
                      <c:pt idx="23">
                        <c:v>децембар 2020</c:v>
                      </c:pt>
                      <c:pt idx="24">
                        <c:v>јануар 2021</c:v>
                      </c:pt>
                      <c:pt idx="25">
                        <c:v>фебруар 2021</c:v>
                      </c:pt>
                      <c:pt idx="26">
                        <c:v>март 2021</c:v>
                      </c:pt>
                      <c:pt idx="27">
                        <c:v>април 2021</c:v>
                      </c:pt>
                      <c:pt idx="28">
                        <c:v>мај 2021</c:v>
                      </c:pt>
                      <c:pt idx="29">
                        <c:v>јун 2021</c:v>
                      </c:pt>
                      <c:pt idx="30">
                        <c:v>јул 2021</c:v>
                      </c:pt>
                      <c:pt idx="31">
                        <c:v>август 2021</c:v>
                      </c:pt>
                      <c:pt idx="32">
                        <c:v>септембар 2021</c:v>
                      </c:pt>
                      <c:pt idx="33">
                        <c:v>октобар 2021</c:v>
                      </c:pt>
                      <c:pt idx="34">
                        <c:v>новембар 2021</c:v>
                      </c:pt>
                      <c:pt idx="35">
                        <c:v>децембар 2021</c:v>
                      </c:pt>
                      <c:pt idx="36">
                        <c:v>јануар 2022</c:v>
                      </c:pt>
                      <c:pt idx="37">
                        <c:v>фебруар 2022</c:v>
                      </c:pt>
                      <c:pt idx="38">
                        <c:v>март 2022</c:v>
                      </c:pt>
                    </c:strCache>
                  </c:strRef>
                </c:cat>
                <c:val>
                  <c:numRef>
                    <c:extLst xmlns:c15="http://schemas.microsoft.com/office/drawing/2012/chart">
                      <c:ext xmlns:c15="http://schemas.microsoft.com/office/drawing/2012/chart" uri="{02D57815-91ED-43cb-92C2-25804820EDAC}">
                        <c15:formulaRef>
                          <c15:sqref>'[Chart in Microsoft Word]Benchmark stope na sekundarnom'!$D$3:$D$44</c15:sqref>
                        </c15:formulaRef>
                      </c:ext>
                    </c:extLst>
                    <c:numCache>
                      <c:formatCode>0.00%</c:formatCode>
                      <c:ptCount val="32"/>
                      <c:pt idx="0">
                        <c:v>4.5400000000000003E-2</c:v>
                      </c:pt>
                      <c:pt idx="1">
                        <c:v>4.4999999999999998E-2</c:v>
                      </c:pt>
                      <c:pt idx="2">
                        <c:v>4.5400000000000003E-2</c:v>
                      </c:pt>
                      <c:pt idx="3">
                        <c:v>4.4900000000000002E-2</c:v>
                      </c:pt>
                      <c:pt idx="4">
                        <c:v>4.2000000000000003E-2</c:v>
                      </c:pt>
                      <c:pt idx="5">
                        <c:v>0.04</c:v>
                      </c:pt>
                      <c:pt idx="6">
                        <c:v>3.5999999999999997E-2</c:v>
                      </c:pt>
                      <c:pt idx="7">
                        <c:v>3.5000000000000003E-2</c:v>
                      </c:pt>
                      <c:pt idx="8">
                        <c:v>3.4000000000000002E-2</c:v>
                      </c:pt>
                      <c:pt idx="9">
                        <c:v>3.2000000000000001E-2</c:v>
                      </c:pt>
                      <c:pt idx="10">
                        <c:v>2.8500000000000001E-2</c:v>
                      </c:pt>
                      <c:pt idx="11">
                        <c:v>2.8299999999999999E-2</c:v>
                      </c:pt>
                      <c:pt idx="12">
                        <c:v>2.9000000000000001E-2</c:v>
                      </c:pt>
                      <c:pt idx="13">
                        <c:v>2.81E-2</c:v>
                      </c:pt>
                      <c:pt idx="14">
                        <c:v>2.6800000000000001E-2</c:v>
                      </c:pt>
                      <c:pt idx="15">
                        <c:v>3.2800000000000003E-2</c:v>
                      </c:pt>
                      <c:pt idx="16">
                        <c:v>3.2099999999999997E-2</c:v>
                      </c:pt>
                      <c:pt idx="17">
                        <c:v>2.8400000000000002E-2</c:v>
                      </c:pt>
                      <c:pt idx="18">
                        <c:v>2.8000000000000001E-2</c:v>
                      </c:pt>
                      <c:pt idx="19">
                        <c:v>2.8000000000000001E-2</c:v>
                      </c:pt>
                      <c:pt idx="20">
                        <c:v>2.7199999999999998E-2</c:v>
                      </c:pt>
                      <c:pt idx="21">
                        <c:v>2.8500000000000001E-2</c:v>
                      </c:pt>
                      <c:pt idx="22">
                        <c:v>2.8400000000000002E-2</c:v>
                      </c:pt>
                      <c:pt idx="23">
                        <c:v>2.63E-2</c:v>
                      </c:pt>
                      <c:pt idx="24">
                        <c:v>2.7300000000000001E-2</c:v>
                      </c:pt>
                      <c:pt idx="25">
                        <c:v>2.1999999999999999E-2</c:v>
                      </c:pt>
                      <c:pt idx="26">
                        <c:v>2.29E-2</c:v>
                      </c:pt>
                      <c:pt idx="27">
                        <c:v>2.3300000000000001E-2</c:v>
                      </c:pt>
                      <c:pt idx="28">
                        <c:v>2.4799999999999999E-2</c:v>
                      </c:pt>
                      <c:pt idx="29">
                        <c:v>2.4E-2</c:v>
                      </c:pt>
                      <c:pt idx="30">
                        <c:v>2.1700000000000001E-2</c:v>
                      </c:pt>
                      <c:pt idx="31">
                        <c:v>2.2224666666666667E-2</c:v>
                      </c:pt>
                    </c:numCache>
                  </c:numRef>
                </c:val>
                <c:smooth val="0"/>
                <c:extLst xmlns:c15="http://schemas.microsoft.com/office/drawing/2012/chart">
                  <c:ext xmlns:c16="http://schemas.microsoft.com/office/drawing/2014/chart" uri="{C3380CC4-5D6E-409C-BE32-E72D297353CC}">
                    <c16:uniqueId val="{00000007-6314-4388-A56E-F7B55E90548A}"/>
                  </c:ext>
                </c:extLst>
              </c15:ser>
            </c15:filteredLineSeries>
          </c:ext>
        </c:extLst>
      </c:lineChart>
      <c:catAx>
        <c:axId val="254869232"/>
        <c:scaling>
          <c:orientation val="minMax"/>
        </c:scaling>
        <c:delete val="0"/>
        <c:axPos val="b"/>
        <c:numFmt formatCode="General" sourceLinked="1"/>
        <c:majorTickMark val="out"/>
        <c:minorTickMark val="none"/>
        <c:tickLblPos val="nextTo"/>
        <c:crossAx val="254869624"/>
        <c:crosses val="autoZero"/>
        <c:auto val="0"/>
        <c:lblAlgn val="ctr"/>
        <c:lblOffset val="100"/>
        <c:noMultiLvlLbl val="1"/>
      </c:catAx>
      <c:valAx>
        <c:axId val="254869624"/>
        <c:scaling>
          <c:orientation val="minMax"/>
          <c:max val="7.0000000000000007E-2"/>
          <c:min val="0"/>
        </c:scaling>
        <c:delete val="0"/>
        <c:axPos val="l"/>
        <c:numFmt formatCode="0.0%" sourceLinked="0"/>
        <c:majorTickMark val="out"/>
        <c:minorTickMark val="none"/>
        <c:tickLblPos val="nextTo"/>
        <c:crossAx val="254869232"/>
        <c:crosses val="autoZero"/>
        <c:crossBetween val="midCat"/>
      </c:valAx>
    </c:plotArea>
    <c:legend>
      <c:legendPos val="b"/>
      <c:layout>
        <c:manualLayout>
          <c:xMode val="edge"/>
          <c:yMode val="edge"/>
          <c:x val="3.7069712243236512E-2"/>
          <c:y val="0.84325778842862031"/>
          <c:w val="0.91744620492715312"/>
          <c:h val="0.12194271368252879"/>
        </c:manualLayout>
      </c:layout>
      <c:overlay val="0"/>
    </c:legend>
    <c:plotVisOnly val="1"/>
    <c:dispBlanksAs val="gap"/>
    <c:showDLblsOverMax val="0"/>
  </c:chart>
  <c:spPr>
    <a:ln>
      <a:noFill/>
    </a:ln>
  </c:spPr>
  <c:txPr>
    <a:bodyPr/>
    <a:lstStyle/>
    <a:p>
      <a:pPr>
        <a:defRPr sz="600"/>
      </a:pPr>
      <a:endParaRPr lang="sr-Latn-RS"/>
    </a:p>
  </c:txPr>
  <c:externalData r:id="rId2">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163560496247181E-2"/>
          <c:y val="7.8703703703703706E-2"/>
          <c:w val="0.80333349049931635"/>
          <c:h val="0.40804252340211994"/>
        </c:manualLayout>
      </c:layout>
      <c:lineChart>
        <c:grouping val="standard"/>
        <c:varyColors val="0"/>
        <c:ser>
          <c:idx val="0"/>
          <c:order val="0"/>
          <c:tx>
            <c:strRef>
              <c:f>ATM!$C$7</c:f>
              <c:strCache>
                <c:ptCount val="1"/>
                <c:pt idx="0">
                  <c:v>Просечно време до доспећа динарских ХоВ</c:v>
                </c:pt>
              </c:strCache>
            </c:strRef>
          </c:tx>
          <c:spPr>
            <a:ln w="28575" cap="rnd">
              <a:solidFill>
                <a:schemeClr val="accent1"/>
              </a:solidFill>
              <a:round/>
            </a:ln>
            <a:effectLst/>
          </c:spPr>
          <c:marker>
            <c:symbol val="none"/>
          </c:marker>
          <c:dLbls>
            <c:dLbl>
              <c:idx val="55"/>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CC3-46E7-B590-CC027D41FBC8}"/>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ATM!$B$80:$B$135</c:f>
              <c:strCache>
                <c:ptCount val="56"/>
                <c:pt idx="0">
                  <c:v>Јануар 2017</c:v>
                </c:pt>
                <c:pt idx="1">
                  <c:v>Фебруар 2017</c:v>
                </c:pt>
                <c:pt idx="2">
                  <c:v>Март 2017</c:v>
                </c:pt>
                <c:pt idx="3">
                  <c:v>Април 2017</c:v>
                </c:pt>
                <c:pt idx="4">
                  <c:v>Мај 2017</c:v>
                </c:pt>
                <c:pt idx="5">
                  <c:v>Јун 2017</c:v>
                </c:pt>
                <c:pt idx="6">
                  <c:v>Јул 2017</c:v>
                </c:pt>
                <c:pt idx="7">
                  <c:v>Август 2017</c:v>
                </c:pt>
                <c:pt idx="8">
                  <c:v>Септембар 2017</c:v>
                </c:pt>
                <c:pt idx="9">
                  <c:v>Октобар 2017</c:v>
                </c:pt>
                <c:pt idx="10">
                  <c:v>Новембар 2017</c:v>
                </c:pt>
                <c:pt idx="11">
                  <c:v>Децембар 2017</c:v>
                </c:pt>
                <c:pt idx="12">
                  <c:v>Јануар 2018</c:v>
                </c:pt>
                <c:pt idx="13">
                  <c:v>Фебруар 2018</c:v>
                </c:pt>
                <c:pt idx="14">
                  <c:v>Март 2018</c:v>
                </c:pt>
                <c:pt idx="15">
                  <c:v>Април 2018</c:v>
                </c:pt>
                <c:pt idx="16">
                  <c:v>Мај 2018</c:v>
                </c:pt>
                <c:pt idx="17">
                  <c:v>Јун 2018</c:v>
                </c:pt>
                <c:pt idx="18">
                  <c:v>Јул 2018</c:v>
                </c:pt>
                <c:pt idx="19">
                  <c:v>Август 2018</c:v>
                </c:pt>
                <c:pt idx="20">
                  <c:v>Септембар 2018</c:v>
                </c:pt>
                <c:pt idx="21">
                  <c:v>Октобар 2018</c:v>
                </c:pt>
                <c:pt idx="22">
                  <c:v>Новембар 2018</c:v>
                </c:pt>
                <c:pt idx="23">
                  <c:v>Децембар 2018</c:v>
                </c:pt>
                <c:pt idx="24">
                  <c:v>Јануар 2019</c:v>
                </c:pt>
                <c:pt idx="25">
                  <c:v>Фебруар 2019</c:v>
                </c:pt>
                <c:pt idx="26">
                  <c:v>Март 2019</c:v>
                </c:pt>
                <c:pt idx="27">
                  <c:v>Април 2019</c:v>
                </c:pt>
                <c:pt idx="28">
                  <c:v>Мај 2019</c:v>
                </c:pt>
                <c:pt idx="29">
                  <c:v>Јун 2019</c:v>
                </c:pt>
                <c:pt idx="30">
                  <c:v>Јул 2019</c:v>
                </c:pt>
                <c:pt idx="31">
                  <c:v>Август 2019</c:v>
                </c:pt>
                <c:pt idx="32">
                  <c:v>Септембар 2019</c:v>
                </c:pt>
                <c:pt idx="33">
                  <c:v>Октобар 2019</c:v>
                </c:pt>
                <c:pt idx="34">
                  <c:v>Новембар 2019</c:v>
                </c:pt>
                <c:pt idx="35">
                  <c:v>Децембар 2019</c:v>
                </c:pt>
                <c:pt idx="36">
                  <c:v>Август 2020</c:v>
                </c:pt>
                <c:pt idx="37">
                  <c:v>Септембар 2020</c:v>
                </c:pt>
                <c:pt idx="38">
                  <c:v>Октобар 2020</c:v>
                </c:pt>
                <c:pt idx="39">
                  <c:v>Новембар 2020</c:v>
                </c:pt>
                <c:pt idx="40">
                  <c:v>Децембар 2020</c:v>
                </c:pt>
                <c:pt idx="41">
                  <c:v>Јануар 2021</c:v>
                </c:pt>
                <c:pt idx="42">
                  <c:v>Фебруар 2021</c:v>
                </c:pt>
                <c:pt idx="43">
                  <c:v>Март 2021</c:v>
                </c:pt>
                <c:pt idx="44">
                  <c:v>Април 2021</c:v>
                </c:pt>
                <c:pt idx="45">
                  <c:v>Мај 2021</c:v>
                </c:pt>
                <c:pt idx="46">
                  <c:v>Јун 2021</c:v>
                </c:pt>
                <c:pt idx="47">
                  <c:v>Јул 2021</c:v>
                </c:pt>
                <c:pt idx="48">
                  <c:v>Август 2021</c:v>
                </c:pt>
                <c:pt idx="49">
                  <c:v>Септембар 2021</c:v>
                </c:pt>
                <c:pt idx="50">
                  <c:v>Октобар 2021</c:v>
                </c:pt>
                <c:pt idx="51">
                  <c:v>Новембар 2021</c:v>
                </c:pt>
                <c:pt idx="52">
                  <c:v>Децембар 2021</c:v>
                </c:pt>
                <c:pt idx="53">
                  <c:v>Јануар 2022</c:v>
                </c:pt>
                <c:pt idx="54">
                  <c:v>Фебруар 2022</c:v>
                </c:pt>
                <c:pt idx="55">
                  <c:v>Март 2022</c:v>
                </c:pt>
              </c:strCache>
            </c:strRef>
          </c:cat>
          <c:val>
            <c:numRef>
              <c:f>ATM!$C$80:$C$135</c:f>
              <c:numCache>
                <c:formatCode>#,##0.000</c:formatCode>
                <c:ptCount val="56"/>
                <c:pt idx="0">
                  <c:v>2.2744431578203148</c:v>
                </c:pt>
                <c:pt idx="1">
                  <c:v>2.3055766178030832</c:v>
                </c:pt>
                <c:pt idx="2">
                  <c:v>2.2577478731007421</c:v>
                </c:pt>
                <c:pt idx="3">
                  <c:v>2.3322430500000744</c:v>
                </c:pt>
                <c:pt idx="4">
                  <c:v>2.45314292546017</c:v>
                </c:pt>
                <c:pt idx="5">
                  <c:v>2.4297419455911244</c:v>
                </c:pt>
                <c:pt idx="6">
                  <c:v>2.4705658135871453</c:v>
                </c:pt>
                <c:pt idx="7">
                  <c:v>2.4262951515232642</c:v>
                </c:pt>
                <c:pt idx="8">
                  <c:v>2.3846590046212</c:v>
                </c:pt>
                <c:pt idx="9">
                  <c:v>2.4769999999999999</c:v>
                </c:pt>
                <c:pt idx="10">
                  <c:v>2.4459899092751498</c:v>
                </c:pt>
                <c:pt idx="11">
                  <c:v>2.3988621874960829</c:v>
                </c:pt>
                <c:pt idx="12">
                  <c:v>2.3888429254601702</c:v>
                </c:pt>
                <c:pt idx="13">
                  <c:v>2.9749044523125296</c:v>
                </c:pt>
                <c:pt idx="14">
                  <c:v>3.4579408470312272</c:v>
                </c:pt>
                <c:pt idx="15">
                  <c:v>3.5996024262553723</c:v>
                </c:pt>
                <c:pt idx="16">
                  <c:v>3.7459899092751501</c:v>
                </c:pt>
                <c:pt idx="17">
                  <c:v>3.8456126939231798</c:v>
                </c:pt>
                <c:pt idx="18">
                  <c:v>3.91921816133204</c:v>
                </c:pt>
                <c:pt idx="19">
                  <c:v>3.9531429259053499</c:v>
                </c:pt>
                <c:pt idx="20">
                  <c:v>3.5418962713980511</c:v>
                </c:pt>
                <c:pt idx="21">
                  <c:v>3.4569647645487356</c:v>
                </c:pt>
                <c:pt idx="22">
                  <c:v>3.4226839888154408</c:v>
                </c:pt>
                <c:pt idx="23">
                  <c:v>3.3845972032956824</c:v>
                </c:pt>
                <c:pt idx="24">
                  <c:v>3.5019999999999998</c:v>
                </c:pt>
                <c:pt idx="25">
                  <c:v>3.9489999999999998</c:v>
                </c:pt>
                <c:pt idx="26">
                  <c:v>3.871</c:v>
                </c:pt>
                <c:pt idx="27">
                  <c:v>3.8358191367510268</c:v>
                </c:pt>
                <c:pt idx="28">
                  <c:v>3.908687907298674</c:v>
                </c:pt>
                <c:pt idx="29">
                  <c:v>3.9534817092905126</c:v>
                </c:pt>
                <c:pt idx="30">
                  <c:v>3.9447309159295449</c:v>
                </c:pt>
                <c:pt idx="31">
                  <c:v>3.9282126458596296</c:v>
                </c:pt>
                <c:pt idx="32">
                  <c:v>3.8690069319821903</c:v>
                </c:pt>
                <c:pt idx="33">
                  <c:v>3.9349961244927654</c:v>
                </c:pt>
                <c:pt idx="34">
                  <c:v>3.8636732823398314</c:v>
                </c:pt>
                <c:pt idx="35">
                  <c:v>3.8444332330566096</c:v>
                </c:pt>
                <c:pt idx="36">
                  <c:v>3.7396182566764304</c:v>
                </c:pt>
                <c:pt idx="37" formatCode="#,##0.0">
                  <c:v>3.7396182566764304</c:v>
                </c:pt>
                <c:pt idx="38">
                  <c:v>3.88</c:v>
                </c:pt>
                <c:pt idx="39">
                  <c:v>3.94</c:v>
                </c:pt>
                <c:pt idx="40">
                  <c:v>3.92</c:v>
                </c:pt>
                <c:pt idx="41">
                  <c:v>4.05</c:v>
                </c:pt>
                <c:pt idx="42">
                  <c:v>4.01</c:v>
                </c:pt>
                <c:pt idx="43" formatCode="#,##0.00">
                  <c:v>3.98</c:v>
                </c:pt>
                <c:pt idx="44" formatCode="General">
                  <c:v>4.09</c:v>
                </c:pt>
                <c:pt idx="45" formatCode="General">
                  <c:v>3.97</c:v>
                </c:pt>
                <c:pt idx="46" formatCode="General">
                  <c:v>4.0199999999999996</c:v>
                </c:pt>
                <c:pt idx="47" formatCode="General">
                  <c:v>3.93</c:v>
                </c:pt>
                <c:pt idx="48" formatCode="General">
                  <c:v>3.95</c:v>
                </c:pt>
                <c:pt idx="49" formatCode="General">
                  <c:v>3.96</c:v>
                </c:pt>
                <c:pt idx="50" formatCode="General">
                  <c:v>3.9</c:v>
                </c:pt>
                <c:pt idx="51" formatCode="General">
                  <c:v>3.84</c:v>
                </c:pt>
                <c:pt idx="52" formatCode="General">
                  <c:v>3.77</c:v>
                </c:pt>
                <c:pt idx="53" formatCode="General">
                  <c:v>3.92</c:v>
                </c:pt>
                <c:pt idx="54" formatCode="General">
                  <c:v>3.98</c:v>
                </c:pt>
                <c:pt idx="55" formatCode="General">
                  <c:v>3.89</c:v>
                </c:pt>
              </c:numCache>
            </c:numRef>
          </c:val>
          <c:smooth val="0"/>
          <c:extLst>
            <c:ext xmlns:c16="http://schemas.microsoft.com/office/drawing/2014/chart" uri="{C3380CC4-5D6E-409C-BE32-E72D297353CC}">
              <c16:uniqueId val="{00000002-ACC3-46E7-B590-CC027D41FBC8}"/>
            </c:ext>
          </c:extLst>
        </c:ser>
        <c:ser>
          <c:idx val="1"/>
          <c:order val="1"/>
          <c:tx>
            <c:strRef>
              <c:f>ATM!$D$7</c:f>
              <c:strCache>
                <c:ptCount val="1"/>
                <c:pt idx="0">
                  <c:v>Просечно време до доспећа евро ХоВ</c:v>
                </c:pt>
              </c:strCache>
            </c:strRef>
          </c:tx>
          <c:spPr>
            <a:ln w="28575" cap="rnd">
              <a:solidFill>
                <a:schemeClr val="accent2"/>
              </a:solidFill>
              <a:round/>
            </a:ln>
            <a:effectLst/>
          </c:spPr>
          <c:marker>
            <c:symbol val="none"/>
          </c:marker>
          <c:dLbls>
            <c:dLbl>
              <c:idx val="55"/>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CC3-46E7-B590-CC027D41FBC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ATM!$B$80:$B$135</c:f>
              <c:strCache>
                <c:ptCount val="56"/>
                <c:pt idx="0">
                  <c:v>Јануар 2017</c:v>
                </c:pt>
                <c:pt idx="1">
                  <c:v>Фебруар 2017</c:v>
                </c:pt>
                <c:pt idx="2">
                  <c:v>Март 2017</c:v>
                </c:pt>
                <c:pt idx="3">
                  <c:v>Април 2017</c:v>
                </c:pt>
                <c:pt idx="4">
                  <c:v>Мај 2017</c:v>
                </c:pt>
                <c:pt idx="5">
                  <c:v>Јун 2017</c:v>
                </c:pt>
                <c:pt idx="6">
                  <c:v>Јул 2017</c:v>
                </c:pt>
                <c:pt idx="7">
                  <c:v>Август 2017</c:v>
                </c:pt>
                <c:pt idx="8">
                  <c:v>Септембар 2017</c:v>
                </c:pt>
                <c:pt idx="9">
                  <c:v>Октобар 2017</c:v>
                </c:pt>
                <c:pt idx="10">
                  <c:v>Новембар 2017</c:v>
                </c:pt>
                <c:pt idx="11">
                  <c:v>Децембар 2017</c:v>
                </c:pt>
                <c:pt idx="12">
                  <c:v>Јануар 2018</c:v>
                </c:pt>
                <c:pt idx="13">
                  <c:v>Фебруар 2018</c:v>
                </c:pt>
                <c:pt idx="14">
                  <c:v>Март 2018</c:v>
                </c:pt>
                <c:pt idx="15">
                  <c:v>Април 2018</c:v>
                </c:pt>
                <c:pt idx="16">
                  <c:v>Мај 2018</c:v>
                </c:pt>
                <c:pt idx="17">
                  <c:v>Јун 2018</c:v>
                </c:pt>
                <c:pt idx="18">
                  <c:v>Јул 2018</c:v>
                </c:pt>
                <c:pt idx="19">
                  <c:v>Август 2018</c:v>
                </c:pt>
                <c:pt idx="20">
                  <c:v>Септембар 2018</c:v>
                </c:pt>
                <c:pt idx="21">
                  <c:v>Октобар 2018</c:v>
                </c:pt>
                <c:pt idx="22">
                  <c:v>Новембар 2018</c:v>
                </c:pt>
                <c:pt idx="23">
                  <c:v>Децембар 2018</c:v>
                </c:pt>
                <c:pt idx="24">
                  <c:v>Јануар 2019</c:v>
                </c:pt>
                <c:pt idx="25">
                  <c:v>Фебруар 2019</c:v>
                </c:pt>
                <c:pt idx="26">
                  <c:v>Март 2019</c:v>
                </c:pt>
                <c:pt idx="27">
                  <c:v>Април 2019</c:v>
                </c:pt>
                <c:pt idx="28">
                  <c:v>Мај 2019</c:v>
                </c:pt>
                <c:pt idx="29">
                  <c:v>Јун 2019</c:v>
                </c:pt>
                <c:pt idx="30">
                  <c:v>Јул 2019</c:v>
                </c:pt>
                <c:pt idx="31">
                  <c:v>Август 2019</c:v>
                </c:pt>
                <c:pt idx="32">
                  <c:v>Септембар 2019</c:v>
                </c:pt>
                <c:pt idx="33">
                  <c:v>Октобар 2019</c:v>
                </c:pt>
                <c:pt idx="34">
                  <c:v>Новембар 2019</c:v>
                </c:pt>
                <c:pt idx="35">
                  <c:v>Децембар 2019</c:v>
                </c:pt>
                <c:pt idx="36">
                  <c:v>Август 2020</c:v>
                </c:pt>
                <c:pt idx="37">
                  <c:v>Септембар 2020</c:v>
                </c:pt>
                <c:pt idx="38">
                  <c:v>Октобар 2020</c:v>
                </c:pt>
                <c:pt idx="39">
                  <c:v>Новембар 2020</c:v>
                </c:pt>
                <c:pt idx="40">
                  <c:v>Децембар 2020</c:v>
                </c:pt>
                <c:pt idx="41">
                  <c:v>Јануар 2021</c:v>
                </c:pt>
                <c:pt idx="42">
                  <c:v>Фебруар 2021</c:v>
                </c:pt>
                <c:pt idx="43">
                  <c:v>Март 2021</c:v>
                </c:pt>
                <c:pt idx="44">
                  <c:v>Април 2021</c:v>
                </c:pt>
                <c:pt idx="45">
                  <c:v>Мај 2021</c:v>
                </c:pt>
                <c:pt idx="46">
                  <c:v>Јун 2021</c:v>
                </c:pt>
                <c:pt idx="47">
                  <c:v>Јул 2021</c:v>
                </c:pt>
                <c:pt idx="48">
                  <c:v>Август 2021</c:v>
                </c:pt>
                <c:pt idx="49">
                  <c:v>Септембар 2021</c:v>
                </c:pt>
                <c:pt idx="50">
                  <c:v>Октобар 2021</c:v>
                </c:pt>
                <c:pt idx="51">
                  <c:v>Новембар 2021</c:v>
                </c:pt>
                <c:pt idx="52">
                  <c:v>Децембар 2021</c:v>
                </c:pt>
                <c:pt idx="53">
                  <c:v>Јануар 2022</c:v>
                </c:pt>
                <c:pt idx="54">
                  <c:v>Фебруар 2022</c:v>
                </c:pt>
                <c:pt idx="55">
                  <c:v>Март 2022</c:v>
                </c:pt>
              </c:strCache>
            </c:strRef>
          </c:cat>
          <c:val>
            <c:numRef>
              <c:f>ATM!$D$80:$D$135</c:f>
              <c:numCache>
                <c:formatCode>#,##0.000</c:formatCode>
                <c:ptCount val="56"/>
                <c:pt idx="0">
                  <c:v>3.0767465391094229</c:v>
                </c:pt>
                <c:pt idx="1">
                  <c:v>3.1861380112999025</c:v>
                </c:pt>
                <c:pt idx="2">
                  <c:v>3.3145522287372806</c:v>
                </c:pt>
                <c:pt idx="3">
                  <c:v>3.2252300220400598</c:v>
                </c:pt>
                <c:pt idx="4">
                  <c:v>3.1921816133204102</c:v>
                </c:pt>
                <c:pt idx="5">
                  <c:v>3.2939564229036766</c:v>
                </c:pt>
                <c:pt idx="6">
                  <c:v>3.3782294788810399</c:v>
                </c:pt>
                <c:pt idx="7">
                  <c:v>3.2610251959053498</c:v>
                </c:pt>
                <c:pt idx="8">
                  <c:v>3.4808718754728201</c:v>
                </c:pt>
                <c:pt idx="9">
                  <c:v>3.44</c:v>
                </c:pt>
                <c:pt idx="10">
                  <c:v>3.4263128678108856</c:v>
                </c:pt>
                <c:pt idx="11">
                  <c:v>3.4050078312651766</c:v>
                </c:pt>
                <c:pt idx="12">
                  <c:v>3.3850251959053499</c:v>
                </c:pt>
                <c:pt idx="13">
                  <c:v>3.4768906815133001</c:v>
                </c:pt>
                <c:pt idx="14">
                  <c:v>3.6421450414399521</c:v>
                </c:pt>
                <c:pt idx="15">
                  <c:v>3.6610010970593514</c:v>
                </c:pt>
                <c:pt idx="16">
                  <c:v>3.6768906815132998</c:v>
                </c:pt>
                <c:pt idx="17">
                  <c:v>3.6939659391674602</c:v>
                </c:pt>
                <c:pt idx="18">
                  <c:v>3.7145641398248901</c:v>
                </c:pt>
                <c:pt idx="19">
                  <c:v>3.7508718497823201</c:v>
                </c:pt>
                <c:pt idx="20">
                  <c:v>3.7250000000000001</c:v>
                </c:pt>
                <c:pt idx="21">
                  <c:v>3.639666374694055</c:v>
                </c:pt>
                <c:pt idx="22">
                  <c:v>3.5569999999999999</c:v>
                </c:pt>
                <c:pt idx="23">
                  <c:v>3.532</c:v>
                </c:pt>
                <c:pt idx="24">
                  <c:v>3.9140000000000001</c:v>
                </c:pt>
                <c:pt idx="25">
                  <c:v>4.0759999999999996</c:v>
                </c:pt>
                <c:pt idx="26">
                  <c:v>3.9870000000000001</c:v>
                </c:pt>
                <c:pt idx="27">
                  <c:v>3.9697855596679679</c:v>
                </c:pt>
                <c:pt idx="28">
                  <c:v>3.9725148540982271</c:v>
                </c:pt>
                <c:pt idx="29">
                  <c:v>4.2471234195046668</c:v>
                </c:pt>
                <c:pt idx="30">
                  <c:v>4.1749257654509879</c:v>
                </c:pt>
                <c:pt idx="31">
                  <c:v>4.167188937210339</c:v>
                </c:pt>
                <c:pt idx="32">
                  <c:v>4.125897801213652</c:v>
                </c:pt>
                <c:pt idx="33">
                  <c:v>4.0601012479141136</c:v>
                </c:pt>
                <c:pt idx="34">
                  <c:v>3.9779094670921955</c:v>
                </c:pt>
                <c:pt idx="35">
                  <c:v>3.8942668177798891</c:v>
                </c:pt>
                <c:pt idx="36">
                  <c:v>4.7373563507009235</c:v>
                </c:pt>
                <c:pt idx="37" formatCode="#,##0.0">
                  <c:v>4.7373563507009235</c:v>
                </c:pt>
                <c:pt idx="38">
                  <c:v>4.74</c:v>
                </c:pt>
                <c:pt idx="39">
                  <c:v>4.7</c:v>
                </c:pt>
                <c:pt idx="40">
                  <c:v>4.71</c:v>
                </c:pt>
                <c:pt idx="41">
                  <c:v>4.62</c:v>
                </c:pt>
                <c:pt idx="42">
                  <c:v>5.09</c:v>
                </c:pt>
                <c:pt idx="43" formatCode="#,##0.00">
                  <c:v>5.34</c:v>
                </c:pt>
                <c:pt idx="44" formatCode="General">
                  <c:v>5.32</c:v>
                </c:pt>
                <c:pt idx="45" formatCode="General">
                  <c:v>5.57</c:v>
                </c:pt>
                <c:pt idx="46" formatCode="General">
                  <c:v>5.49</c:v>
                </c:pt>
                <c:pt idx="47" formatCode="General">
                  <c:v>5.43</c:v>
                </c:pt>
                <c:pt idx="48" formatCode="General">
                  <c:v>5.34</c:v>
                </c:pt>
                <c:pt idx="49" formatCode="General">
                  <c:v>5.49</c:v>
                </c:pt>
                <c:pt idx="50" formatCode="General">
                  <c:v>5.4</c:v>
                </c:pt>
                <c:pt idx="51" formatCode="General">
                  <c:v>5.36</c:v>
                </c:pt>
                <c:pt idx="52" formatCode="General">
                  <c:v>5.28</c:v>
                </c:pt>
                <c:pt idx="53" formatCode="General">
                  <c:v>5.36</c:v>
                </c:pt>
                <c:pt idx="54" formatCode="General">
                  <c:v>5.63</c:v>
                </c:pt>
                <c:pt idx="55" formatCode="General">
                  <c:v>5.6</c:v>
                </c:pt>
              </c:numCache>
            </c:numRef>
          </c:val>
          <c:smooth val="0"/>
          <c:extLst>
            <c:ext xmlns:c16="http://schemas.microsoft.com/office/drawing/2014/chart" uri="{C3380CC4-5D6E-409C-BE32-E72D297353CC}">
              <c16:uniqueId val="{00000005-ACC3-46E7-B590-CC027D41FBC8}"/>
            </c:ext>
          </c:extLst>
        </c:ser>
        <c:dLbls>
          <c:showLegendKey val="0"/>
          <c:showVal val="0"/>
          <c:showCatName val="0"/>
          <c:showSerName val="0"/>
          <c:showPercent val="0"/>
          <c:showBubbleSize val="0"/>
        </c:dLbls>
        <c:smooth val="0"/>
        <c:axId val="272849056"/>
        <c:axId val="272849448"/>
      </c:lineChart>
      <c:catAx>
        <c:axId val="272849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sr-Latn-RS"/>
          </a:p>
        </c:txPr>
        <c:crossAx val="272849448"/>
        <c:crossesAt val="0"/>
        <c:auto val="0"/>
        <c:lblAlgn val="ctr"/>
        <c:lblOffset val="100"/>
        <c:tickLblSkip val="5"/>
        <c:noMultiLvlLbl val="0"/>
      </c:catAx>
      <c:valAx>
        <c:axId val="272849448"/>
        <c:scaling>
          <c:orientation val="minMax"/>
          <c:max val="6"/>
          <c:min val="0"/>
        </c:scaling>
        <c:delete val="0"/>
        <c:axPos val="l"/>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sr-Latn-RS"/>
          </a:p>
        </c:txPr>
        <c:crossAx val="272849056"/>
        <c:crossesAt val="1"/>
        <c:crossBetween val="between"/>
      </c:valAx>
      <c:spPr>
        <a:noFill/>
        <a:ln>
          <a:noFill/>
        </a:ln>
        <a:effectLst/>
      </c:spPr>
    </c:plotArea>
    <c:legend>
      <c:legendPos val="b"/>
      <c:layout>
        <c:manualLayout>
          <c:xMode val="edge"/>
          <c:yMode val="edge"/>
          <c:x val="6.6228279538712048E-2"/>
          <c:y val="0.77604111986001745"/>
          <c:w val="0.81668012461615103"/>
          <c:h val="0.17534776902887136"/>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a:pPr>
      <a:endParaRPr lang="sr-Latn-R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8.867129629629629E-2"/>
          <c:w val="0.91418918918918923"/>
          <c:h val="0.72349849849849845"/>
        </c:manualLayout>
      </c:layout>
      <c:barChart>
        <c:barDir val="col"/>
        <c:grouping val="clustered"/>
        <c:varyColors val="0"/>
        <c:ser>
          <c:idx val="0"/>
          <c:order val="0"/>
          <c:tx>
            <c:strRef>
              <c:f>'Osn. makroekon. agregati'!$B$7</c:f>
              <c:strCache>
                <c:ptCount val="1"/>
                <c:pt idx="0">
                  <c:v>Инфлација, %</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1D49-4862-9206-BA6634DF3E45}"/>
              </c:ext>
            </c:extLst>
          </c:dPt>
          <c:dPt>
            <c:idx val="1"/>
            <c:invertIfNegative val="0"/>
            <c:bubble3D val="0"/>
            <c:spPr>
              <a:solidFill>
                <a:srgbClr val="ED1C24"/>
              </a:solidFill>
              <a:ln>
                <a:noFill/>
              </a:ln>
              <a:effectLst/>
            </c:spPr>
            <c:extLst>
              <c:ext xmlns:c16="http://schemas.microsoft.com/office/drawing/2014/chart" uri="{C3380CC4-5D6E-409C-BE32-E72D297353CC}">
                <c16:uniqueId val="{00000003-1D49-4862-9206-BA6634DF3E45}"/>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sr-Latn-RS"/>
                </a:p>
              </c:txPr>
              <c:showLegendKey val="0"/>
              <c:showVal val="1"/>
              <c:showCatName val="0"/>
              <c:showSerName val="0"/>
              <c:showPercent val="0"/>
              <c:showBubbleSize val="0"/>
              <c:extLst>
                <c:ext xmlns:c16="http://schemas.microsoft.com/office/drawing/2014/chart" uri="{C3380CC4-5D6E-409C-BE32-E72D297353CC}">
                  <c16:uniqueId val="{00000001-1D49-4862-9206-BA6634DF3E45}"/>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sr-Latn-RS"/>
                </a:p>
              </c:txPr>
              <c:showLegendKey val="0"/>
              <c:showVal val="1"/>
              <c:showCatName val="0"/>
              <c:showSerName val="0"/>
              <c:showPercent val="0"/>
              <c:showBubbleSize val="0"/>
              <c:extLst>
                <c:ext xmlns:c16="http://schemas.microsoft.com/office/drawing/2014/chart" uri="{C3380CC4-5D6E-409C-BE32-E72D297353CC}">
                  <c16:uniqueId val="{00000003-1D49-4862-9206-BA6634DF3E4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agregati'!$C$7,'Osn. makroekon. agregati'!$D$7)</c:f>
              <c:numCache>
                <c:formatCode>0.0</c:formatCode>
                <c:ptCount val="2"/>
                <c:pt idx="0">
                  <c:v>3.7</c:v>
                </c:pt>
                <c:pt idx="1">
                  <c:v>9.1999999999999993</c:v>
                </c:pt>
              </c:numCache>
            </c:numRef>
          </c:val>
          <c:extLst>
            <c:ext xmlns:c16="http://schemas.microsoft.com/office/drawing/2014/chart" uri="{C3380CC4-5D6E-409C-BE32-E72D297353CC}">
              <c16:uniqueId val="{00000004-1D49-4862-9206-BA6634DF3E45}"/>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a:t>
                </a:r>
                <a:r>
                  <a:rPr lang="sr-Cyrl-RS" b="1"/>
                  <a:t>2</a:t>
                </a:r>
                <a:endParaRPr lang="en-US" b="1"/>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sr-Latn-R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53440"/>
        <c:crossesAt val="0"/>
        <c:auto val="1"/>
        <c:lblAlgn val="ctr"/>
        <c:lblOffset val="100"/>
        <c:noMultiLvlLbl val="0"/>
      </c:catAx>
      <c:valAx>
        <c:axId val="1768853440"/>
        <c:scaling>
          <c:orientation val="minMax"/>
          <c:max val="10"/>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sr-Latn-RS"/>
    </a:p>
  </c:txPr>
  <c:externalData r:id="rId4">
    <c:autoUpdate val="0"/>
  </c:externalData>
  <c:userShapes r:id="rId5"/>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8.867129629629629E-2"/>
          <c:w val="0.91418918918918923"/>
          <c:h val="0.72349849849849845"/>
        </c:manualLayout>
      </c:layout>
      <c:barChart>
        <c:barDir val="col"/>
        <c:grouping val="clustered"/>
        <c:varyColors val="0"/>
        <c:ser>
          <c:idx val="0"/>
          <c:order val="0"/>
          <c:tx>
            <c:strRef>
              <c:f>'Osn. makroekon. agregati'!$B$7</c:f>
              <c:strCache>
                <c:ptCount val="1"/>
                <c:pt idx="0">
                  <c:v>Инфлација, %</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00CB-4A25-9CC2-F952173815D0}"/>
              </c:ext>
            </c:extLst>
          </c:dPt>
          <c:dPt>
            <c:idx val="1"/>
            <c:invertIfNegative val="0"/>
            <c:bubble3D val="0"/>
            <c:spPr>
              <a:solidFill>
                <a:srgbClr val="ED1C24"/>
              </a:solidFill>
              <a:ln>
                <a:noFill/>
              </a:ln>
              <a:effectLst/>
            </c:spPr>
            <c:extLst>
              <c:ext xmlns:c16="http://schemas.microsoft.com/office/drawing/2014/chart" uri="{C3380CC4-5D6E-409C-BE32-E72D297353CC}">
                <c16:uniqueId val="{00000003-00CB-4A25-9CC2-F952173815D0}"/>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sr-Latn-RS"/>
                </a:p>
              </c:txPr>
              <c:showLegendKey val="0"/>
              <c:showVal val="1"/>
              <c:showCatName val="0"/>
              <c:showSerName val="0"/>
              <c:showPercent val="0"/>
              <c:showBubbleSize val="0"/>
              <c:extLst>
                <c:ext xmlns:c16="http://schemas.microsoft.com/office/drawing/2014/chart" uri="{C3380CC4-5D6E-409C-BE32-E72D297353CC}">
                  <c16:uniqueId val="{00000001-00CB-4A25-9CC2-F952173815D0}"/>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sr-Latn-RS"/>
                </a:p>
              </c:txPr>
              <c:showLegendKey val="0"/>
              <c:showVal val="1"/>
              <c:showCatName val="0"/>
              <c:showSerName val="0"/>
              <c:showPercent val="0"/>
              <c:showBubbleSize val="0"/>
              <c:extLst>
                <c:ext xmlns:c16="http://schemas.microsoft.com/office/drawing/2014/chart" uri="{C3380CC4-5D6E-409C-BE32-E72D297353CC}">
                  <c16:uniqueId val="{00000003-00CB-4A25-9CC2-F952173815D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agregati'!$E$7,'Osn. makroekon. agregati'!$F$7)</c:f>
              <c:numCache>
                <c:formatCode>0.0</c:formatCode>
                <c:ptCount val="2"/>
                <c:pt idx="0">
                  <c:v>2.6</c:v>
                </c:pt>
                <c:pt idx="1">
                  <c:v>5.3</c:v>
                </c:pt>
              </c:numCache>
            </c:numRef>
          </c:val>
          <c:extLst>
            <c:ext xmlns:c16="http://schemas.microsoft.com/office/drawing/2014/chart" uri="{C3380CC4-5D6E-409C-BE32-E72D297353CC}">
              <c16:uniqueId val="{00000004-00CB-4A25-9CC2-F952173815D0}"/>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a:t>
                </a:r>
                <a:r>
                  <a:rPr lang="sr-Cyrl-RS" b="1"/>
                  <a:t>3</a:t>
                </a:r>
                <a:endParaRPr lang="en-US" b="1"/>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sr-Latn-R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53440"/>
        <c:crossesAt val="0"/>
        <c:auto val="1"/>
        <c:lblAlgn val="ctr"/>
        <c:lblOffset val="100"/>
        <c:noMultiLvlLbl val="0"/>
      </c:catAx>
      <c:valAx>
        <c:axId val="1768853440"/>
        <c:scaling>
          <c:orientation val="minMax"/>
          <c:max val="10"/>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sr-Latn-RS"/>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withinLinear" id="14">
  <a:schemeClr val="accent1"/>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withinLinear" id="16">
  <a:schemeClr val="accent3"/>
</cs:colorStyle>
</file>

<file path=word/charts/colors51.xml><?xml version="1.0" encoding="utf-8"?>
<cs:colorStyle xmlns:cs="http://schemas.microsoft.com/office/drawing/2012/chartStyle" xmlns:a="http://schemas.openxmlformats.org/drawingml/2006/main" meth="withinLinear" id="16">
  <a:schemeClr val="accent3"/>
</cs:colorStyle>
</file>

<file path=word/charts/colors5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withinLinear" id="14">
  <a:schemeClr val="accent1"/>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136">
  <cs:axisTitle>
    <cs:lnRef idx="0"/>
    <cs:fillRef idx="0"/>
    <cs:effectRef idx="0"/>
    <cs:fontRef idx="minor">
      <a:schemeClr val="dk1"/>
    </cs:fontRef>
    <cs:defRPr sz="1000" b="1" kern="1200"/>
  </cs:axisTitle>
  <cs:categoryAxis>
    <cs:lnRef idx="1">
      <a:schemeClr val="dk1">
        <a:tint val="75000"/>
      </a:schemeClr>
    </cs:lnRef>
    <cs:fillRef idx="0"/>
    <cs:effectRef idx="0"/>
    <cs:fontRef idx="minor">
      <a:schemeClr val="dk1"/>
    </cs:fontRef>
    <cs:spPr>
      <a:ln>
        <a:round/>
      </a:ln>
    </cs:spPr>
    <cs:defRPr sz="1000" kern="1200"/>
  </cs:categoryAxis>
  <cs:chartArea>
    <cs:lnRef idx="1">
      <a:schemeClr val="dk1">
        <a:tint val="75000"/>
      </a:schemeClr>
    </cs:lnRef>
    <cs:fillRef idx="1">
      <a:schemeClr val="lt1"/>
    </cs:fillRef>
    <cs:effectRef idx="0"/>
    <cs:fontRef idx="minor">
      <a:schemeClr val="dk1"/>
    </cs:fontRef>
    <cs:spPr>
      <a:ln>
        <a:round/>
      </a:ln>
    </cs:spPr>
    <cs:defRPr sz="1000" kern="1200"/>
  </cs:chartArea>
  <cs:dataLabel>
    <cs:lnRef idx="0"/>
    <cs:fillRef idx="0"/>
    <cs:effectRef idx="0"/>
    <cs:fontRef idx="minor">
      <a:schemeClr val="dk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mods="ignoreCSTransforms">
      <cs:styleClr val="0">
        <a:shade val="50000"/>
      </cs:styleClr>
    </cs:lnRef>
    <cs:fillRef idx="1">
      <cs:styleClr val="auto"/>
    </cs:fillRef>
    <cs:effectRef idx="0"/>
    <cs:fontRef idx="minor">
      <a:schemeClr val="dk1"/>
    </cs:fontRef>
    <cs:spPr>
      <a:ln>
        <a:round/>
      </a:ln>
    </cs:spPr>
  </cs:dataPoint>
  <cs:dataPoint3D>
    <cs:lnRef idx="1" mods="ignoreCSTransforms">
      <cs:styleClr val="0">
        <a:shade val="50000"/>
      </cs:styleClr>
    </cs:lnRef>
    <cs:fillRef idx="1">
      <cs:styleClr val="auto"/>
    </cs:fillRef>
    <cs:effectRef idx="0"/>
    <cs:fontRef idx="minor">
      <a:schemeClr val="dk1"/>
    </cs:fontRef>
    <cs:spPr>
      <a:ln>
        <a:round/>
      </a:ln>
    </cs:spPr>
  </cs:dataPoint3D>
  <cs:dataPointLine>
    <cs:lnRef idx="1">
      <cs:styleClr val="auto"/>
    </cs:lnRef>
    <cs:lineWidthScale>5</cs:lineWidthScale>
    <cs:fillRef idx="0"/>
    <cs:effectRef idx="0"/>
    <cs:fontRef idx="minor">
      <a:schemeClr val="dk1"/>
    </cs:fontRef>
    <cs:spPr>
      <a:ln cap="rnd">
        <a:round/>
      </a:ln>
    </cs:spPr>
  </cs:dataPointLine>
  <cs:dataPointMarker>
    <cs:lnRef idx="1">
      <cs:styleClr val="auto"/>
    </cs:lnRef>
    <cs:fillRef idx="1">
      <cs:styleClr val="auto"/>
    </cs:fillRef>
    <cs:effectRef idx="0"/>
    <cs:fontRef idx="minor">
      <a:schemeClr val="dk1"/>
    </cs:fontRef>
    <cs:spPr>
      <a:ln>
        <a:round/>
      </a:ln>
    </cs:spPr>
  </cs:dataPointMarker>
  <cs:dataPointMarkerLayout/>
  <cs:dataPointWireframe>
    <cs:lnRef idx="1">
      <cs:styleClr val="auto"/>
    </cs:lnRef>
    <cs:fillRef idx="0"/>
    <cs:effectRef idx="0"/>
    <cs:fontRef idx="minor">
      <a:schemeClr val="dk1"/>
    </cs:fontRef>
    <cs:spPr>
      <a:ln>
        <a:round/>
      </a:ln>
    </cs:spPr>
  </cs:dataPointWireframe>
  <cs:dataTable>
    <cs:lnRef idx="1">
      <a:schemeClr val="dk1">
        <a:tint val="75000"/>
      </a:schemeClr>
    </cs:lnRef>
    <cs:fillRef idx="0"/>
    <cs:effectRef idx="0"/>
    <cs:fontRef idx="minor">
      <a:schemeClr val="dk1"/>
    </cs:fontRef>
    <cs:spPr>
      <a:ln>
        <a:round/>
      </a:ln>
    </cs:spPr>
    <cs:defRPr sz="1000" kern="1200"/>
  </cs:dataTable>
  <cs:downBar>
    <cs:lnRef idx="1" mods="ignoreCSTransforms">
      <cs:styleClr val="0">
        <a:shade val="25000"/>
      </cs:styleClr>
    </cs:lnRef>
    <cs:fillRef idx="1" mods="ignoreCSTransforms">
      <cs:styleClr val="0">
        <a:shade val="25000"/>
      </cs:styleClr>
    </cs:fillRef>
    <cs:effectRef idx="0"/>
    <cs:fontRef idx="minor">
      <a:schemeClr val="dk1"/>
    </cs:fontRef>
    <cs:spPr>
      <a:ln>
        <a:round/>
      </a:ln>
    </cs:spPr>
  </cs:downBar>
  <cs:dropLine>
    <cs:lnRef idx="1">
      <a:schemeClr val="dk1"/>
    </cs:lnRef>
    <cs:fillRef idx="0"/>
    <cs:effectRef idx="0"/>
    <cs:fontRef idx="minor">
      <a:schemeClr val="dk1"/>
    </cs:fontRef>
    <cs:spPr>
      <a:ln>
        <a:round/>
      </a:ln>
    </cs:spPr>
  </cs:dropLine>
  <cs:errorBar>
    <cs:lnRef idx="1">
      <a:schemeClr val="dk1"/>
    </cs:lnRef>
    <cs:fillRef idx="1">
      <a:schemeClr val="dk1"/>
    </cs:fillRef>
    <cs:effectRef idx="0"/>
    <cs:fontRef idx="minor">
      <a:schemeClr val="dk1"/>
    </cs:fontRef>
    <cs:spPr>
      <a:ln>
        <a:round/>
      </a:ln>
    </cs:spPr>
  </cs:errorBar>
  <cs:floor>
    <cs:lnRef idx="1">
      <a:schemeClr val="dk1">
        <a:tint val="75000"/>
      </a:schemeClr>
    </cs:lnRef>
    <cs:fillRef idx="1" mods="ignoreCSTransforms">
      <cs:styleClr val="0">
        <a:tint val="20000"/>
      </cs:styleClr>
    </cs:fillRef>
    <cs:effectRef idx="0"/>
    <cs:fontRef idx="minor">
      <a:schemeClr val="dk1"/>
    </cs:fontRef>
    <cs:spPr>
      <a:ln>
        <a:round/>
      </a:ln>
    </cs:spPr>
  </cs:floor>
  <cs:gridlineMajor>
    <cs:lnRef idx="1">
      <a:schemeClr val="dk1">
        <a:tint val="75000"/>
      </a:schemeClr>
    </cs:lnRef>
    <cs:fillRef idx="0"/>
    <cs:effectRef idx="0"/>
    <cs:fontRef idx="minor">
      <a:schemeClr val="dk1"/>
    </cs:fontRef>
    <cs:spPr>
      <a:ln>
        <a:round/>
      </a:ln>
    </cs:spPr>
  </cs:gridlineMajor>
  <cs:gridlineMinor>
    <cs:lnRef idx="1">
      <a:schemeClr val="dk1">
        <a:tint val="50000"/>
      </a:schemeClr>
    </cs:lnRef>
    <cs:fillRef idx="0"/>
    <cs:effectRef idx="0"/>
    <cs:fontRef idx="minor">
      <a:schemeClr val="dk1"/>
    </cs:fontRef>
    <cs:spPr>
      <a:ln>
        <a:round/>
      </a:ln>
    </cs:spPr>
  </cs:gridlineMinor>
  <cs:hiLoLine>
    <cs:lnRef idx="1">
      <a:schemeClr val="dk1"/>
    </cs:lnRef>
    <cs:fillRef idx="0"/>
    <cs:effectRef idx="0"/>
    <cs:fontRef idx="minor">
      <a:schemeClr val="dk1"/>
    </cs:fontRef>
    <cs:spPr>
      <a:ln>
        <a:round/>
      </a:ln>
    </cs:spPr>
  </cs:hiLoLine>
  <cs:leaderLine>
    <cs:lnRef idx="1">
      <a:schemeClr val="dk1"/>
    </cs:lnRef>
    <cs:fillRef idx="0"/>
    <cs:effectRef idx="0"/>
    <cs:fontRef idx="minor">
      <a:schemeClr val="dk1"/>
    </cs:fontRef>
    <cs:spPr>
      <a:ln>
        <a:round/>
      </a:ln>
    </cs:spPr>
  </cs:leaderLine>
  <cs:legend>
    <cs:lnRef idx="0"/>
    <cs:fillRef idx="0"/>
    <cs:effectRef idx="0"/>
    <cs:fontRef idx="minor">
      <a:schemeClr val="dk1"/>
    </cs:fontRef>
    <cs:defRPr sz="1000" kern="1200"/>
  </cs:legend>
  <cs:plotArea>
    <cs:lnRef idx="0"/>
    <cs:fillRef idx="1" mods="ignoreCSTransforms">
      <cs:styleClr val="0">
        <a:tint val="20000"/>
      </cs:styleClr>
    </cs:fillRef>
    <cs:effectRef idx="0"/>
    <cs:fontRef idx="minor">
      <a:schemeClr val="dk1"/>
    </cs:fontRef>
  </cs:plotArea>
  <cs:plotArea3D>
    <cs:lnRef idx="0"/>
    <cs:fillRef idx="0"/>
    <cs:effectRef idx="0"/>
    <cs:fontRef idx="minor">
      <a:schemeClr val="dk1"/>
    </cs:fontRef>
  </cs:plotArea3D>
  <cs:seriesAxis>
    <cs:lnRef idx="1">
      <a:schemeClr val="dk1">
        <a:tint val="75000"/>
      </a:schemeClr>
    </cs:lnRef>
    <cs:fillRef idx="0"/>
    <cs:effectRef idx="0"/>
    <cs:fontRef idx="minor">
      <a:schemeClr val="dk1"/>
    </cs:fontRef>
    <cs:spPr>
      <a:ln>
        <a:round/>
      </a:ln>
    </cs:spPr>
    <cs:defRPr sz="1000" kern="1200"/>
  </cs:seriesAxis>
  <cs:seriesLine>
    <cs:lnRef idx="1">
      <a:schemeClr val="dk1"/>
    </cs:lnRef>
    <cs:fillRef idx="0"/>
    <cs:effectRef idx="0"/>
    <cs:fontRef idx="minor">
      <a:schemeClr val="dk1"/>
    </cs:fontRef>
    <cs:spPr>
      <a:ln>
        <a:round/>
      </a:ln>
    </cs:spPr>
  </cs:seriesLine>
  <cs:title>
    <cs:lnRef idx="0"/>
    <cs:fillRef idx="0"/>
    <cs:effectRef idx="0"/>
    <cs:fontRef idx="minor">
      <a:schemeClr val="dk1"/>
    </cs:fontRef>
    <cs:defRPr sz="1800" b="1" kern="1200"/>
  </cs:title>
  <cs:trendline>
    <cs:lnRef idx="1">
      <a:schemeClr val="dk1"/>
    </cs:lnRef>
    <cs:fillRef idx="0"/>
    <cs:effectRef idx="0"/>
    <cs:fontRef idx="minor">
      <a:schemeClr val="dk1"/>
    </cs:fontRef>
    <cs:spPr>
      <a:ln cap="rnd">
        <a:round/>
      </a:ln>
    </cs:spPr>
  </cs:trendline>
  <cs:trendlineLabel>
    <cs:lnRef idx="0"/>
    <cs:fillRef idx="0"/>
    <cs:effectRef idx="0"/>
    <cs:fontRef idx="minor">
      <a:schemeClr val="dk1"/>
    </cs:fontRef>
    <cs:defRPr sz="1000" kern="1200"/>
  </cs:trendlineLabel>
  <cs:upBar>
    <cs:lnRef idx="1" mods="ignoreCSTransforms">
      <cs:styleClr val="0">
        <a:shade val="25000"/>
      </cs:styleClr>
    </cs:lnRef>
    <cs:fillRef idx="1">
      <a:schemeClr val="lt1"/>
    </cs:fillRef>
    <cs:effectRef idx="0"/>
    <cs:fontRef idx="minor">
      <a:schemeClr val="dk1"/>
    </cs:fontRef>
    <cs:spPr>
      <a:ln>
        <a:round/>
      </a:ln>
    </cs:spPr>
  </cs:upBar>
  <cs:valueAxis>
    <cs:lnRef idx="1">
      <a:schemeClr val="dk1">
        <a:tint val="75000"/>
      </a:schemeClr>
    </cs:lnRef>
    <cs:fillRef idx="0"/>
    <cs:effectRef idx="0"/>
    <cs:fontRef idx="minor">
      <a:schemeClr val="dk1"/>
    </cs:fontRef>
    <cs:spPr>
      <a:ln>
        <a:round/>
      </a:ln>
    </cs:spPr>
    <cs:defRPr sz="1000" kern="1200"/>
  </cs:valueAxis>
  <cs:wall>
    <cs:lnRef idx="0"/>
    <cs:fillRef idx="1" mods="ignoreCSTransforms">
      <cs:styleClr val="0">
        <a:tint val="20000"/>
      </cs:styleClr>
    </cs:fillRef>
    <cs:effectRef idx="0"/>
    <cs:fontRef idx="minor">
      <a:schemeClr val="dk1"/>
    </cs:fontRef>
  </cs:wall>
</cs:chartStyle>
</file>

<file path=word/charts/style51.xml><?xml version="1.0" encoding="utf-8"?>
<cs:chartStyle xmlns:cs="http://schemas.microsoft.com/office/drawing/2012/chartStyle" xmlns:a="http://schemas.openxmlformats.org/drawingml/2006/main" id="136">
  <cs:axisTitle>
    <cs:lnRef idx="0"/>
    <cs:fillRef idx="0"/>
    <cs:effectRef idx="0"/>
    <cs:fontRef idx="minor">
      <a:schemeClr val="dk1"/>
    </cs:fontRef>
    <cs:defRPr sz="1000" b="1" kern="1200"/>
  </cs:axisTitle>
  <cs:categoryAxis>
    <cs:lnRef idx="1">
      <a:schemeClr val="dk1">
        <a:tint val="75000"/>
      </a:schemeClr>
    </cs:lnRef>
    <cs:fillRef idx="0"/>
    <cs:effectRef idx="0"/>
    <cs:fontRef idx="minor">
      <a:schemeClr val="dk1"/>
    </cs:fontRef>
    <cs:spPr>
      <a:ln>
        <a:round/>
      </a:ln>
    </cs:spPr>
    <cs:defRPr sz="1000" kern="1200"/>
  </cs:categoryAxis>
  <cs:chartArea>
    <cs:lnRef idx="1">
      <a:schemeClr val="dk1">
        <a:tint val="75000"/>
      </a:schemeClr>
    </cs:lnRef>
    <cs:fillRef idx="1">
      <a:schemeClr val="lt1"/>
    </cs:fillRef>
    <cs:effectRef idx="0"/>
    <cs:fontRef idx="minor">
      <a:schemeClr val="dk1"/>
    </cs:fontRef>
    <cs:spPr>
      <a:ln>
        <a:round/>
      </a:ln>
    </cs:spPr>
    <cs:defRPr sz="1000" kern="1200"/>
  </cs:chartArea>
  <cs:dataLabel>
    <cs:lnRef idx="0"/>
    <cs:fillRef idx="0"/>
    <cs:effectRef idx="0"/>
    <cs:fontRef idx="minor">
      <a:schemeClr val="dk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mods="ignoreCSTransforms">
      <cs:styleClr val="0">
        <a:shade val="50000"/>
      </cs:styleClr>
    </cs:lnRef>
    <cs:fillRef idx="1">
      <cs:styleClr val="auto"/>
    </cs:fillRef>
    <cs:effectRef idx="0"/>
    <cs:fontRef idx="minor">
      <a:schemeClr val="dk1"/>
    </cs:fontRef>
    <cs:spPr>
      <a:ln>
        <a:round/>
      </a:ln>
    </cs:spPr>
  </cs:dataPoint>
  <cs:dataPoint3D>
    <cs:lnRef idx="1" mods="ignoreCSTransforms">
      <cs:styleClr val="0">
        <a:shade val="50000"/>
      </cs:styleClr>
    </cs:lnRef>
    <cs:fillRef idx="1">
      <cs:styleClr val="auto"/>
    </cs:fillRef>
    <cs:effectRef idx="0"/>
    <cs:fontRef idx="minor">
      <a:schemeClr val="dk1"/>
    </cs:fontRef>
    <cs:spPr>
      <a:ln>
        <a:round/>
      </a:ln>
    </cs:spPr>
  </cs:dataPoint3D>
  <cs:dataPointLine>
    <cs:lnRef idx="1">
      <cs:styleClr val="auto"/>
    </cs:lnRef>
    <cs:lineWidthScale>5</cs:lineWidthScale>
    <cs:fillRef idx="0"/>
    <cs:effectRef idx="0"/>
    <cs:fontRef idx="minor">
      <a:schemeClr val="dk1"/>
    </cs:fontRef>
    <cs:spPr>
      <a:ln cap="rnd">
        <a:round/>
      </a:ln>
    </cs:spPr>
  </cs:dataPointLine>
  <cs:dataPointMarker>
    <cs:lnRef idx="1">
      <cs:styleClr val="auto"/>
    </cs:lnRef>
    <cs:fillRef idx="1">
      <cs:styleClr val="auto"/>
    </cs:fillRef>
    <cs:effectRef idx="0"/>
    <cs:fontRef idx="minor">
      <a:schemeClr val="dk1"/>
    </cs:fontRef>
    <cs:spPr>
      <a:ln>
        <a:round/>
      </a:ln>
    </cs:spPr>
  </cs:dataPointMarker>
  <cs:dataPointMarkerLayout/>
  <cs:dataPointWireframe>
    <cs:lnRef idx="1">
      <cs:styleClr val="auto"/>
    </cs:lnRef>
    <cs:fillRef idx="0"/>
    <cs:effectRef idx="0"/>
    <cs:fontRef idx="minor">
      <a:schemeClr val="dk1"/>
    </cs:fontRef>
    <cs:spPr>
      <a:ln>
        <a:round/>
      </a:ln>
    </cs:spPr>
  </cs:dataPointWireframe>
  <cs:dataTable>
    <cs:lnRef idx="1">
      <a:schemeClr val="dk1">
        <a:tint val="75000"/>
      </a:schemeClr>
    </cs:lnRef>
    <cs:fillRef idx="0"/>
    <cs:effectRef idx="0"/>
    <cs:fontRef idx="minor">
      <a:schemeClr val="dk1"/>
    </cs:fontRef>
    <cs:spPr>
      <a:ln>
        <a:round/>
      </a:ln>
    </cs:spPr>
    <cs:defRPr sz="1000" kern="1200"/>
  </cs:dataTable>
  <cs:downBar>
    <cs:lnRef idx="1" mods="ignoreCSTransforms">
      <cs:styleClr val="0">
        <a:shade val="25000"/>
      </cs:styleClr>
    </cs:lnRef>
    <cs:fillRef idx="1" mods="ignoreCSTransforms">
      <cs:styleClr val="0">
        <a:shade val="25000"/>
      </cs:styleClr>
    </cs:fillRef>
    <cs:effectRef idx="0"/>
    <cs:fontRef idx="minor">
      <a:schemeClr val="dk1"/>
    </cs:fontRef>
    <cs:spPr>
      <a:ln>
        <a:round/>
      </a:ln>
    </cs:spPr>
  </cs:downBar>
  <cs:dropLine>
    <cs:lnRef idx="1">
      <a:schemeClr val="dk1"/>
    </cs:lnRef>
    <cs:fillRef idx="0"/>
    <cs:effectRef idx="0"/>
    <cs:fontRef idx="minor">
      <a:schemeClr val="dk1"/>
    </cs:fontRef>
    <cs:spPr>
      <a:ln>
        <a:round/>
      </a:ln>
    </cs:spPr>
  </cs:dropLine>
  <cs:errorBar>
    <cs:lnRef idx="1">
      <a:schemeClr val="dk1"/>
    </cs:lnRef>
    <cs:fillRef idx="1">
      <a:schemeClr val="dk1"/>
    </cs:fillRef>
    <cs:effectRef idx="0"/>
    <cs:fontRef idx="minor">
      <a:schemeClr val="dk1"/>
    </cs:fontRef>
    <cs:spPr>
      <a:ln>
        <a:round/>
      </a:ln>
    </cs:spPr>
  </cs:errorBar>
  <cs:floor>
    <cs:lnRef idx="1">
      <a:schemeClr val="dk1">
        <a:tint val="75000"/>
      </a:schemeClr>
    </cs:lnRef>
    <cs:fillRef idx="1" mods="ignoreCSTransforms">
      <cs:styleClr val="0">
        <a:tint val="20000"/>
      </cs:styleClr>
    </cs:fillRef>
    <cs:effectRef idx="0"/>
    <cs:fontRef idx="minor">
      <a:schemeClr val="dk1"/>
    </cs:fontRef>
    <cs:spPr>
      <a:ln>
        <a:round/>
      </a:ln>
    </cs:spPr>
  </cs:floor>
  <cs:gridlineMajor>
    <cs:lnRef idx="1">
      <a:schemeClr val="dk1">
        <a:tint val="75000"/>
      </a:schemeClr>
    </cs:lnRef>
    <cs:fillRef idx="0"/>
    <cs:effectRef idx="0"/>
    <cs:fontRef idx="minor">
      <a:schemeClr val="dk1"/>
    </cs:fontRef>
    <cs:spPr>
      <a:ln>
        <a:round/>
      </a:ln>
    </cs:spPr>
  </cs:gridlineMajor>
  <cs:gridlineMinor>
    <cs:lnRef idx="1">
      <a:schemeClr val="dk1">
        <a:tint val="50000"/>
      </a:schemeClr>
    </cs:lnRef>
    <cs:fillRef idx="0"/>
    <cs:effectRef idx="0"/>
    <cs:fontRef idx="minor">
      <a:schemeClr val="dk1"/>
    </cs:fontRef>
    <cs:spPr>
      <a:ln>
        <a:round/>
      </a:ln>
    </cs:spPr>
  </cs:gridlineMinor>
  <cs:hiLoLine>
    <cs:lnRef idx="1">
      <a:schemeClr val="dk1"/>
    </cs:lnRef>
    <cs:fillRef idx="0"/>
    <cs:effectRef idx="0"/>
    <cs:fontRef idx="minor">
      <a:schemeClr val="dk1"/>
    </cs:fontRef>
    <cs:spPr>
      <a:ln>
        <a:round/>
      </a:ln>
    </cs:spPr>
  </cs:hiLoLine>
  <cs:leaderLine>
    <cs:lnRef idx="1">
      <a:schemeClr val="dk1"/>
    </cs:lnRef>
    <cs:fillRef idx="0"/>
    <cs:effectRef idx="0"/>
    <cs:fontRef idx="minor">
      <a:schemeClr val="dk1"/>
    </cs:fontRef>
    <cs:spPr>
      <a:ln>
        <a:round/>
      </a:ln>
    </cs:spPr>
  </cs:leaderLine>
  <cs:legend>
    <cs:lnRef idx="0"/>
    <cs:fillRef idx="0"/>
    <cs:effectRef idx="0"/>
    <cs:fontRef idx="minor">
      <a:schemeClr val="dk1"/>
    </cs:fontRef>
    <cs:defRPr sz="1000" kern="1200"/>
  </cs:legend>
  <cs:plotArea>
    <cs:lnRef idx="0"/>
    <cs:fillRef idx="1" mods="ignoreCSTransforms">
      <cs:styleClr val="0">
        <a:tint val="20000"/>
      </cs:styleClr>
    </cs:fillRef>
    <cs:effectRef idx="0"/>
    <cs:fontRef idx="minor">
      <a:schemeClr val="dk1"/>
    </cs:fontRef>
  </cs:plotArea>
  <cs:plotArea3D>
    <cs:lnRef idx="0"/>
    <cs:fillRef idx="0"/>
    <cs:effectRef idx="0"/>
    <cs:fontRef idx="minor">
      <a:schemeClr val="dk1"/>
    </cs:fontRef>
  </cs:plotArea3D>
  <cs:seriesAxis>
    <cs:lnRef idx="1">
      <a:schemeClr val="dk1">
        <a:tint val="75000"/>
      </a:schemeClr>
    </cs:lnRef>
    <cs:fillRef idx="0"/>
    <cs:effectRef idx="0"/>
    <cs:fontRef idx="minor">
      <a:schemeClr val="dk1"/>
    </cs:fontRef>
    <cs:spPr>
      <a:ln>
        <a:round/>
      </a:ln>
    </cs:spPr>
    <cs:defRPr sz="1000" kern="1200"/>
  </cs:seriesAxis>
  <cs:seriesLine>
    <cs:lnRef idx="1">
      <a:schemeClr val="dk1"/>
    </cs:lnRef>
    <cs:fillRef idx="0"/>
    <cs:effectRef idx="0"/>
    <cs:fontRef idx="minor">
      <a:schemeClr val="dk1"/>
    </cs:fontRef>
    <cs:spPr>
      <a:ln>
        <a:round/>
      </a:ln>
    </cs:spPr>
  </cs:seriesLine>
  <cs:title>
    <cs:lnRef idx="0"/>
    <cs:fillRef idx="0"/>
    <cs:effectRef idx="0"/>
    <cs:fontRef idx="minor">
      <a:schemeClr val="dk1"/>
    </cs:fontRef>
    <cs:defRPr sz="1800" b="1" kern="1200"/>
  </cs:title>
  <cs:trendline>
    <cs:lnRef idx="1">
      <a:schemeClr val="dk1"/>
    </cs:lnRef>
    <cs:fillRef idx="0"/>
    <cs:effectRef idx="0"/>
    <cs:fontRef idx="minor">
      <a:schemeClr val="dk1"/>
    </cs:fontRef>
    <cs:spPr>
      <a:ln cap="rnd">
        <a:round/>
      </a:ln>
    </cs:spPr>
  </cs:trendline>
  <cs:trendlineLabel>
    <cs:lnRef idx="0"/>
    <cs:fillRef idx="0"/>
    <cs:effectRef idx="0"/>
    <cs:fontRef idx="minor">
      <a:schemeClr val="dk1"/>
    </cs:fontRef>
    <cs:defRPr sz="1000" kern="1200"/>
  </cs:trendlineLabel>
  <cs:upBar>
    <cs:lnRef idx="1" mods="ignoreCSTransforms">
      <cs:styleClr val="0">
        <a:shade val="25000"/>
      </cs:styleClr>
    </cs:lnRef>
    <cs:fillRef idx="1">
      <a:schemeClr val="lt1"/>
    </cs:fillRef>
    <cs:effectRef idx="0"/>
    <cs:fontRef idx="minor">
      <a:schemeClr val="dk1"/>
    </cs:fontRef>
    <cs:spPr>
      <a:ln>
        <a:round/>
      </a:ln>
    </cs:spPr>
  </cs:upBar>
  <cs:valueAxis>
    <cs:lnRef idx="1">
      <a:schemeClr val="dk1">
        <a:tint val="75000"/>
      </a:schemeClr>
    </cs:lnRef>
    <cs:fillRef idx="0"/>
    <cs:effectRef idx="0"/>
    <cs:fontRef idx="minor">
      <a:schemeClr val="dk1"/>
    </cs:fontRef>
    <cs:spPr>
      <a:ln>
        <a:round/>
      </a:ln>
    </cs:spPr>
    <cs:defRPr sz="1000" kern="1200"/>
  </cs:valueAxis>
  <cs:wall>
    <cs:lnRef idx="0"/>
    <cs:fillRef idx="1" mods="ignoreCSTransforms">
      <cs:styleClr val="0">
        <a:tint val="20000"/>
      </cs:styleClr>
    </cs:fillRef>
    <cs:effectRef idx="0"/>
    <cs:fontRef idx="minor">
      <a:schemeClr val="dk1"/>
    </cs:fontRef>
  </cs:wall>
</cs:chartStyle>
</file>

<file path=word/charts/style52.xml><?xml version="1.0" encoding="utf-8"?>
<cs:chartStyle xmlns:cs="http://schemas.microsoft.com/office/drawing/2012/chartStyle" xmlns:a="http://schemas.openxmlformats.org/drawingml/2006/main" id="34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9525" cap="rnd">
        <a:solidFill>
          <a:schemeClr val="phClr"/>
        </a:solidFill>
        <a:round/>
      </a:ln>
    </cs:spPr>
  </cs:dataPointLine>
  <cs:dataPointMarker>
    <cs:lnRef idx="0">
      <cs:styleClr val="auto"/>
    </cs:lnRef>
    <cs:fillRef idx="3">
      <cs:styleClr val="auto"/>
    </cs:fillRef>
    <cs:effectRef idx="3"/>
    <cs:fontRef idx="minor">
      <a:schemeClr val="tx1"/>
    </cs:fontRef>
    <cs:spPr>
      <a:ln w="9525" cap="rnd">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6.xml><?xml version="1.0" encoding="utf-8"?>
<cs:chartStyle xmlns:cs="http://schemas.microsoft.com/office/drawing/2012/chartStyle" xmlns:a="http://schemas.openxmlformats.org/drawingml/2006/main" id="103">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57.xml><?xml version="1.0" encoding="utf-8"?>
<cs:chartStyle xmlns:cs="http://schemas.microsoft.com/office/drawing/2012/chartStyle" xmlns:a="http://schemas.openxmlformats.org/drawingml/2006/main" id="105">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5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0.08682</cdr:x>
      <cdr:y>0.82317</cdr:y>
    </cdr:from>
    <cdr:to>
      <cdr:x>0.28779</cdr:x>
      <cdr:y>0.88992</cdr:y>
    </cdr:to>
    <cdr:sp macro="" textlink="">
      <cdr:nvSpPr>
        <cdr:cNvPr id="4" name="TextBox 3"/>
        <cdr:cNvSpPr txBox="1"/>
      </cdr:nvSpPr>
      <cdr:spPr>
        <a:xfrm xmlns:a="http://schemas.openxmlformats.org/drawingml/2006/main">
          <a:off x="237665" y="1644701"/>
          <a:ext cx="550106" cy="133350"/>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sr-Cyrl-RS" sz="600">
              <a:solidFill>
                <a:schemeClr val="tx2"/>
              </a:solidFill>
            </a:rPr>
            <a:t>* Прогноза</a:t>
          </a:r>
          <a:endParaRPr lang="en-GB" sz="600">
            <a:solidFill>
              <a:schemeClr val="tx2"/>
            </a:solidFill>
          </a:endParaRPr>
        </a:p>
      </cdr:txBody>
    </cdr:sp>
  </cdr:relSizeAnchor>
</c:userShapes>
</file>

<file path=word/drawings/drawing10.xml><?xml version="1.0" encoding="utf-8"?>
<c:userShapes xmlns:c="http://schemas.openxmlformats.org/drawingml/2006/chart">
  <cdr:relSizeAnchor xmlns:cdr="http://schemas.openxmlformats.org/drawingml/2006/chartDrawing">
    <cdr:from>
      <cdr:x>0.08104</cdr:x>
      <cdr:y>0.47414</cdr:y>
    </cdr:from>
    <cdr:to>
      <cdr:x>0.48864</cdr:x>
      <cdr:y>0.71012</cdr:y>
    </cdr:to>
    <cdr:sp macro="" textlink="">
      <cdr:nvSpPr>
        <cdr:cNvPr id="2" name="TextBox 1"/>
        <cdr:cNvSpPr txBox="1"/>
      </cdr:nvSpPr>
      <cdr:spPr>
        <a:xfrm xmlns:a="http://schemas.openxmlformats.org/drawingml/2006/main">
          <a:off x="107948" y="580348"/>
          <a:ext cx="542923"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rgbClr val="29489A"/>
              </a:solidFill>
            </a:rPr>
            <a:t>Претходна пројекција</a:t>
          </a:r>
          <a:endParaRPr lang="en-GB" sz="750" b="1">
            <a:solidFill>
              <a:srgbClr val="29489A"/>
            </a:solidFill>
          </a:endParaRPr>
        </a:p>
      </cdr:txBody>
    </cdr:sp>
  </cdr:relSizeAnchor>
  <cdr:relSizeAnchor xmlns:cdr="http://schemas.openxmlformats.org/drawingml/2006/chartDrawing">
    <cdr:from>
      <cdr:x>0.5244</cdr:x>
      <cdr:y>0.47414</cdr:y>
    </cdr:from>
    <cdr:to>
      <cdr:x>0.93199</cdr:x>
      <cdr:y>0.71012</cdr:y>
    </cdr:to>
    <cdr:sp macro="" textlink="">
      <cdr:nvSpPr>
        <cdr:cNvPr id="3" name="TextBox 1"/>
        <cdr:cNvSpPr txBox="1"/>
      </cdr:nvSpPr>
      <cdr:spPr>
        <a:xfrm xmlns:a="http://schemas.openxmlformats.org/drawingml/2006/main">
          <a:off x="698502" y="580348"/>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rgbClr val="ED1C24"/>
              </a:solidFill>
            </a:rPr>
            <a:t>Нова</a:t>
          </a:r>
        </a:p>
        <a:p xmlns:a="http://schemas.openxmlformats.org/drawingml/2006/main">
          <a:pPr algn="ctr"/>
          <a:r>
            <a:rPr lang="sr-Cyrl-RS" sz="750" b="1">
              <a:solidFill>
                <a:srgbClr val="ED1C24"/>
              </a:solidFill>
            </a:rPr>
            <a:t>пројекција</a:t>
          </a:r>
        </a:p>
      </cdr:txBody>
    </cdr:sp>
  </cdr:relSizeAnchor>
</c:userShapes>
</file>

<file path=word/drawings/drawing11.xml><?xml version="1.0" encoding="utf-8"?>
<c:userShapes xmlns:c="http://schemas.openxmlformats.org/drawingml/2006/chart">
  <cdr:relSizeAnchor xmlns:cdr="http://schemas.openxmlformats.org/drawingml/2006/chartDrawing">
    <cdr:from>
      <cdr:x>0.05959</cdr:x>
      <cdr:y>0.63166</cdr:y>
    </cdr:from>
    <cdr:to>
      <cdr:x>0.46719</cdr:x>
      <cdr:y>0.86764</cdr:y>
    </cdr:to>
    <cdr:sp macro="" textlink="">
      <cdr:nvSpPr>
        <cdr:cNvPr id="2" name="TextBox 1"/>
        <cdr:cNvSpPr txBox="1"/>
      </cdr:nvSpPr>
      <cdr:spPr>
        <a:xfrm xmlns:a="http://schemas.openxmlformats.org/drawingml/2006/main">
          <a:off x="79374" y="841372"/>
          <a:ext cx="542923" cy="31432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0.51792</cdr:x>
      <cdr:y>0.62451</cdr:y>
    </cdr:from>
    <cdr:to>
      <cdr:x>0.92551</cdr:x>
      <cdr:y>0.86049</cdr:y>
    </cdr:to>
    <cdr:sp macro="" textlink="">
      <cdr:nvSpPr>
        <cdr:cNvPr id="3" name="TextBox 1"/>
        <cdr:cNvSpPr txBox="1"/>
      </cdr:nvSpPr>
      <cdr:spPr>
        <a:xfrm xmlns:a="http://schemas.openxmlformats.org/drawingml/2006/main">
          <a:off x="689662" y="764179"/>
          <a:ext cx="542745" cy="28875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12.xml><?xml version="1.0" encoding="utf-8"?>
<c:userShapes xmlns:c="http://schemas.openxmlformats.org/drawingml/2006/chart">
  <cdr:relSizeAnchor xmlns:cdr="http://schemas.openxmlformats.org/drawingml/2006/chartDrawing">
    <cdr:from>
      <cdr:x>0.05959</cdr:x>
      <cdr:y>0.63166</cdr:y>
    </cdr:from>
    <cdr:to>
      <cdr:x>0.46719</cdr:x>
      <cdr:y>0.86764</cdr:y>
    </cdr:to>
    <cdr:sp macro="" textlink="">
      <cdr:nvSpPr>
        <cdr:cNvPr id="2" name="TextBox 1"/>
        <cdr:cNvSpPr txBox="1"/>
      </cdr:nvSpPr>
      <cdr:spPr>
        <a:xfrm xmlns:a="http://schemas.openxmlformats.org/drawingml/2006/main">
          <a:off x="79374" y="841372"/>
          <a:ext cx="542923" cy="31432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0.51792</cdr:x>
      <cdr:y>0.62451</cdr:y>
    </cdr:from>
    <cdr:to>
      <cdr:x>0.92551</cdr:x>
      <cdr:y>0.86049</cdr:y>
    </cdr:to>
    <cdr:sp macro="" textlink="">
      <cdr:nvSpPr>
        <cdr:cNvPr id="3" name="TextBox 1"/>
        <cdr:cNvSpPr txBox="1"/>
      </cdr:nvSpPr>
      <cdr:spPr>
        <a:xfrm xmlns:a="http://schemas.openxmlformats.org/drawingml/2006/main">
          <a:off x="689662" y="764179"/>
          <a:ext cx="542745" cy="28875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13.xml><?xml version="1.0" encoding="utf-8"?>
<c:userShapes xmlns:c="http://schemas.openxmlformats.org/drawingml/2006/chart">
  <cdr:relSizeAnchor xmlns:cdr="http://schemas.openxmlformats.org/drawingml/2006/chartDrawing">
    <cdr:from>
      <cdr:x>0.6875</cdr:x>
      <cdr:y>0</cdr:y>
    </cdr:from>
    <cdr:to>
      <cdr:x>0.88889</cdr:x>
      <cdr:y>0.08178</cdr:y>
    </cdr:to>
    <cdr:sp macro="" textlink="">
      <cdr:nvSpPr>
        <cdr:cNvPr id="2" name="TextBox 1"/>
        <cdr:cNvSpPr txBox="1"/>
      </cdr:nvSpPr>
      <cdr:spPr>
        <a:xfrm xmlns:a="http://schemas.openxmlformats.org/drawingml/2006/main">
          <a:off x="1885953" y="0"/>
          <a:ext cx="552453" cy="161924"/>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sr-Cyrl-RS" sz="700">
              <a:solidFill>
                <a:schemeClr val="tx2"/>
              </a:solidFill>
            </a:rPr>
            <a:t>(десна скала)</a:t>
          </a:r>
          <a:endParaRPr lang="en-GB" sz="700">
            <a:solidFill>
              <a:schemeClr val="tx2"/>
            </a:solidFill>
          </a:endParaRPr>
        </a:p>
      </cdr:txBody>
    </cdr:sp>
  </cdr:relSizeAnchor>
</c:userShapes>
</file>

<file path=word/drawings/drawing14.xml><?xml version="1.0" encoding="utf-8"?>
<c:userShapes xmlns:c="http://schemas.openxmlformats.org/drawingml/2006/chart">
  <cdr:relSizeAnchor xmlns:cdr="http://schemas.openxmlformats.org/drawingml/2006/chartDrawing">
    <cdr:from>
      <cdr:x>0.30903</cdr:x>
      <cdr:y>0.00327</cdr:y>
    </cdr:from>
    <cdr:to>
      <cdr:x>0.97569</cdr:x>
      <cdr:y>0.78627</cdr:y>
    </cdr:to>
    <cdr:sp macro="" textlink="">
      <cdr:nvSpPr>
        <cdr:cNvPr id="3" name="TextBox 1">
          <a:extLst xmlns:a="http://schemas.openxmlformats.org/drawingml/2006/main">
            <a:ext uri="{FF2B5EF4-FFF2-40B4-BE49-F238E27FC236}">
              <a16:creationId xmlns:a16="http://schemas.microsoft.com/office/drawing/2014/main" id="{CB67022E-D6AD-4B7B-A85C-598295CBC51B}"/>
            </a:ext>
          </a:extLst>
        </cdr:cNvPr>
        <cdr:cNvSpPr txBox="1"/>
      </cdr:nvSpPr>
      <cdr:spPr>
        <a:xfrm xmlns:a="http://schemas.openxmlformats.org/drawingml/2006/main">
          <a:off x="847726" y="7884"/>
          <a:ext cx="1828800" cy="1887591"/>
        </a:xfrm>
        <a:prstGeom xmlns:a="http://schemas.openxmlformats.org/drawingml/2006/main" prst="rect">
          <a:avLst/>
        </a:prstGeom>
        <a:solidFill xmlns:a="http://schemas.openxmlformats.org/drawingml/2006/main">
          <a:schemeClr val="accent5">
            <a:alpha val="10000"/>
          </a:schemeClr>
        </a:solidFill>
        <a:ln xmlns:a="http://schemas.openxmlformats.org/drawingml/2006/main">
          <a:solidFill>
            <a:schemeClr val="accent1"/>
          </a:solidFill>
          <a:prstDash val="dash"/>
        </a:ln>
      </cdr:spPr>
      <cdr:txBody>
        <a:bodyPr xmlns:a="http://schemas.openxmlformats.org/drawingml/2006/main" wrap="square" rtlCol="0" anchor="t"/>
        <a:lstStyle xmlns:a="http://schemas.openxmlformats.org/drawingml/2006/main"/>
        <a:p xmlns:a="http://schemas.openxmlformats.org/drawingml/2006/main">
          <a:endParaRPr lang="en-GB"/>
        </a:p>
      </cdr:txBody>
    </cdr:sp>
  </cdr:relSizeAnchor>
</c:userShapes>
</file>

<file path=word/drawings/drawing15.xml><?xml version="1.0" encoding="utf-8"?>
<c:userShapes xmlns:c="http://schemas.openxmlformats.org/drawingml/2006/chart">
  <cdr:relSizeAnchor xmlns:cdr="http://schemas.openxmlformats.org/drawingml/2006/chartDrawing">
    <cdr:from>
      <cdr:x>0.59388</cdr:x>
      <cdr:y>0</cdr:y>
    </cdr:from>
    <cdr:to>
      <cdr:x>0.98231</cdr:x>
      <cdr:y>0.73936</cdr:y>
    </cdr:to>
    <cdr:sp macro="" textlink="">
      <cdr:nvSpPr>
        <cdr:cNvPr id="3" name="TextBox 2"/>
        <cdr:cNvSpPr txBox="1"/>
      </cdr:nvSpPr>
      <cdr:spPr>
        <a:xfrm xmlns:a="http://schemas.openxmlformats.org/drawingml/2006/main">
          <a:off x="1632252" y="0"/>
          <a:ext cx="1067593" cy="1549458"/>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vertOverflow="clip" wrap="square" rtlCol="0" anchor="t"/>
        <a:lstStyle xmlns:a="http://schemas.openxmlformats.org/drawingml/2006/main"/>
        <a:p xmlns:a="http://schemas.openxmlformats.org/drawingml/2006/main">
          <a:pPr algn="ctr"/>
          <a:r>
            <a:rPr lang="sr-Cyrl-RS" sz="750" b="1">
              <a:solidFill>
                <a:schemeClr val="tx2"/>
              </a:solidFill>
              <a:latin typeface="+mn-lt"/>
              <a:cs typeface="Arial" panose="020B0604020202020204" pitchFamily="34" charset="0"/>
            </a:rPr>
            <a:t>ПРОЈЕКЦИЈА</a:t>
          </a:r>
          <a:endParaRPr lang="en-GB" sz="750" b="1">
            <a:solidFill>
              <a:schemeClr val="tx2"/>
            </a:solidFill>
            <a:latin typeface="+mn-lt"/>
            <a:cs typeface="Arial" panose="020B0604020202020204" pitchFamily="34" charset="0"/>
          </a:endParaRPr>
        </a:p>
      </cdr:txBody>
    </cdr:sp>
  </cdr:relSizeAnchor>
</c:userShapes>
</file>

<file path=word/drawings/drawing16.xml><?xml version="1.0" encoding="utf-8"?>
<c:userShapes xmlns:c="http://schemas.openxmlformats.org/drawingml/2006/chart">
  <cdr:relSizeAnchor xmlns:cdr="http://schemas.openxmlformats.org/drawingml/2006/chartDrawing">
    <cdr:from>
      <cdr:x>0.58892</cdr:x>
      <cdr:y>0</cdr:y>
    </cdr:from>
    <cdr:to>
      <cdr:x>0.97619</cdr:x>
      <cdr:y>0.73863</cdr:y>
    </cdr:to>
    <cdr:sp macro="" textlink="">
      <cdr:nvSpPr>
        <cdr:cNvPr id="3" name="TextBox 2"/>
        <cdr:cNvSpPr txBox="1"/>
      </cdr:nvSpPr>
      <cdr:spPr>
        <a:xfrm xmlns:a="http://schemas.openxmlformats.org/drawingml/2006/main">
          <a:off x="1615520" y="0"/>
          <a:ext cx="1062359" cy="1560873"/>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vertOverflow="clip" wrap="square" rtlCol="0" anchor="t"/>
        <a:lstStyle xmlns:a="http://schemas.openxmlformats.org/drawingml/2006/main"/>
        <a:p xmlns:a="http://schemas.openxmlformats.org/drawingml/2006/main">
          <a:pPr algn="ctr"/>
          <a:r>
            <a:rPr lang="sr-Cyrl-RS" sz="750" b="1">
              <a:solidFill>
                <a:schemeClr val="tx2"/>
              </a:solidFill>
              <a:latin typeface="+mn-lt"/>
              <a:cs typeface="Arial" panose="020B0604020202020204" pitchFamily="34" charset="0"/>
            </a:rPr>
            <a:t>ПРОЈЕКЦИЈА</a:t>
          </a:r>
          <a:endParaRPr lang="en-GB" sz="750" b="1">
            <a:solidFill>
              <a:schemeClr val="tx2"/>
            </a:solidFill>
            <a:latin typeface="+mn-lt"/>
            <a:cs typeface="Arial" panose="020B0604020202020204" pitchFamily="34" charset="0"/>
          </a:endParaRPr>
        </a:p>
      </cdr:txBody>
    </cdr:sp>
  </cdr:relSizeAnchor>
</c:userShapes>
</file>

<file path=word/drawings/drawing17.xml><?xml version="1.0" encoding="utf-8"?>
<c:userShapes xmlns:c="http://schemas.openxmlformats.org/drawingml/2006/chart">
  <cdr:relSizeAnchor xmlns:cdr="http://schemas.openxmlformats.org/drawingml/2006/chartDrawing">
    <cdr:from>
      <cdr:x>0.57447</cdr:x>
      <cdr:y>0.00827</cdr:y>
    </cdr:from>
    <cdr:to>
      <cdr:x>0.96515</cdr:x>
      <cdr:y>0.76895</cdr:y>
    </cdr:to>
    <cdr:sp macro="" textlink="">
      <cdr:nvSpPr>
        <cdr:cNvPr id="3" name="TextBox 2"/>
        <cdr:cNvSpPr txBox="1"/>
      </cdr:nvSpPr>
      <cdr:spPr>
        <a:xfrm xmlns:a="http://schemas.openxmlformats.org/drawingml/2006/main">
          <a:off x="1575881" y="17598"/>
          <a:ext cx="1071718" cy="1618639"/>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vertOverflow="clip" wrap="square" rtlCol="0" anchor="t"/>
        <a:lstStyle xmlns:a="http://schemas.openxmlformats.org/drawingml/2006/main"/>
        <a:p xmlns:a="http://schemas.openxmlformats.org/drawingml/2006/main">
          <a:pPr algn="ctr"/>
          <a:r>
            <a:rPr lang="sr-Cyrl-RS" sz="750" b="1">
              <a:solidFill>
                <a:schemeClr val="tx2"/>
              </a:solidFill>
              <a:latin typeface="+mn-lt"/>
              <a:cs typeface="Arial" panose="020B0604020202020204" pitchFamily="34" charset="0"/>
            </a:rPr>
            <a:t>ПРОЈЕКЦИЈА</a:t>
          </a:r>
          <a:endParaRPr lang="en-GB" sz="750" b="1">
            <a:solidFill>
              <a:schemeClr val="tx2"/>
            </a:solidFill>
            <a:latin typeface="+mn-lt"/>
            <a:cs typeface="Arial" panose="020B0604020202020204" pitchFamily="34" charset="0"/>
          </a:endParaRPr>
        </a:p>
      </cdr:txBody>
    </cdr:sp>
  </cdr:relSizeAnchor>
</c:userShapes>
</file>

<file path=word/drawings/drawing18.xml><?xml version="1.0" encoding="utf-8"?>
<c:userShapes xmlns:c="http://schemas.openxmlformats.org/drawingml/2006/chart">
  <cdr:relSizeAnchor xmlns:cdr="http://schemas.openxmlformats.org/drawingml/2006/chartDrawing">
    <cdr:from>
      <cdr:x>0.66671</cdr:x>
      <cdr:y>0</cdr:y>
    </cdr:from>
    <cdr:to>
      <cdr:x>1</cdr:x>
      <cdr:y>0.15397</cdr:y>
    </cdr:to>
    <cdr:sp macro="" textlink="">
      <cdr:nvSpPr>
        <cdr:cNvPr id="2" name="TextBox 1">
          <a:extLst xmlns:a="http://schemas.openxmlformats.org/drawingml/2006/main">
            <a:ext uri="{FF2B5EF4-FFF2-40B4-BE49-F238E27FC236}">
              <a16:creationId xmlns:a16="http://schemas.microsoft.com/office/drawing/2014/main" id="{EEBA72B3-E404-4722-5BD3-9A173FE23DD3}"/>
            </a:ext>
          </a:extLst>
        </cdr:cNvPr>
        <cdr:cNvSpPr txBox="1"/>
      </cdr:nvSpPr>
      <cdr:spPr>
        <a:xfrm xmlns:a="http://schemas.openxmlformats.org/drawingml/2006/main">
          <a:off x="1828915" y="0"/>
          <a:ext cx="914285" cy="275888"/>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pPr algn="ctr"/>
          <a:r>
            <a:rPr lang="sr-Cyrl-RS" sz="750">
              <a:solidFill>
                <a:schemeClr val="tx2"/>
              </a:solidFill>
            </a:rPr>
            <a:t>Стопа становништва ван радне снаге</a:t>
          </a:r>
          <a:endParaRPr lang="en-US" sz="750">
            <a:solidFill>
              <a:schemeClr val="tx2"/>
            </a:solidFill>
          </a:endParaRPr>
        </a:p>
      </cdr:txBody>
    </cdr:sp>
  </cdr:relSizeAnchor>
  <cdr:relSizeAnchor xmlns:cdr="http://schemas.openxmlformats.org/drawingml/2006/chartDrawing">
    <cdr:from>
      <cdr:x>0.35123</cdr:x>
      <cdr:y>0</cdr:y>
    </cdr:from>
    <cdr:to>
      <cdr:x>0.65307</cdr:x>
      <cdr:y>0.08</cdr:y>
    </cdr:to>
    <cdr:sp macro="" textlink="">
      <cdr:nvSpPr>
        <cdr:cNvPr id="3" name="TextBox 1">
          <a:extLst xmlns:a="http://schemas.openxmlformats.org/drawingml/2006/main">
            <a:ext uri="{FF2B5EF4-FFF2-40B4-BE49-F238E27FC236}">
              <a16:creationId xmlns:a16="http://schemas.microsoft.com/office/drawing/2014/main" id="{D63F64B9-2A3E-9C8E-FD5C-33974146D41E}"/>
            </a:ext>
          </a:extLst>
        </cdr:cNvPr>
        <cdr:cNvSpPr txBox="1"/>
      </cdr:nvSpPr>
      <cdr:spPr>
        <a:xfrm xmlns:a="http://schemas.openxmlformats.org/drawingml/2006/main">
          <a:off x="963501" y="0"/>
          <a:ext cx="828000" cy="143347"/>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a:solidFill>
                <a:schemeClr val="tx2"/>
              </a:solidFill>
            </a:rPr>
            <a:t>Стопа запослености</a:t>
          </a:r>
          <a:endParaRPr lang="en-US" sz="750">
            <a:solidFill>
              <a:schemeClr val="tx2"/>
            </a:solidFill>
          </a:endParaRPr>
        </a:p>
      </cdr:txBody>
    </cdr:sp>
  </cdr:relSizeAnchor>
  <cdr:relSizeAnchor xmlns:cdr="http://schemas.openxmlformats.org/drawingml/2006/chartDrawing">
    <cdr:from>
      <cdr:x>0</cdr:x>
      <cdr:y>0</cdr:y>
    </cdr:from>
    <cdr:to>
      <cdr:x>0.34121</cdr:x>
      <cdr:y>0.08</cdr:y>
    </cdr:to>
    <cdr:sp macro="" textlink="">
      <cdr:nvSpPr>
        <cdr:cNvPr id="4" name="TextBox 1">
          <a:extLst xmlns:a="http://schemas.openxmlformats.org/drawingml/2006/main">
            <a:ext uri="{FF2B5EF4-FFF2-40B4-BE49-F238E27FC236}">
              <a16:creationId xmlns:a16="http://schemas.microsoft.com/office/drawing/2014/main" id="{FD5E4A56-9597-87E6-88AD-15B99CCAA48D}"/>
            </a:ext>
          </a:extLst>
        </cdr:cNvPr>
        <cdr:cNvSpPr txBox="1"/>
      </cdr:nvSpPr>
      <cdr:spPr>
        <a:xfrm xmlns:a="http://schemas.openxmlformats.org/drawingml/2006/main">
          <a:off x="0" y="0"/>
          <a:ext cx="936000" cy="143347"/>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sr-Cyrl-RS" sz="750">
              <a:solidFill>
                <a:schemeClr val="tx2"/>
              </a:solidFill>
            </a:rPr>
            <a:t>Стопа незапослености</a:t>
          </a:r>
          <a:endParaRPr lang="en-US" sz="750">
            <a:solidFill>
              <a:schemeClr val="tx2"/>
            </a:solidFill>
          </a:endParaRPr>
        </a:p>
      </cdr:txBody>
    </cdr:sp>
  </cdr:relSizeAnchor>
</c:userShapes>
</file>

<file path=word/drawings/drawing19.xml><?xml version="1.0" encoding="utf-8"?>
<c:userShapes xmlns:c="http://schemas.openxmlformats.org/drawingml/2006/chart">
  <cdr:relSizeAnchor xmlns:cdr="http://schemas.openxmlformats.org/drawingml/2006/chartDrawing">
    <cdr:from>
      <cdr:x>0.0878</cdr:x>
      <cdr:y>0.72193</cdr:y>
    </cdr:from>
    <cdr:to>
      <cdr:x>0.95377</cdr:x>
      <cdr:y>0.72193</cdr:y>
    </cdr:to>
    <cdr:cxnSp macro="">
      <cdr:nvCxnSpPr>
        <cdr:cNvPr id="3" name="Straight Connector 2">
          <a:extLst xmlns:a="http://schemas.openxmlformats.org/drawingml/2006/main">
            <a:ext uri="{FF2B5EF4-FFF2-40B4-BE49-F238E27FC236}">
              <a16:creationId xmlns:a16="http://schemas.microsoft.com/office/drawing/2014/main" id="{92170C42-51AD-40FC-A279-09E604F64C1D}"/>
            </a:ext>
          </a:extLst>
        </cdr:cNvPr>
        <cdr:cNvCxnSpPr/>
      </cdr:nvCxnSpPr>
      <cdr:spPr>
        <a:xfrm xmlns:a="http://schemas.openxmlformats.org/drawingml/2006/main" flipV="1">
          <a:off x="240520" y="1305002"/>
          <a:ext cx="2372307" cy="0"/>
        </a:xfrm>
        <a:prstGeom xmlns:a="http://schemas.openxmlformats.org/drawingml/2006/main" prst="line">
          <a:avLst/>
        </a:prstGeom>
        <a:ln xmlns:a="http://schemas.openxmlformats.org/drawingml/2006/main" w="31750">
          <a:solidFill>
            <a:schemeClr val="bg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0.08102</cdr:x>
      <cdr:y>0.76088</cdr:y>
    </cdr:from>
    <cdr:to>
      <cdr:x>0.90625</cdr:x>
      <cdr:y>0.97807</cdr:y>
    </cdr:to>
    <cdr:grpSp>
      <cdr:nvGrpSpPr>
        <cdr:cNvPr id="9" name="Group 8">
          <a:extLst xmlns:a="http://schemas.openxmlformats.org/drawingml/2006/main">
            <a:ext uri="{FF2B5EF4-FFF2-40B4-BE49-F238E27FC236}">
              <a16:creationId xmlns:a16="http://schemas.microsoft.com/office/drawing/2014/main" id="{D826C8D3-8C33-4439-AE96-2E607EE03160}"/>
            </a:ext>
          </a:extLst>
        </cdr:cNvPr>
        <cdr:cNvGrpSpPr/>
      </cdr:nvGrpSpPr>
      <cdr:grpSpPr>
        <a:xfrm xmlns:a="http://schemas.openxmlformats.org/drawingml/2006/main">
          <a:off x="222254" y="1652403"/>
          <a:ext cx="2263771" cy="471672"/>
          <a:chOff x="-19080" y="-213509"/>
          <a:chExt cx="2267555" cy="556713"/>
        </a:xfrm>
      </cdr:grpSpPr>
      <cdr:grpSp>
        <cdr:nvGrpSpPr>
          <cdr:cNvPr id="10" name="Group 9">
            <a:extLst xmlns:a="http://schemas.openxmlformats.org/drawingml/2006/main">
              <a:ext uri="{FF2B5EF4-FFF2-40B4-BE49-F238E27FC236}">
                <a16:creationId xmlns:a16="http://schemas.microsoft.com/office/drawing/2014/main" id="{7907F2C1-0652-4BF0-87FC-B9FFA921F61E}"/>
              </a:ext>
            </a:extLst>
          </cdr:cNvPr>
          <cdr:cNvGrpSpPr/>
        </cdr:nvGrpSpPr>
        <cdr:grpSpPr>
          <a:xfrm xmlns:a="http://schemas.openxmlformats.org/drawingml/2006/main">
            <a:off x="683767" y="-213509"/>
            <a:ext cx="1564708" cy="295284"/>
            <a:chOff x="682627" y="-213502"/>
            <a:chExt cx="1562100" cy="295273"/>
          </a:xfrm>
        </cdr:grpSpPr>
        <cdr:sp macro="" textlink="">
          <cdr:nvSpPr>
            <cdr:cNvPr id="13" name="TextBox 5"/>
            <cdr:cNvSpPr txBox="1"/>
          </cdr:nvSpPr>
          <cdr:spPr>
            <a:xfrm xmlns:a="http://schemas.openxmlformats.org/drawingml/2006/main">
              <a:off x="682627" y="-156096"/>
              <a:ext cx="469049" cy="18046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00" b="0">
                  <a:solidFill>
                    <a:srgbClr val="00A651"/>
                  </a:solidFill>
                </a:rPr>
                <a:t>Храна</a:t>
              </a:r>
              <a:endParaRPr lang="en-GB" sz="700" b="0">
                <a:solidFill>
                  <a:srgbClr val="00A651"/>
                </a:solidFill>
              </a:endParaRPr>
            </a:p>
          </cdr:txBody>
        </cdr:sp>
        <cdr:sp macro="" textlink="">
          <cdr:nvSpPr>
            <cdr:cNvPr id="14" name="TextBox 1"/>
            <cdr:cNvSpPr txBox="1"/>
          </cdr:nvSpPr>
          <cdr:spPr>
            <a:xfrm xmlns:a="http://schemas.openxmlformats.org/drawingml/2006/main">
              <a:off x="1128485" y="-174156"/>
              <a:ext cx="576965" cy="2165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00" b="0">
                  <a:solidFill>
                    <a:srgbClr val="EC008C"/>
                  </a:solidFill>
                </a:rPr>
                <a:t>Метали</a:t>
              </a:r>
              <a:endParaRPr lang="en-GB" sz="700" b="0">
                <a:solidFill>
                  <a:srgbClr val="EC008C"/>
                </a:solidFill>
              </a:endParaRPr>
            </a:p>
          </cdr:txBody>
        </cdr:sp>
        <cdr:sp macro="" textlink="">
          <cdr:nvSpPr>
            <cdr:cNvPr id="15" name="TextBox 1"/>
            <cdr:cNvSpPr txBox="1"/>
          </cdr:nvSpPr>
          <cdr:spPr>
            <a:xfrm xmlns:a="http://schemas.openxmlformats.org/drawingml/2006/main">
              <a:off x="1622678" y="-213502"/>
              <a:ext cx="622049" cy="29527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00" b="0">
                  <a:solidFill>
                    <a:srgbClr val="003891"/>
                  </a:solidFill>
                </a:rPr>
                <a:t>Просечна цена нафте</a:t>
              </a:r>
              <a:endParaRPr lang="en-GB" sz="700" b="0">
                <a:solidFill>
                  <a:srgbClr val="003891"/>
                </a:solidFill>
              </a:endParaRPr>
            </a:p>
          </cdr:txBody>
        </cdr:sp>
      </cdr:grpSp>
      <cdr:sp macro="" textlink="">
        <cdr:nvSpPr>
          <cdr:cNvPr id="11" name="TextBox 1"/>
          <cdr:cNvSpPr txBox="1"/>
        </cdr:nvSpPr>
        <cdr:spPr>
          <a:xfrm xmlns:a="http://schemas.openxmlformats.org/drawingml/2006/main">
            <a:off x="-19080" y="20467"/>
            <a:ext cx="794653" cy="16609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700" b="0">
                <a:solidFill>
                  <a:schemeClr val="tx2"/>
                </a:solidFill>
              </a:rPr>
              <a:t>WEO, </a:t>
            </a:r>
            <a:r>
              <a:rPr lang="sr-Cyrl-RS" sz="700" b="0">
                <a:solidFill>
                  <a:schemeClr val="tx2"/>
                </a:solidFill>
              </a:rPr>
              <a:t>окт.</a:t>
            </a:r>
            <a:r>
              <a:rPr lang="sr-Cyrl-RS" sz="700" b="0" baseline="0">
                <a:solidFill>
                  <a:schemeClr val="tx2"/>
                </a:solidFill>
              </a:rPr>
              <a:t> 2021.</a:t>
            </a:r>
            <a:endParaRPr lang="en-GB" sz="700" b="0">
              <a:solidFill>
                <a:schemeClr val="tx2"/>
              </a:solidFill>
            </a:endParaRPr>
          </a:p>
        </cdr:txBody>
      </cdr:sp>
      <cdr:sp macro="" textlink="">
        <cdr:nvSpPr>
          <cdr:cNvPr id="12" name="TextBox 1"/>
          <cdr:cNvSpPr txBox="1"/>
        </cdr:nvSpPr>
        <cdr:spPr>
          <a:xfrm xmlns:a="http://schemas.openxmlformats.org/drawingml/2006/main">
            <a:off x="-19080" y="179742"/>
            <a:ext cx="794653" cy="16346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700" b="0">
                <a:solidFill>
                  <a:schemeClr val="tx2"/>
                </a:solidFill>
              </a:rPr>
              <a:t>WEO, </a:t>
            </a:r>
            <a:r>
              <a:rPr lang="sr-Cyrl-RS" sz="700" b="0">
                <a:solidFill>
                  <a:schemeClr val="tx2"/>
                </a:solidFill>
              </a:rPr>
              <a:t>апр.</a:t>
            </a:r>
            <a:r>
              <a:rPr lang="sr-Cyrl-RS" sz="700" b="0" baseline="0">
                <a:solidFill>
                  <a:schemeClr val="tx2"/>
                </a:solidFill>
              </a:rPr>
              <a:t> 2022.</a:t>
            </a:r>
            <a:endParaRPr lang="en-GB" sz="700" b="0">
              <a:solidFill>
                <a:schemeClr val="tx2"/>
              </a:solidFill>
            </a:endParaRPr>
          </a:p>
        </cdr:txBody>
      </cdr:sp>
    </cdr:grpSp>
  </cdr:relSizeAnchor>
</c:userShapes>
</file>

<file path=word/drawings/drawing20.xml><?xml version="1.0" encoding="utf-8"?>
<c:userShapes xmlns:c="http://schemas.openxmlformats.org/drawingml/2006/chart">
  <cdr:relSizeAnchor xmlns:cdr="http://schemas.openxmlformats.org/drawingml/2006/chartDrawing">
    <cdr:from>
      <cdr:x>0.79457</cdr:x>
      <cdr:y>0.00888</cdr:y>
    </cdr:from>
    <cdr:to>
      <cdr:x>0.95267</cdr:x>
      <cdr:y>0.69978</cdr:y>
    </cdr:to>
    <cdr:sp macro="" textlink="">
      <cdr:nvSpPr>
        <cdr:cNvPr id="2" name="TextBox 1"/>
        <cdr:cNvSpPr txBox="1"/>
      </cdr:nvSpPr>
      <cdr:spPr>
        <a:xfrm xmlns:a="http://schemas.openxmlformats.org/drawingml/2006/main">
          <a:off x="2179675" y="14988"/>
          <a:ext cx="433690" cy="1166122"/>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wrap="square" lIns="0" rIns="0" rtlCol="0" anchor="t"/>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600" b="1">
              <a:solidFill>
                <a:schemeClr val="tx2"/>
              </a:solidFill>
              <a:latin typeface="+mn-lt"/>
              <a:cs typeface="Arial" panose="020B0604020202020204" pitchFamily="34" charset="0"/>
            </a:rPr>
            <a:t>ПРОЈЕКЦИЈА</a:t>
          </a:r>
        </a:p>
      </cdr:txBody>
    </cdr:sp>
  </cdr:relSizeAnchor>
</c:userShapes>
</file>

<file path=word/drawings/drawing21.xml><?xml version="1.0" encoding="utf-8"?>
<c:userShapes xmlns:c="http://schemas.openxmlformats.org/drawingml/2006/chart">
  <cdr:relSizeAnchor xmlns:cdr="http://schemas.openxmlformats.org/drawingml/2006/chartDrawing">
    <cdr:from>
      <cdr:x>0.59869</cdr:x>
      <cdr:y>0</cdr:y>
    </cdr:from>
    <cdr:to>
      <cdr:x>0.9881</cdr:x>
      <cdr:y>0.76585</cdr:y>
    </cdr:to>
    <cdr:sp macro="" textlink="">
      <cdr:nvSpPr>
        <cdr:cNvPr id="2" name="TextBox 1"/>
        <cdr:cNvSpPr txBox="1"/>
      </cdr:nvSpPr>
      <cdr:spPr>
        <a:xfrm xmlns:a="http://schemas.openxmlformats.org/drawingml/2006/main">
          <a:off x="1648327" y="0"/>
          <a:ext cx="1072136" cy="1639263"/>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wrap="square" lIns="0" rIns="0" rtlCol="0" anchor="t"/>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tx2"/>
              </a:solidFill>
              <a:latin typeface="+mn-lt"/>
              <a:cs typeface="Arial" panose="020B0604020202020204" pitchFamily="34" charset="0"/>
            </a:rPr>
            <a:t>ПРОЈЕКЦИЈА</a:t>
          </a:r>
        </a:p>
      </cdr:txBody>
    </cdr:sp>
  </cdr:relSizeAnchor>
</c:userShapes>
</file>

<file path=word/drawings/drawing22.xml><?xml version="1.0" encoding="utf-8"?>
<c:userShapes xmlns:c="http://schemas.openxmlformats.org/drawingml/2006/chart">
  <cdr:relSizeAnchor xmlns:cdr="http://schemas.openxmlformats.org/drawingml/2006/chartDrawing">
    <cdr:from>
      <cdr:x>0.65385</cdr:x>
      <cdr:y>0</cdr:y>
    </cdr:from>
    <cdr:to>
      <cdr:x>1</cdr:x>
      <cdr:y>0.75274</cdr:y>
    </cdr:to>
    <cdr:sp macro="" textlink="">
      <cdr:nvSpPr>
        <cdr:cNvPr id="2" name="TextBox 1"/>
        <cdr:cNvSpPr txBox="1"/>
      </cdr:nvSpPr>
      <cdr:spPr>
        <a:xfrm xmlns:a="http://schemas.openxmlformats.org/drawingml/2006/main">
          <a:off x="1793631" y="0"/>
          <a:ext cx="949569" cy="1366575"/>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wrap="square" lIns="0" rIns="0" rtlCol="0" anchor="t"/>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tx2"/>
              </a:solidFill>
              <a:latin typeface="+mn-lt"/>
              <a:cs typeface="Arial" panose="020B0604020202020204" pitchFamily="34" charset="0"/>
            </a:rPr>
            <a:t>ПРОЈЕКЦИЈА</a:t>
          </a:r>
        </a:p>
      </cdr:txBody>
    </cdr:sp>
  </cdr:relSizeAnchor>
</c:userShapes>
</file>

<file path=word/drawings/drawing23.xml><?xml version="1.0" encoding="utf-8"?>
<c:userShapes xmlns:c="http://schemas.openxmlformats.org/drawingml/2006/chart">
  <cdr:relSizeAnchor xmlns:cdr="http://schemas.openxmlformats.org/drawingml/2006/chartDrawing">
    <cdr:from>
      <cdr:x>0.59787</cdr:x>
      <cdr:y>0.27527</cdr:y>
    </cdr:from>
    <cdr:to>
      <cdr:x>0.59787</cdr:x>
      <cdr:y>0.31148</cdr:y>
    </cdr:to>
    <cdr:cxnSp macro="">
      <cdr:nvCxnSpPr>
        <cdr:cNvPr id="3" name="Straight Arrow Connector 2"/>
        <cdr:cNvCxnSpPr/>
      </cdr:nvCxnSpPr>
      <cdr:spPr>
        <a:xfrm xmlns:a="http://schemas.openxmlformats.org/drawingml/2006/main" flipV="1">
          <a:off x="3718638" y="571590"/>
          <a:ext cx="0" cy="75188"/>
        </a:xfrm>
        <a:prstGeom xmlns:a="http://schemas.openxmlformats.org/drawingml/2006/main" prst="straightConnector1">
          <a:avLst/>
        </a:prstGeom>
        <a:ln xmlns:a="http://schemas.openxmlformats.org/drawingml/2006/main">
          <a:solidFill>
            <a:schemeClr val="tx1"/>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4.xml><?xml version="1.0" encoding="utf-8"?>
<c:userShapes xmlns:c="http://schemas.openxmlformats.org/drawingml/2006/chart">
  <cdr:relSizeAnchor xmlns:cdr="http://schemas.openxmlformats.org/drawingml/2006/chartDrawing">
    <cdr:from>
      <cdr:x>0.49984</cdr:x>
      <cdr:y>0.12299</cdr:y>
    </cdr:from>
    <cdr:to>
      <cdr:x>0.49984</cdr:x>
      <cdr:y>0.8934</cdr:y>
    </cdr:to>
    <cdr:cxnSp macro="">
      <cdr:nvCxnSpPr>
        <cdr:cNvPr id="3" name="Straight Connector 2"/>
        <cdr:cNvCxnSpPr/>
      </cdr:nvCxnSpPr>
      <cdr:spPr>
        <a:xfrm xmlns:a="http://schemas.openxmlformats.org/drawingml/2006/main">
          <a:off x="1509237" y="488515"/>
          <a:ext cx="0" cy="3060000"/>
        </a:xfrm>
        <a:prstGeom xmlns:a="http://schemas.openxmlformats.org/drawingml/2006/main" prst="line">
          <a:avLst/>
        </a:prstGeom>
        <a:ln xmlns:a="http://schemas.openxmlformats.org/drawingml/2006/main" w="12700">
          <a:solidFill>
            <a:srgbClr val="7030A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0.12198</cdr:x>
      <cdr:y>0.23149</cdr:y>
    </cdr:from>
    <cdr:to>
      <cdr:x>0.94251</cdr:x>
      <cdr:y>0.23149</cdr:y>
    </cdr:to>
    <cdr:cxnSp macro="">
      <cdr:nvCxnSpPr>
        <cdr:cNvPr id="7" name="Straight Connector 6"/>
        <cdr:cNvCxnSpPr/>
      </cdr:nvCxnSpPr>
      <cdr:spPr>
        <a:xfrm xmlns:a="http://schemas.openxmlformats.org/drawingml/2006/main" flipV="1">
          <a:off x="368297" y="919465"/>
          <a:ext cx="2477528" cy="0"/>
        </a:xfrm>
        <a:prstGeom xmlns:a="http://schemas.openxmlformats.org/drawingml/2006/main" prst="line">
          <a:avLst/>
        </a:prstGeom>
        <a:ln xmlns:a="http://schemas.openxmlformats.org/drawingml/2006/main" w="12700">
          <a:solidFill>
            <a:srgbClr val="7030A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5.xml><?xml version="1.0" encoding="utf-8"?>
<c:userShapes xmlns:c="http://schemas.openxmlformats.org/drawingml/2006/chart">
  <cdr:relSizeAnchor xmlns:cdr="http://schemas.openxmlformats.org/drawingml/2006/chartDrawing">
    <cdr:from>
      <cdr:x>0.83237</cdr:x>
      <cdr:y>0.04452</cdr:y>
    </cdr:from>
    <cdr:to>
      <cdr:x>0.96904</cdr:x>
      <cdr:y>0.10408</cdr:y>
    </cdr:to>
    <cdr:sp macro="" textlink="">
      <cdr:nvSpPr>
        <cdr:cNvPr id="2" name="TextBox 1"/>
        <cdr:cNvSpPr txBox="1"/>
      </cdr:nvSpPr>
      <cdr:spPr>
        <a:xfrm xmlns:a="http://schemas.openxmlformats.org/drawingml/2006/main">
          <a:off x="5378606" y="170300"/>
          <a:ext cx="883129" cy="22784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en-US" sz="1100">
            <a:latin typeface="+mj-lt"/>
          </a:endParaRPr>
        </a:p>
      </cdr:txBody>
    </cdr:sp>
  </cdr:relSizeAnchor>
</c:userShapes>
</file>

<file path=word/drawings/drawing26.xml><?xml version="1.0" encoding="utf-8"?>
<c:userShapes xmlns:c="http://schemas.openxmlformats.org/drawingml/2006/chart">
  <cdr:relSizeAnchor xmlns:cdr="http://schemas.openxmlformats.org/drawingml/2006/chartDrawing">
    <cdr:from>
      <cdr:x>0.86328</cdr:x>
      <cdr:y>0.09401</cdr:y>
    </cdr:from>
    <cdr:to>
      <cdr:x>0.86454</cdr:x>
      <cdr:y>0.91861</cdr:y>
    </cdr:to>
    <cdr:cxnSp macro="">
      <cdr:nvCxnSpPr>
        <cdr:cNvPr id="3" name="Straight Connector 2"/>
        <cdr:cNvCxnSpPr/>
      </cdr:nvCxnSpPr>
      <cdr:spPr>
        <a:xfrm xmlns:a="http://schemas.openxmlformats.org/drawingml/2006/main">
          <a:off x="6196120" y="397363"/>
          <a:ext cx="9043" cy="3485606"/>
        </a:xfrm>
        <a:prstGeom xmlns:a="http://schemas.openxmlformats.org/drawingml/2006/main" prst="line">
          <a:avLst/>
        </a:prstGeom>
        <a:ln xmlns:a="http://schemas.openxmlformats.org/drawingml/2006/main">
          <a:prstDash val="dash"/>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27.xml><?xml version="1.0" encoding="utf-8"?>
<c:userShapes xmlns:c="http://schemas.openxmlformats.org/drawingml/2006/chart">
  <cdr:relSizeAnchor xmlns:cdr="http://schemas.openxmlformats.org/drawingml/2006/chartDrawing">
    <cdr:from>
      <cdr:x>0.11452</cdr:x>
      <cdr:y>0.17764</cdr:y>
    </cdr:from>
    <cdr:to>
      <cdr:x>0.24585</cdr:x>
      <cdr:y>0.5815</cdr:y>
    </cdr:to>
    <cdr:sp macro="" textlink="">
      <cdr:nvSpPr>
        <cdr:cNvPr id="11" name="Oval 10"/>
        <cdr:cNvSpPr/>
      </cdr:nvSpPr>
      <cdr:spPr>
        <a:xfrm xmlns:a="http://schemas.openxmlformats.org/drawingml/2006/main">
          <a:off x="765771" y="768601"/>
          <a:ext cx="878186" cy="1747319"/>
        </a:xfrm>
        <a:prstGeom xmlns:a="http://schemas.openxmlformats.org/drawingml/2006/main" prst="ellipse">
          <a:avLst/>
        </a:prstGeom>
        <a:solidFill xmlns:a="http://schemas.openxmlformats.org/drawingml/2006/main">
          <a:srgbClr val="51BBE7">
            <a:alpha val="16000"/>
          </a:srgbClr>
        </a:solidFill>
        <a:ln xmlns:a="http://schemas.openxmlformats.org/drawingml/2006/main">
          <a:solidFill>
            <a:srgbClr val="29489A">
              <a:alpha val="50000"/>
            </a:srgb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0.19839</cdr:x>
      <cdr:y>0.18008</cdr:y>
    </cdr:from>
    <cdr:to>
      <cdr:x>0.29019</cdr:x>
      <cdr:y>0.36468</cdr:y>
    </cdr:to>
    <cdr:sp macro="" textlink="">
      <cdr:nvSpPr>
        <cdr:cNvPr id="5" name="Straight Arrow Connector 4"/>
        <cdr:cNvSpPr/>
      </cdr:nvSpPr>
      <cdr:spPr>
        <a:xfrm xmlns:a="http://schemas.openxmlformats.org/drawingml/2006/main" flipV="1">
          <a:off x="546995" y="483577"/>
          <a:ext cx="253105" cy="495740"/>
        </a:xfrm>
        <a:prstGeom xmlns:a="http://schemas.openxmlformats.org/drawingml/2006/main" prst="straightConnector1">
          <a:avLst/>
        </a:prstGeom>
        <a:ln xmlns:a="http://schemas.openxmlformats.org/drawingml/2006/main">
          <a:solidFill>
            <a:schemeClr val="dk1">
              <a:alpha val="54000"/>
            </a:schemeClr>
          </a:solidFill>
          <a:tailEnd type="arrow"/>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0.15191</cdr:x>
      <cdr:y>0.10477</cdr:y>
    </cdr:from>
    <cdr:to>
      <cdr:x>0.4018</cdr:x>
      <cdr:y>0.16216</cdr:y>
    </cdr:to>
    <cdr:sp macro="" textlink="">
      <cdr:nvSpPr>
        <cdr:cNvPr id="6" name="TextBox 5"/>
        <cdr:cNvSpPr txBox="1"/>
      </cdr:nvSpPr>
      <cdr:spPr>
        <a:xfrm xmlns:a="http://schemas.openxmlformats.org/drawingml/2006/main">
          <a:off x="418854" y="281354"/>
          <a:ext cx="688978" cy="15411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i="0" u="none" strike="noStrike" kern="1200" baseline="0">
              <a:solidFill>
                <a:srgbClr val="44546A"/>
              </a:solidFill>
              <a:effectLst/>
              <a:latin typeface="+mn-lt"/>
              <a:ea typeface="+mn-ea"/>
              <a:cs typeface="+mn-cs"/>
            </a:rPr>
            <a:t>Експанзивна</a:t>
          </a:r>
          <a:r>
            <a:rPr lang="en-US" sz="600" baseline="0">
              <a:latin typeface="+mn-lt"/>
            </a:rPr>
            <a:t> </a:t>
          </a:r>
        </a:p>
      </cdr:txBody>
    </cdr:sp>
  </cdr:relSizeAnchor>
  <cdr:relSizeAnchor xmlns:cdr="http://schemas.openxmlformats.org/drawingml/2006/chartDrawing">
    <cdr:from>
      <cdr:x>0.44518</cdr:x>
      <cdr:y>0.6319</cdr:y>
    </cdr:from>
    <cdr:to>
      <cdr:x>0.6888</cdr:x>
      <cdr:y>0.68547</cdr:y>
    </cdr:to>
    <cdr:sp macro="" textlink="">
      <cdr:nvSpPr>
        <cdr:cNvPr id="7" name="TextBox 6"/>
        <cdr:cNvSpPr txBox="1"/>
      </cdr:nvSpPr>
      <cdr:spPr>
        <a:xfrm xmlns:a="http://schemas.openxmlformats.org/drawingml/2006/main">
          <a:off x="1227446" y="1696915"/>
          <a:ext cx="671693" cy="14385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baseline="0">
              <a:solidFill>
                <a:srgbClr val="44546A"/>
              </a:solidFill>
              <a:latin typeface="+mn-lt"/>
              <a:cs typeface="Times New Roman" pitchFamily="18" charset="0"/>
            </a:rPr>
            <a:t>Рестриктивна</a:t>
          </a:r>
          <a:endParaRPr lang="en-US" sz="600" b="1" baseline="0">
            <a:solidFill>
              <a:srgbClr val="44546A"/>
            </a:solidFill>
            <a:latin typeface="+mn-lt"/>
            <a:cs typeface="Times New Roman" pitchFamily="18" charset="0"/>
          </a:endParaRPr>
        </a:p>
      </cdr:txBody>
    </cdr:sp>
  </cdr:relSizeAnchor>
  <cdr:relSizeAnchor xmlns:cdr="http://schemas.openxmlformats.org/drawingml/2006/chartDrawing">
    <cdr:from>
      <cdr:x>0.34316</cdr:x>
      <cdr:y>0.23789</cdr:y>
    </cdr:from>
    <cdr:to>
      <cdr:x>0.48668</cdr:x>
      <cdr:y>0.61052</cdr:y>
    </cdr:to>
    <cdr:sp macro="" textlink="">
      <cdr:nvSpPr>
        <cdr:cNvPr id="12" name="Oval 11"/>
        <cdr:cNvSpPr/>
      </cdr:nvSpPr>
      <cdr:spPr>
        <a:xfrm xmlns:a="http://schemas.openxmlformats.org/drawingml/2006/main">
          <a:off x="946141" y="638838"/>
          <a:ext cx="395709" cy="1000666"/>
        </a:xfrm>
        <a:prstGeom xmlns:a="http://schemas.openxmlformats.org/drawingml/2006/main" prst="ellipse">
          <a:avLst/>
        </a:prstGeom>
        <a:solidFill xmlns:a="http://schemas.openxmlformats.org/drawingml/2006/main">
          <a:schemeClr val="accent3">
            <a:lumMod val="40000"/>
            <a:lumOff val="60000"/>
            <a:alpha val="15000"/>
          </a:schemeClr>
        </a:solidFill>
        <a:ln xmlns:a="http://schemas.openxmlformats.org/drawingml/2006/main">
          <a:solidFill>
            <a:schemeClr val="accent3">
              <a:alpha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latin typeface="Cambria" pitchFamily="18" charset="0"/>
          </a:endParaRPr>
        </a:p>
      </cdr:txBody>
    </cdr:sp>
  </cdr:relSizeAnchor>
  <cdr:relSizeAnchor xmlns:cdr="http://schemas.openxmlformats.org/drawingml/2006/chartDrawing">
    <cdr:from>
      <cdr:x>0.56041</cdr:x>
      <cdr:y>0.13825</cdr:y>
    </cdr:from>
    <cdr:to>
      <cdr:x>0.72635</cdr:x>
      <cdr:y>0.19124</cdr:y>
    </cdr:to>
    <cdr:sp macro="" textlink="">
      <cdr:nvSpPr>
        <cdr:cNvPr id="17" name="TextBox 16"/>
        <cdr:cNvSpPr txBox="1"/>
      </cdr:nvSpPr>
      <cdr:spPr>
        <a:xfrm xmlns:a="http://schemas.openxmlformats.org/drawingml/2006/main">
          <a:off x="3667126" y="571500"/>
          <a:ext cx="1085850" cy="2190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0.06547</cdr:x>
      <cdr:y>0.21282</cdr:y>
    </cdr:from>
    <cdr:to>
      <cdr:x>0.3157</cdr:x>
      <cdr:y>0.28195</cdr:y>
    </cdr:to>
    <cdr:sp macro="" textlink="">
      <cdr:nvSpPr>
        <cdr:cNvPr id="18" name="TextBox 17"/>
        <cdr:cNvSpPr txBox="1"/>
      </cdr:nvSpPr>
      <cdr:spPr>
        <a:xfrm xmlns:a="http://schemas.openxmlformats.org/drawingml/2006/main">
          <a:off x="180520" y="571500"/>
          <a:ext cx="689917" cy="18565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baseline="0">
              <a:solidFill>
                <a:srgbClr val="44546A"/>
              </a:solidFill>
              <a:latin typeface="+mn-lt"/>
              <a:cs typeface="Times New Roman" pitchFamily="18" charset="0"/>
            </a:rPr>
            <a:t>Проциклична</a:t>
          </a:r>
          <a:endParaRPr lang="en-US" sz="600" b="1" baseline="0">
            <a:solidFill>
              <a:srgbClr val="44546A"/>
            </a:solidFill>
            <a:latin typeface="+mn-lt"/>
            <a:cs typeface="Times New Roman" pitchFamily="18" charset="0"/>
          </a:endParaRPr>
        </a:p>
      </cdr:txBody>
    </cdr:sp>
  </cdr:relSizeAnchor>
  <cdr:relSizeAnchor xmlns:cdr="http://schemas.openxmlformats.org/drawingml/2006/chartDrawing">
    <cdr:from>
      <cdr:x>0.28655</cdr:x>
      <cdr:y>0.32414</cdr:y>
    </cdr:from>
    <cdr:to>
      <cdr:x>0.574</cdr:x>
      <cdr:y>0.38754</cdr:y>
    </cdr:to>
    <cdr:sp macro="" textlink="">
      <cdr:nvSpPr>
        <cdr:cNvPr id="19" name="TextBox 18"/>
        <cdr:cNvSpPr txBox="1"/>
      </cdr:nvSpPr>
      <cdr:spPr>
        <a:xfrm xmlns:a="http://schemas.openxmlformats.org/drawingml/2006/main">
          <a:off x="790055" y="870450"/>
          <a:ext cx="792549" cy="17025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baseline="0">
              <a:solidFill>
                <a:srgbClr val="44546A"/>
              </a:solidFill>
              <a:latin typeface="+mn-lt"/>
              <a:cs typeface="Times New Roman" pitchFamily="18" charset="0"/>
            </a:rPr>
            <a:t>Контрациклична</a:t>
          </a:r>
          <a:endParaRPr lang="en-US" sz="600" b="1" baseline="0">
            <a:solidFill>
              <a:srgbClr val="44546A"/>
            </a:solidFill>
            <a:latin typeface="+mn-lt"/>
            <a:cs typeface="Times New Roman" pitchFamily="18" charset="0"/>
          </a:endParaRPr>
        </a:p>
      </cdr:txBody>
    </cdr:sp>
  </cdr:relSizeAnchor>
  <cdr:relSizeAnchor xmlns:cdr="http://schemas.openxmlformats.org/drawingml/2006/chartDrawing">
    <cdr:from>
      <cdr:x>0.62184</cdr:x>
      <cdr:y>0.18365</cdr:y>
    </cdr:from>
    <cdr:to>
      <cdr:x>0.73026</cdr:x>
      <cdr:y>0.71515</cdr:y>
    </cdr:to>
    <cdr:sp macro="" textlink="">
      <cdr:nvSpPr>
        <cdr:cNvPr id="10" name="Oval 9"/>
        <cdr:cNvSpPr/>
      </cdr:nvSpPr>
      <cdr:spPr>
        <a:xfrm xmlns:a="http://schemas.openxmlformats.org/drawingml/2006/main">
          <a:off x="1714507" y="493182"/>
          <a:ext cx="298931" cy="1427298"/>
        </a:xfrm>
        <a:prstGeom xmlns:a="http://schemas.openxmlformats.org/drawingml/2006/main" prst="ellipse">
          <a:avLst/>
        </a:prstGeom>
        <a:solidFill xmlns:a="http://schemas.openxmlformats.org/drawingml/2006/main">
          <a:srgbClr val="51BBE7">
            <a:alpha val="15000"/>
          </a:srgbClr>
        </a:solidFill>
        <a:ln xmlns:a="http://schemas.openxmlformats.org/drawingml/2006/main">
          <a:solidFill>
            <a:schemeClr val="accent1">
              <a:shade val="50000"/>
              <a:alpha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0.51906</cdr:x>
      <cdr:y>0.27175</cdr:y>
    </cdr:from>
    <cdr:to>
      <cdr:x>0.77171</cdr:x>
      <cdr:y>0.33458</cdr:y>
    </cdr:to>
    <cdr:sp macro="" textlink="">
      <cdr:nvSpPr>
        <cdr:cNvPr id="13" name="TextBox 12"/>
        <cdr:cNvSpPr txBox="1"/>
      </cdr:nvSpPr>
      <cdr:spPr>
        <a:xfrm xmlns:a="http://schemas.openxmlformats.org/drawingml/2006/main">
          <a:off x="1431149" y="729761"/>
          <a:ext cx="696590" cy="1687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CS" sz="600" b="1" baseline="0">
              <a:solidFill>
                <a:srgbClr val="44546A"/>
              </a:solidFill>
              <a:latin typeface="+mn-lt"/>
            </a:rPr>
            <a:t>Проциклична</a:t>
          </a:r>
          <a:endParaRPr lang="en-US" sz="600" b="1" baseline="0">
            <a:solidFill>
              <a:srgbClr val="44546A"/>
            </a:solidFill>
            <a:latin typeface="+mn-lt"/>
          </a:endParaRPr>
        </a:p>
      </cdr:txBody>
    </cdr:sp>
  </cdr:relSizeAnchor>
  <cdr:relSizeAnchor xmlns:cdr="http://schemas.openxmlformats.org/drawingml/2006/chartDrawing">
    <cdr:from>
      <cdr:x>0.56256</cdr:x>
      <cdr:y>0.1015</cdr:y>
    </cdr:from>
    <cdr:to>
      <cdr:x>0.80998</cdr:x>
      <cdr:y>0.16582</cdr:y>
    </cdr:to>
    <cdr:sp macro="" textlink="">
      <cdr:nvSpPr>
        <cdr:cNvPr id="15" name="TextBox 1"/>
        <cdr:cNvSpPr txBox="1"/>
      </cdr:nvSpPr>
      <cdr:spPr>
        <a:xfrm xmlns:a="http://schemas.openxmlformats.org/drawingml/2006/main">
          <a:off x="1551064" y="272562"/>
          <a:ext cx="682182" cy="17273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RS" sz="600" b="1" i="0" u="none" strike="noStrike" kern="1200" baseline="0">
              <a:solidFill>
                <a:srgbClr val="44546A"/>
              </a:solidFill>
              <a:effectLst/>
              <a:latin typeface="+mn-lt"/>
              <a:ea typeface="+mn-ea"/>
              <a:cs typeface="+mn-cs"/>
            </a:rPr>
            <a:t>Експанзивна</a:t>
          </a:r>
          <a:r>
            <a:rPr lang="en-US" sz="600" baseline="0">
              <a:latin typeface="+mn-lt"/>
            </a:rPr>
            <a:t> </a:t>
          </a:r>
        </a:p>
      </cdr:txBody>
    </cdr:sp>
  </cdr:relSizeAnchor>
  <cdr:relSizeAnchor xmlns:cdr="http://schemas.openxmlformats.org/drawingml/2006/chartDrawing">
    <cdr:from>
      <cdr:x>0.72069</cdr:x>
      <cdr:y>0.0793</cdr:y>
    </cdr:from>
    <cdr:to>
      <cdr:x>0.90246</cdr:x>
      <cdr:y>0.74053</cdr:y>
    </cdr:to>
    <cdr:sp macro="" textlink="">
      <cdr:nvSpPr>
        <cdr:cNvPr id="16" name="Oval 15"/>
        <cdr:cNvSpPr/>
      </cdr:nvSpPr>
      <cdr:spPr>
        <a:xfrm xmlns:a="http://schemas.openxmlformats.org/drawingml/2006/main">
          <a:off x="1987062" y="212953"/>
          <a:ext cx="501174" cy="1775677"/>
        </a:xfrm>
        <a:prstGeom xmlns:a="http://schemas.openxmlformats.org/drawingml/2006/main" prst="ellipse">
          <a:avLst/>
        </a:prstGeom>
        <a:solidFill xmlns:a="http://schemas.openxmlformats.org/drawingml/2006/main">
          <a:schemeClr val="accent3">
            <a:lumMod val="40000"/>
            <a:lumOff val="60000"/>
            <a:alpha val="15000"/>
          </a:schemeClr>
        </a:solidFill>
        <a:ln xmlns:a="http://schemas.openxmlformats.org/drawingml/2006/main">
          <a:solidFill>
            <a:schemeClr val="accent3">
              <a:alpha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effectLst/>
          </a:endParaRPr>
        </a:p>
      </cdr:txBody>
    </cdr:sp>
  </cdr:relSizeAnchor>
  <cdr:relSizeAnchor xmlns:cdr="http://schemas.openxmlformats.org/drawingml/2006/chartDrawing">
    <cdr:from>
      <cdr:x>0.72109</cdr:x>
      <cdr:y>0.59261</cdr:y>
    </cdr:from>
    <cdr:to>
      <cdr:x>1</cdr:x>
      <cdr:y>0.68512</cdr:y>
    </cdr:to>
    <cdr:sp macro="" textlink="">
      <cdr:nvSpPr>
        <cdr:cNvPr id="20" name="TextBox 1"/>
        <cdr:cNvSpPr txBox="1"/>
      </cdr:nvSpPr>
      <cdr:spPr>
        <a:xfrm xmlns:a="http://schemas.openxmlformats.org/drawingml/2006/main">
          <a:off x="1988168" y="1591407"/>
          <a:ext cx="769002" cy="2484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RS" sz="600" b="1" baseline="0">
              <a:solidFill>
                <a:srgbClr val="44546A"/>
              </a:solidFill>
              <a:latin typeface="+mn-lt"/>
              <a:cs typeface="Times New Roman" pitchFamily="18" charset="0"/>
            </a:rPr>
            <a:t>Контрациклична</a:t>
          </a:r>
          <a:endParaRPr lang="en-US" sz="600" b="1" baseline="0">
            <a:solidFill>
              <a:srgbClr val="44546A"/>
            </a:solidFill>
            <a:latin typeface="+mn-lt"/>
            <a:cs typeface="Times New Roman" pitchFamily="18" charset="0"/>
          </a:endParaRPr>
        </a:p>
      </cdr:txBody>
    </cdr:sp>
  </cdr:relSizeAnchor>
</c:userShapes>
</file>

<file path=word/drawings/drawing28.xml><?xml version="1.0" encoding="utf-8"?>
<c:userShapes xmlns:c="http://schemas.openxmlformats.org/drawingml/2006/chart">
  <cdr:relSizeAnchor xmlns:cdr="http://schemas.openxmlformats.org/drawingml/2006/chartDrawing">
    <cdr:from>
      <cdr:x>0.04375</cdr:x>
      <cdr:y>0.88368</cdr:y>
    </cdr:from>
    <cdr:to>
      <cdr:x>0.16667</cdr:x>
      <cdr:y>0.93576</cdr:y>
    </cdr:to>
    <cdr:sp macro="" textlink="">
      <cdr:nvSpPr>
        <cdr:cNvPr id="2" name="TextBox 1"/>
        <cdr:cNvSpPr txBox="1"/>
      </cdr:nvSpPr>
      <cdr:spPr>
        <a:xfrm xmlns:a="http://schemas.openxmlformats.org/drawingml/2006/main">
          <a:off x="200025" y="2424113"/>
          <a:ext cx="561975" cy="1428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0.04792</cdr:x>
      <cdr:y>0.73785</cdr:y>
    </cdr:from>
    <cdr:to>
      <cdr:x>0.24167</cdr:x>
      <cdr:y>0.86979</cdr:y>
    </cdr:to>
    <cdr:sp macro="" textlink="">
      <cdr:nvSpPr>
        <cdr:cNvPr id="3" name="TextBox 2"/>
        <cdr:cNvSpPr txBox="1"/>
      </cdr:nvSpPr>
      <cdr:spPr>
        <a:xfrm xmlns:a="http://schemas.openxmlformats.org/drawingml/2006/main">
          <a:off x="228061" y="2482144"/>
          <a:ext cx="922095" cy="44384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800">
            <a:latin typeface="+mj-lt"/>
          </a:endParaRPr>
        </a:p>
      </cdr:txBody>
    </cdr:sp>
  </cdr:relSizeAnchor>
  <cdr:relSizeAnchor xmlns:cdr="http://schemas.openxmlformats.org/drawingml/2006/chartDrawing">
    <cdr:from>
      <cdr:x>0.66875</cdr:x>
      <cdr:y>0.74826</cdr:y>
    </cdr:from>
    <cdr:to>
      <cdr:x>0.9125</cdr:x>
      <cdr:y>0.84549</cdr:y>
    </cdr:to>
    <cdr:sp macro="" textlink="">
      <cdr:nvSpPr>
        <cdr:cNvPr id="4" name="TextBox 3"/>
        <cdr:cNvSpPr txBox="1"/>
      </cdr:nvSpPr>
      <cdr:spPr>
        <a:xfrm xmlns:a="http://schemas.openxmlformats.org/drawingml/2006/main">
          <a:off x="3057525" y="2052638"/>
          <a:ext cx="1114425" cy="266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0.76703</cdr:x>
      <cdr:y>0.16819</cdr:y>
    </cdr:from>
    <cdr:to>
      <cdr:x>0.98856</cdr:x>
      <cdr:y>0.2903</cdr:y>
    </cdr:to>
    <cdr:sp macro="" textlink="">
      <cdr:nvSpPr>
        <cdr:cNvPr id="5" name="TextBox 1"/>
        <cdr:cNvSpPr txBox="1"/>
      </cdr:nvSpPr>
      <cdr:spPr>
        <a:xfrm xmlns:a="http://schemas.openxmlformats.org/drawingml/2006/main">
          <a:off x="3650440" y="565780"/>
          <a:ext cx="1054306" cy="4107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sr-Cyrl-CS" sz="800">
            <a:latin typeface="+mj-lt"/>
          </a:endParaRPr>
        </a:p>
      </cdr:txBody>
    </cdr:sp>
  </cdr:relSizeAnchor>
  <cdr:relSizeAnchor xmlns:cdr="http://schemas.openxmlformats.org/drawingml/2006/chartDrawing">
    <cdr:from>
      <cdr:x>0.73125</cdr:x>
      <cdr:y>0.8206</cdr:y>
    </cdr:from>
    <cdr:to>
      <cdr:x>0.95417</cdr:x>
      <cdr:y>0.94271</cdr:y>
    </cdr:to>
    <cdr:sp macro="" textlink="">
      <cdr:nvSpPr>
        <cdr:cNvPr id="6" name="TextBox 1"/>
        <cdr:cNvSpPr txBox="1"/>
      </cdr:nvSpPr>
      <cdr:spPr>
        <a:xfrm xmlns:a="http://schemas.openxmlformats.org/drawingml/2006/main">
          <a:off x="3480164" y="2760516"/>
          <a:ext cx="1060921" cy="4107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sr-Cyrl-CS" sz="800">
            <a:latin typeface="+mj-lt"/>
          </a:endParaRPr>
        </a:p>
      </cdr:txBody>
    </cdr:sp>
  </cdr:relSizeAnchor>
  <cdr:relSizeAnchor xmlns:cdr="http://schemas.openxmlformats.org/drawingml/2006/chartDrawing">
    <cdr:from>
      <cdr:x>0.04928</cdr:x>
      <cdr:y>0.22036</cdr:y>
    </cdr:from>
    <cdr:to>
      <cdr:x>0.27219</cdr:x>
      <cdr:y>0.34247</cdr:y>
    </cdr:to>
    <cdr:sp macro="" textlink="">
      <cdr:nvSpPr>
        <cdr:cNvPr id="7" name="TextBox 1"/>
        <cdr:cNvSpPr txBox="1"/>
      </cdr:nvSpPr>
      <cdr:spPr>
        <a:xfrm xmlns:a="http://schemas.openxmlformats.org/drawingml/2006/main">
          <a:off x="234530" y="741312"/>
          <a:ext cx="1060873" cy="41078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sr-Cyrl-CS" sz="800">
            <a:latin typeface="Cambria" panose="02040503050406030204" pitchFamily="18" charset="0"/>
          </a:endParaRPr>
        </a:p>
      </cdr:txBody>
    </cdr:sp>
  </cdr:relSizeAnchor>
  <cdr:relSizeAnchor xmlns:cdr="http://schemas.openxmlformats.org/drawingml/2006/chartDrawing">
    <cdr:from>
      <cdr:x>0.04375</cdr:x>
      <cdr:y>0.88368</cdr:y>
    </cdr:from>
    <cdr:to>
      <cdr:x>0.16667</cdr:x>
      <cdr:y>0.93576</cdr:y>
    </cdr:to>
    <cdr:sp macro="" textlink="">
      <cdr:nvSpPr>
        <cdr:cNvPr id="14" name="TextBox 1"/>
        <cdr:cNvSpPr txBox="1"/>
      </cdr:nvSpPr>
      <cdr:spPr>
        <a:xfrm xmlns:a="http://schemas.openxmlformats.org/drawingml/2006/main">
          <a:off x="200025" y="2424113"/>
          <a:ext cx="561975" cy="1428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0.01117</cdr:x>
      <cdr:y>0.836</cdr:y>
    </cdr:from>
    <cdr:to>
      <cdr:x>0.27976</cdr:x>
      <cdr:y>1</cdr:y>
    </cdr:to>
    <cdr:sp macro="" textlink="">
      <cdr:nvSpPr>
        <cdr:cNvPr id="15" name="TextBox 2"/>
        <cdr:cNvSpPr txBox="1"/>
      </cdr:nvSpPr>
      <cdr:spPr>
        <a:xfrm xmlns:a="http://schemas.openxmlformats.org/drawingml/2006/main">
          <a:off x="30796" y="1990725"/>
          <a:ext cx="740729" cy="3905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CS" sz="700" b="1">
              <a:solidFill>
                <a:srgbClr val="44546A"/>
              </a:solidFill>
              <a:latin typeface="Calibri" panose="020F0502020204030204" pitchFamily="34" charset="0"/>
            </a:rPr>
            <a:t>проциклично</a:t>
          </a:r>
          <a:r>
            <a:rPr lang="sr-Cyrl-CS" sz="700" b="1" baseline="0">
              <a:solidFill>
                <a:srgbClr val="44546A"/>
              </a:solidFill>
              <a:latin typeface="Calibri" panose="020F0502020204030204" pitchFamily="34" charset="0"/>
            </a:rPr>
            <a:t> -рестриктивна</a:t>
          </a:r>
          <a:endParaRPr lang="sr-Cyrl-CS" sz="700" b="1">
            <a:solidFill>
              <a:srgbClr val="44546A"/>
            </a:solidFill>
            <a:latin typeface="Calibri" panose="020F0502020204030204" pitchFamily="34" charset="0"/>
          </a:endParaRPr>
        </a:p>
      </cdr:txBody>
    </cdr:sp>
  </cdr:relSizeAnchor>
  <cdr:relSizeAnchor xmlns:cdr="http://schemas.openxmlformats.org/drawingml/2006/chartDrawing">
    <cdr:from>
      <cdr:x>0.66875</cdr:x>
      <cdr:y>0.74826</cdr:y>
    </cdr:from>
    <cdr:to>
      <cdr:x>0.9125</cdr:x>
      <cdr:y>0.84549</cdr:y>
    </cdr:to>
    <cdr:sp macro="" textlink="">
      <cdr:nvSpPr>
        <cdr:cNvPr id="16" name="TextBox 3"/>
        <cdr:cNvSpPr txBox="1"/>
      </cdr:nvSpPr>
      <cdr:spPr>
        <a:xfrm xmlns:a="http://schemas.openxmlformats.org/drawingml/2006/main">
          <a:off x="3057525" y="2052638"/>
          <a:ext cx="1114425" cy="266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0.70458</cdr:x>
      <cdr:y>0.004</cdr:y>
    </cdr:from>
    <cdr:to>
      <cdr:x>0.98273</cdr:x>
      <cdr:y>0.15686</cdr:y>
    </cdr:to>
    <cdr:sp macro="" textlink="">
      <cdr:nvSpPr>
        <cdr:cNvPr id="17" name="TextBox 1"/>
        <cdr:cNvSpPr txBox="1"/>
      </cdr:nvSpPr>
      <cdr:spPr>
        <a:xfrm xmlns:a="http://schemas.openxmlformats.org/drawingml/2006/main">
          <a:off x="1943101" y="9526"/>
          <a:ext cx="767079" cy="36399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CS" sz="700" b="1">
              <a:solidFill>
                <a:srgbClr val="44546A"/>
              </a:solidFill>
              <a:latin typeface="Calibri" panose="020F0502020204030204" pitchFamily="34" charset="0"/>
            </a:rPr>
            <a:t>проциклично</a:t>
          </a:r>
          <a:r>
            <a:rPr lang="sr-Cyrl-CS" sz="700" b="1" baseline="0">
              <a:solidFill>
                <a:srgbClr val="44546A"/>
              </a:solidFill>
              <a:latin typeface="Calibri" panose="020F0502020204030204" pitchFamily="34" charset="0"/>
            </a:rPr>
            <a:t> - експанзивна</a:t>
          </a:r>
          <a:endParaRPr lang="sr-Cyrl-CS" sz="700" b="1">
            <a:solidFill>
              <a:srgbClr val="44546A"/>
            </a:solidFill>
            <a:latin typeface="Calibri" panose="020F0502020204030204" pitchFamily="34" charset="0"/>
          </a:endParaRPr>
        </a:p>
      </cdr:txBody>
    </cdr:sp>
  </cdr:relSizeAnchor>
  <cdr:relSizeAnchor xmlns:cdr="http://schemas.openxmlformats.org/drawingml/2006/chartDrawing">
    <cdr:from>
      <cdr:x>0.68731</cdr:x>
      <cdr:y>0.828</cdr:y>
    </cdr:from>
    <cdr:to>
      <cdr:x>1</cdr:x>
      <cdr:y>1</cdr:y>
    </cdr:to>
    <cdr:sp macro="" textlink="">
      <cdr:nvSpPr>
        <cdr:cNvPr id="18" name="TextBox 1"/>
        <cdr:cNvSpPr txBox="1"/>
      </cdr:nvSpPr>
      <cdr:spPr>
        <a:xfrm xmlns:a="http://schemas.openxmlformats.org/drawingml/2006/main">
          <a:off x="1895475" y="1971676"/>
          <a:ext cx="862330" cy="40957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CS" sz="700" b="1">
              <a:solidFill>
                <a:srgbClr val="44546A"/>
              </a:solidFill>
              <a:latin typeface="Calibri" panose="020F0502020204030204" pitchFamily="34" charset="0"/>
            </a:rPr>
            <a:t>контрациклично</a:t>
          </a:r>
          <a:r>
            <a:rPr lang="sr-Cyrl-CS" sz="700" b="1" baseline="0">
              <a:solidFill>
                <a:srgbClr val="44546A"/>
              </a:solidFill>
              <a:latin typeface="Calibri" panose="020F0502020204030204" pitchFamily="34" charset="0"/>
            </a:rPr>
            <a:t> - рестриктивна</a:t>
          </a:r>
          <a:endParaRPr lang="sr-Cyrl-CS" sz="700" b="1">
            <a:solidFill>
              <a:srgbClr val="44546A"/>
            </a:solidFill>
            <a:latin typeface="Calibri" panose="020F0502020204030204" pitchFamily="34" charset="0"/>
          </a:endParaRPr>
        </a:p>
      </cdr:txBody>
    </cdr:sp>
  </cdr:relSizeAnchor>
  <cdr:relSizeAnchor xmlns:cdr="http://schemas.openxmlformats.org/drawingml/2006/chartDrawing">
    <cdr:from>
      <cdr:x>0.01329</cdr:x>
      <cdr:y>0</cdr:y>
    </cdr:from>
    <cdr:to>
      <cdr:x>0.39374</cdr:x>
      <cdr:y>0.12211</cdr:y>
    </cdr:to>
    <cdr:sp macro="" textlink="">
      <cdr:nvSpPr>
        <cdr:cNvPr id="19" name="TextBox 1"/>
        <cdr:cNvSpPr txBox="1"/>
      </cdr:nvSpPr>
      <cdr:spPr>
        <a:xfrm xmlns:a="http://schemas.openxmlformats.org/drawingml/2006/main">
          <a:off x="36654" y="0"/>
          <a:ext cx="1049196" cy="29077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CS" sz="700" b="1">
              <a:solidFill>
                <a:srgbClr val="44546A"/>
              </a:solidFill>
              <a:latin typeface="Calibri" panose="020F0502020204030204" pitchFamily="34" charset="0"/>
            </a:rPr>
            <a:t>контрациклично</a:t>
          </a:r>
          <a:r>
            <a:rPr lang="sr-Cyrl-CS" sz="700" b="1" baseline="0">
              <a:solidFill>
                <a:srgbClr val="44546A"/>
              </a:solidFill>
              <a:latin typeface="Calibri" panose="020F0502020204030204" pitchFamily="34" charset="0"/>
            </a:rPr>
            <a:t> - експанзивна</a:t>
          </a:r>
          <a:endParaRPr lang="sr-Cyrl-CS" sz="700" b="1">
            <a:solidFill>
              <a:srgbClr val="44546A"/>
            </a:solidFill>
            <a:latin typeface="Calibri" panose="020F0502020204030204" pitchFamily="34" charset="0"/>
          </a:endParaRPr>
        </a:p>
      </cdr:txBody>
    </cdr:sp>
  </cdr:relSizeAnchor>
</c:userShapes>
</file>

<file path=word/drawings/drawing29.xml><?xml version="1.0" encoding="utf-8"?>
<c:userShapes xmlns:c="http://schemas.openxmlformats.org/drawingml/2006/chart">
  <cdr:relSizeAnchor xmlns:cdr="http://schemas.openxmlformats.org/drawingml/2006/chartDrawing">
    <cdr:from>
      <cdr:x>0.07368</cdr:x>
      <cdr:y>0.53228</cdr:y>
    </cdr:from>
    <cdr:to>
      <cdr:x>0.9763</cdr:x>
      <cdr:y>0.53467</cdr:y>
    </cdr:to>
    <cdr:sp macro="" textlink="">
      <cdr:nvSpPr>
        <cdr:cNvPr id="3" name="Straight Connector 2"/>
        <cdr:cNvSpPr/>
      </cdr:nvSpPr>
      <cdr:spPr>
        <a:xfrm xmlns:a="http://schemas.openxmlformats.org/drawingml/2006/main">
          <a:off x="202122" y="1444952"/>
          <a:ext cx="2476067" cy="6488"/>
        </a:xfrm>
        <a:prstGeom xmlns:a="http://schemas.openxmlformats.org/drawingml/2006/main" prst="line">
          <a:avLst/>
        </a:prstGeom>
        <a:ln xmlns:a="http://schemas.openxmlformats.org/drawingml/2006/main" w="19050">
          <a:prstDash val="sysDash"/>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0.06872</cdr:x>
      <cdr:y>0.15207</cdr:y>
    </cdr:from>
    <cdr:to>
      <cdr:x>0.97302</cdr:x>
      <cdr:y>0.15924</cdr:y>
    </cdr:to>
    <cdr:cxnSp macro="">
      <cdr:nvCxnSpPr>
        <cdr:cNvPr id="4" name="Straight Connector 3"/>
        <cdr:cNvCxnSpPr/>
      </cdr:nvCxnSpPr>
      <cdr:spPr>
        <a:xfrm xmlns:a="http://schemas.openxmlformats.org/drawingml/2006/main" flipV="1">
          <a:off x="188522" y="412820"/>
          <a:ext cx="2480676" cy="19464"/>
        </a:xfrm>
        <a:prstGeom xmlns:a="http://schemas.openxmlformats.org/drawingml/2006/main" prst="line">
          <a:avLst/>
        </a:prstGeom>
        <a:ln xmlns:a="http://schemas.openxmlformats.org/drawingml/2006/main" w="19050">
          <a:prstDash val="sysDash"/>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0.05959</cdr:x>
      <cdr:y>0.61594</cdr:y>
    </cdr:from>
    <cdr:to>
      <cdr:x>0.46719</cdr:x>
      <cdr:y>0.85192</cdr:y>
    </cdr:to>
    <cdr:sp macro="" textlink="">
      <cdr:nvSpPr>
        <cdr:cNvPr id="2" name="TextBox 1"/>
        <cdr:cNvSpPr txBox="1"/>
      </cdr:nvSpPr>
      <cdr:spPr>
        <a:xfrm xmlns:a="http://schemas.openxmlformats.org/drawingml/2006/main">
          <a:off x="79373" y="753914"/>
          <a:ext cx="542923"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0.5101</cdr:x>
      <cdr:y>0.60816</cdr:y>
    </cdr:from>
    <cdr:to>
      <cdr:x>0.91769</cdr:x>
      <cdr:y>0.84414</cdr:y>
    </cdr:to>
    <cdr:sp macro="" textlink="">
      <cdr:nvSpPr>
        <cdr:cNvPr id="3" name="TextBox 1"/>
        <cdr:cNvSpPr txBox="1"/>
      </cdr:nvSpPr>
      <cdr:spPr>
        <a:xfrm xmlns:a="http://schemas.openxmlformats.org/drawingml/2006/main">
          <a:off x="679452" y="744389"/>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4.xml><?xml version="1.0" encoding="utf-8"?>
<c:userShapes xmlns:c="http://schemas.openxmlformats.org/drawingml/2006/chart">
  <cdr:relSizeAnchor xmlns:cdr="http://schemas.openxmlformats.org/drawingml/2006/chartDrawing">
    <cdr:from>
      <cdr:x>0.06674</cdr:x>
      <cdr:y>0.6149</cdr:y>
    </cdr:from>
    <cdr:to>
      <cdr:x>0.47434</cdr:x>
      <cdr:y>0.85088</cdr:y>
    </cdr:to>
    <cdr:sp macro="" textlink="">
      <cdr:nvSpPr>
        <cdr:cNvPr id="2" name="TextBox 1"/>
        <cdr:cNvSpPr txBox="1"/>
      </cdr:nvSpPr>
      <cdr:spPr>
        <a:xfrm xmlns:a="http://schemas.openxmlformats.org/drawingml/2006/main">
          <a:off x="88899" y="752639"/>
          <a:ext cx="542923"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0.61895</cdr:y>
    </cdr:from>
    <cdr:to>
      <cdr:x>0.92484</cdr:x>
      <cdr:y>0.85493</cdr:y>
    </cdr:to>
    <cdr:sp macro="" textlink="">
      <cdr:nvSpPr>
        <cdr:cNvPr id="3" name="TextBox 1"/>
        <cdr:cNvSpPr txBox="1"/>
      </cdr:nvSpPr>
      <cdr:spPr>
        <a:xfrm xmlns:a="http://schemas.openxmlformats.org/drawingml/2006/main">
          <a:off x="688978" y="757596"/>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5.xml><?xml version="1.0" encoding="utf-8"?>
<c:userShapes xmlns:c="http://schemas.openxmlformats.org/drawingml/2006/chart">
  <cdr:relSizeAnchor xmlns:cdr="http://schemas.openxmlformats.org/drawingml/2006/chartDrawing">
    <cdr:from>
      <cdr:x>0.05959</cdr:x>
      <cdr:y>0.20976</cdr:y>
    </cdr:from>
    <cdr:to>
      <cdr:x>0.46719</cdr:x>
      <cdr:y>0.44574</cdr:y>
    </cdr:to>
    <cdr:sp macro="" textlink="">
      <cdr:nvSpPr>
        <cdr:cNvPr id="2" name="TextBox 1"/>
        <cdr:cNvSpPr txBox="1"/>
      </cdr:nvSpPr>
      <cdr:spPr>
        <a:xfrm xmlns:a="http://schemas.openxmlformats.org/drawingml/2006/main">
          <a:off x="79374" y="264294"/>
          <a:ext cx="542923" cy="29733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0.20965</cdr:y>
    </cdr:from>
    <cdr:to>
      <cdr:x>0.92484</cdr:x>
      <cdr:y>0.44563</cdr:y>
    </cdr:to>
    <cdr:sp macro="" textlink="">
      <cdr:nvSpPr>
        <cdr:cNvPr id="3" name="TextBox 1"/>
        <cdr:cNvSpPr txBox="1"/>
      </cdr:nvSpPr>
      <cdr:spPr>
        <a:xfrm xmlns:a="http://schemas.openxmlformats.org/drawingml/2006/main">
          <a:off x="690337" y="268009"/>
          <a:ext cx="543981" cy="30167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6.xml><?xml version="1.0" encoding="utf-8"?>
<c:userShapes xmlns:c="http://schemas.openxmlformats.org/drawingml/2006/chart">
  <cdr:relSizeAnchor xmlns:cdr="http://schemas.openxmlformats.org/drawingml/2006/chartDrawing">
    <cdr:from>
      <cdr:x>0.05959</cdr:x>
      <cdr:y>0.20976</cdr:y>
    </cdr:from>
    <cdr:to>
      <cdr:x>0.46719</cdr:x>
      <cdr:y>0.44574</cdr:y>
    </cdr:to>
    <cdr:sp macro="" textlink="">
      <cdr:nvSpPr>
        <cdr:cNvPr id="2" name="TextBox 1"/>
        <cdr:cNvSpPr txBox="1"/>
      </cdr:nvSpPr>
      <cdr:spPr>
        <a:xfrm xmlns:a="http://schemas.openxmlformats.org/drawingml/2006/main">
          <a:off x="79374" y="279397"/>
          <a:ext cx="542923" cy="31432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0.21691</cdr:y>
    </cdr:from>
    <cdr:to>
      <cdr:x>0.92484</cdr:x>
      <cdr:y>0.45289</cdr:y>
    </cdr:to>
    <cdr:sp macro="" textlink="">
      <cdr:nvSpPr>
        <cdr:cNvPr id="3" name="TextBox 1"/>
        <cdr:cNvSpPr txBox="1"/>
      </cdr:nvSpPr>
      <cdr:spPr>
        <a:xfrm xmlns:a="http://schemas.openxmlformats.org/drawingml/2006/main">
          <a:off x="688978" y="288922"/>
          <a:ext cx="542910" cy="31432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7.xml><?xml version="1.0" encoding="utf-8"?>
<c:userShapes xmlns:c="http://schemas.openxmlformats.org/drawingml/2006/chart">
  <cdr:relSizeAnchor xmlns:cdr="http://schemas.openxmlformats.org/drawingml/2006/chartDrawing">
    <cdr:from>
      <cdr:x>0.06674</cdr:x>
      <cdr:y>0.55531</cdr:y>
    </cdr:from>
    <cdr:to>
      <cdr:x>0.47434</cdr:x>
      <cdr:y>0.79129</cdr:y>
    </cdr:to>
    <cdr:sp macro="" textlink="">
      <cdr:nvSpPr>
        <cdr:cNvPr id="2" name="TextBox 1"/>
        <cdr:cNvSpPr txBox="1"/>
      </cdr:nvSpPr>
      <cdr:spPr>
        <a:xfrm xmlns:a="http://schemas.openxmlformats.org/drawingml/2006/main">
          <a:off x="88899" y="559751"/>
          <a:ext cx="542923" cy="237868"/>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0.54531</cdr:y>
    </cdr:from>
    <cdr:to>
      <cdr:x>0.92484</cdr:x>
      <cdr:y>0.78129</cdr:y>
    </cdr:to>
    <cdr:sp macro="" textlink="">
      <cdr:nvSpPr>
        <cdr:cNvPr id="3" name="TextBox 1"/>
        <cdr:cNvSpPr txBox="1"/>
      </cdr:nvSpPr>
      <cdr:spPr>
        <a:xfrm xmlns:a="http://schemas.openxmlformats.org/drawingml/2006/main">
          <a:off x="688977" y="549672"/>
          <a:ext cx="542910" cy="237868"/>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8.xml><?xml version="1.0" encoding="utf-8"?>
<c:userShapes xmlns:c="http://schemas.openxmlformats.org/drawingml/2006/chart">
  <cdr:relSizeAnchor xmlns:cdr="http://schemas.openxmlformats.org/drawingml/2006/chartDrawing">
    <cdr:from>
      <cdr:x>0.05959</cdr:x>
      <cdr:y>0.5931</cdr:y>
    </cdr:from>
    <cdr:to>
      <cdr:x>0.46719</cdr:x>
      <cdr:y>0.82908</cdr:y>
    </cdr:to>
    <cdr:sp macro="" textlink="">
      <cdr:nvSpPr>
        <cdr:cNvPr id="2" name="TextBox 1"/>
        <cdr:cNvSpPr txBox="1"/>
      </cdr:nvSpPr>
      <cdr:spPr>
        <a:xfrm xmlns:a="http://schemas.openxmlformats.org/drawingml/2006/main">
          <a:off x="79374" y="597844"/>
          <a:ext cx="542923" cy="237867"/>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0.54593</cdr:y>
    </cdr:from>
    <cdr:to>
      <cdr:x>0.92484</cdr:x>
      <cdr:y>0.78191</cdr:y>
    </cdr:to>
    <cdr:sp macro="" textlink="">
      <cdr:nvSpPr>
        <cdr:cNvPr id="3" name="TextBox 1"/>
        <cdr:cNvSpPr txBox="1"/>
      </cdr:nvSpPr>
      <cdr:spPr>
        <a:xfrm xmlns:a="http://schemas.openxmlformats.org/drawingml/2006/main">
          <a:off x="688977" y="550297"/>
          <a:ext cx="542910" cy="237868"/>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9.xml><?xml version="1.0" encoding="utf-8"?>
<c:userShapes xmlns:c="http://schemas.openxmlformats.org/drawingml/2006/chart">
  <cdr:relSizeAnchor xmlns:cdr="http://schemas.openxmlformats.org/drawingml/2006/chartDrawing">
    <cdr:from>
      <cdr:x>0.05959</cdr:x>
      <cdr:y>0.18683</cdr:y>
    </cdr:from>
    <cdr:to>
      <cdr:x>0.46719</cdr:x>
      <cdr:y>0.42282</cdr:y>
    </cdr:to>
    <cdr:sp macro="" textlink="">
      <cdr:nvSpPr>
        <cdr:cNvPr id="2" name="TextBox 1"/>
        <cdr:cNvSpPr txBox="1"/>
      </cdr:nvSpPr>
      <cdr:spPr>
        <a:xfrm xmlns:a="http://schemas.openxmlformats.org/drawingml/2006/main">
          <a:off x="79373" y="228680"/>
          <a:ext cx="542923" cy="288852"/>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0.5101</cdr:x>
      <cdr:y>0.18809</cdr:y>
    </cdr:from>
    <cdr:to>
      <cdr:x>0.91769</cdr:x>
      <cdr:y>0.42407</cdr:y>
    </cdr:to>
    <cdr:sp macro="" textlink="">
      <cdr:nvSpPr>
        <cdr:cNvPr id="3" name="TextBox 1"/>
        <cdr:cNvSpPr txBox="1"/>
      </cdr:nvSpPr>
      <cdr:spPr>
        <a:xfrm xmlns:a="http://schemas.openxmlformats.org/drawingml/2006/main">
          <a:off x="679451" y="230227"/>
          <a:ext cx="542910"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1.xml><?xml version="1.0" encoding="utf-8"?>
<a:themeOverride xmlns:a="http://schemas.openxmlformats.org/drawingml/2006/main">
  <a:clrScheme name="Business Set_Red">
    <a:dk1>
      <a:sysClr val="windowText" lastClr="000000"/>
    </a:dk1>
    <a:lt1>
      <a:sysClr val="window" lastClr="FFFFFF"/>
    </a:lt1>
    <a:dk2>
      <a:srgbClr val="000000"/>
    </a:dk2>
    <a:lt2>
      <a:srgbClr val="F8F8F8"/>
    </a:lt2>
    <a:accent1>
      <a:srgbClr val="EF4623"/>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476BB2-6180-4E8E-B46C-FAA612465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94</Pages>
  <Words>40274</Words>
  <Characters>229567</Characters>
  <Application>Microsoft Office Word</Application>
  <DocSecurity>0</DocSecurity>
  <Lines>1913</Lines>
  <Paragraphs>538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Nenad Jevtović</dc:creator>
  <cp:keywords/>
  <dc:description/>
  <cp:lastModifiedBy>Bojan Grgić</cp:lastModifiedBy>
  <cp:revision>2</cp:revision>
  <cp:lastPrinted>2022-05-16T12:59:00Z</cp:lastPrinted>
  <dcterms:created xsi:type="dcterms:W3CDTF">2022-06-03T08:09:00Z</dcterms:created>
  <dcterms:modified xsi:type="dcterms:W3CDTF">2022-06-03T08:09:00Z</dcterms:modified>
</cp:coreProperties>
</file>